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7045960" cy="52984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298440"/>
                    </a:xfrm>
                    <a:prstGeom prst="rect">
                      <a:avLst/>
                    </a:prstGeom>
                    <a:noFill/>
                  </pic:spPr>
                </pic:pic>
              </a:graphicData>
            </a:graphic>
          </wp:anchor>
        </w:drawing>
      </w:r>
    </w:p>
    <w:p>
      <w:pPr>
        <w:spacing w:after="0" w:line="119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384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12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Lawrence Sandra AJ</w:t>
              </w:r>
            </w:hyperlink>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40" w:type="dxa"/>
            <w:vAlign w:val="bottom"/>
            <w:gridSpan w:val="3"/>
          </w:tcPr>
          <w:p>
            <w:pPr>
              <w:ind w:left="60"/>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Evergy,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EVRG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120" w:type="dxa"/>
            <w:vAlign w:val="bottom"/>
            <w:gridSpan w:val="4"/>
            <w:vMerge w:val="continue"/>
          </w:tcPr>
          <w:p>
            <w:pPr>
              <w:spacing w:after="0"/>
              <w:rPr>
                <w:sz w:val="5"/>
                <w:szCs w:val="5"/>
                <w:color w:val="auto"/>
              </w:rPr>
            </w:pPr>
          </w:p>
        </w:tc>
        <w:tc>
          <w:tcPr>
            <w:tcW w:w="1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tcBorders>
              <w:top w:val="single" w:sz="8" w:color="0000EE"/>
            </w:tcBorders>
          </w:tcPr>
          <w:p>
            <w:pPr>
              <w:spacing w:after="0"/>
              <w:rPr>
                <w:sz w:val="5"/>
                <w:szCs w:val="5"/>
                <w:color w:val="auto"/>
              </w:rPr>
            </w:pPr>
          </w:p>
        </w:tc>
        <w:tc>
          <w:tcPr>
            <w:tcW w:w="276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960" w:type="dxa"/>
            <w:vAlign w:val="bottom"/>
            <w:tcBorders>
              <w:top w:val="single" w:sz="8" w:color="0000EE"/>
            </w:tcBorders>
          </w:tcPr>
          <w:p>
            <w:pPr>
              <w:spacing w:after="0"/>
              <w:rPr>
                <w:sz w:val="6"/>
                <w:szCs w:val="6"/>
                <w:color w:val="auto"/>
              </w:rPr>
            </w:pPr>
          </w:p>
        </w:tc>
        <w:tc>
          <w:tcPr>
            <w:tcW w:w="360" w:type="dxa"/>
            <w:vAlign w:val="bottom"/>
          </w:tcPr>
          <w:p>
            <w:pPr>
              <w:spacing w:after="0"/>
              <w:rPr>
                <w:sz w:val="6"/>
                <w:szCs w:val="6"/>
                <w:color w:val="auto"/>
              </w:rPr>
            </w:pPr>
          </w:p>
        </w:tc>
        <w:tc>
          <w:tcPr>
            <w:tcW w:w="154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76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15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60" w:type="dxa"/>
            <w:vAlign w:val="bottom"/>
            <w:tcBorders>
              <w:top w:val="single" w:sz="8" w:color="EEEEEE"/>
            </w:tcBorders>
          </w:tcPr>
          <w:p>
            <w:pPr>
              <w:spacing w:after="0"/>
              <w:rPr>
                <w:sz w:val="2"/>
                <w:szCs w:val="2"/>
                <w:color w:val="auto"/>
              </w:rPr>
            </w:pPr>
          </w:p>
        </w:tc>
        <w:tc>
          <w:tcPr>
            <w:tcW w:w="360" w:type="dxa"/>
            <w:vAlign w:val="bottom"/>
            <w:tcBorders>
              <w:top w:val="single" w:sz="8" w:color="EEEEEE"/>
            </w:tcBorders>
          </w:tcPr>
          <w:p>
            <w:pPr>
              <w:spacing w:after="0"/>
              <w:rPr>
                <w:sz w:val="2"/>
                <w:szCs w:val="2"/>
                <w:color w:val="auto"/>
              </w:rPr>
            </w:pPr>
          </w:p>
        </w:tc>
        <w:tc>
          <w:tcPr>
            <w:tcW w:w="15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38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3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40" w:type="dxa"/>
            <w:vAlign w:val="bottom"/>
            <w:vMerge w:val="restart"/>
          </w:tcPr>
          <w:p>
            <w:pPr>
              <w:ind w:left="3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40" w:type="dxa"/>
            <w:vAlign w:val="bottom"/>
          </w:tcPr>
          <w:p>
            <w:pPr>
              <w:ind w:left="5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320" w:type="dxa"/>
            <w:vAlign w:val="bottom"/>
            <w:gridSpan w:val="2"/>
            <w:vMerge w:val="continue"/>
          </w:tcPr>
          <w:p>
            <w:pPr>
              <w:spacing w:after="0"/>
              <w:rPr>
                <w:sz w:val="8"/>
                <w:szCs w:val="8"/>
                <w:color w:val="auto"/>
              </w:rPr>
            </w:pPr>
          </w:p>
        </w:tc>
        <w:tc>
          <w:tcPr>
            <w:tcW w:w="1540" w:type="dxa"/>
            <w:vAlign w:val="bottom"/>
            <w:vMerge w:val="continue"/>
          </w:tcPr>
          <w:p>
            <w:pPr>
              <w:spacing w:after="0"/>
              <w:rPr>
                <w:sz w:val="8"/>
                <w:szCs w:val="8"/>
                <w:color w:val="auto"/>
              </w:rPr>
            </w:pPr>
          </w:p>
        </w:tc>
        <w:tc>
          <w:tcPr>
            <w:tcW w:w="11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7"/>
                <w:szCs w:val="17"/>
                <w:color w:val="0000FF"/>
              </w:rPr>
              <w:t>06/02/2026</w:t>
            </w:r>
          </w:p>
        </w:tc>
        <w:tc>
          <w:tcPr>
            <w:tcW w:w="27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1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EVERGY, INC.</w:t>
            </w:r>
          </w:p>
        </w:tc>
        <w:tc>
          <w:tcPr>
            <w:tcW w:w="1540" w:type="dxa"/>
            <w:vAlign w:val="bottom"/>
          </w:tcPr>
          <w:p>
            <w:pPr>
              <w:spacing w:after="0"/>
              <w:rPr>
                <w:sz w:val="10"/>
                <w:szCs w:val="10"/>
                <w:color w:val="auto"/>
              </w:rPr>
            </w:pPr>
          </w:p>
        </w:tc>
        <w:tc>
          <w:tcPr>
            <w:tcW w:w="1160" w:type="dxa"/>
            <w:vAlign w:val="bottom"/>
            <w:gridSpan w:val="3"/>
            <w:vMerge w:val="continue"/>
          </w:tcPr>
          <w:p>
            <w:pPr>
              <w:spacing w:after="0"/>
              <w:rPr>
                <w:sz w:val="10"/>
                <w:szCs w:val="10"/>
                <w:color w:val="auto"/>
              </w:rPr>
            </w:pPr>
          </w:p>
        </w:tc>
        <w:tc>
          <w:tcPr>
            <w:tcW w:w="276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120" w:type="dxa"/>
            <w:vAlign w:val="bottom"/>
            <w:gridSpan w:val="4"/>
            <w:vMerge w:val="continue"/>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1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1200 MAIN STREET</w:t>
            </w: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276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120" w:type="dxa"/>
            <w:vAlign w:val="bottom"/>
            <w:gridSpan w:val="4"/>
            <w:vMerge w:val="continue"/>
          </w:tcPr>
          <w:p>
            <w:pPr>
              <w:spacing w:after="0"/>
              <w:rPr>
                <w:sz w:val="8"/>
                <w:szCs w:val="8"/>
                <w:color w:val="auto"/>
              </w:rPr>
            </w:pPr>
          </w:p>
        </w:tc>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9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5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KANSAS CITY  MO</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64105</w:t>
            </w:r>
          </w:p>
        </w:tc>
      </w:tr>
      <w:tr>
        <w:trPr>
          <w:trHeight w:val="151"/>
        </w:trPr>
        <w:tc>
          <w:tcPr>
            <w:tcW w:w="2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84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46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0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9"/>
              </w:rPr>
              <w:t>Disposed Of (D) (Instr. 3, 4 and 5)</w:t>
            </w:r>
          </w:p>
        </w:tc>
        <w:tc>
          <w:tcPr>
            <w:tcW w:w="2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500" w:type="dxa"/>
            <w:vAlign w:val="bottom"/>
            <w:gridSpan w:val="2"/>
          </w:tcPr>
          <w:p>
            <w:pPr>
              <w:ind w:left="46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06/02/2026</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600</w:t>
            </w:r>
          </w:p>
        </w:tc>
        <w:tc>
          <w:tcPr>
            <w:tcW w:w="5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81.4138</w:t>
            </w:r>
            <w:r>
              <w:rPr>
                <w:rFonts w:ascii="Times New Roman" w:cs="Times New Roman" w:eastAsia="Times New Roman" w:hAnsi="Times New Roman"/>
                <w:sz w:val="21"/>
                <w:szCs w:val="21"/>
                <w:color w:val="008000"/>
                <w:w w:val="93"/>
                <w:vertAlign w:val="superscript"/>
              </w:rPr>
              <w:t>(1)</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680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Pr>
          <w:p>
            <w:pPr>
              <w:spacing w:after="0"/>
              <w:rPr>
                <w:sz w:val="22"/>
                <w:szCs w:val="22"/>
                <w:color w:val="auto"/>
              </w:rPr>
            </w:pPr>
          </w:p>
        </w:tc>
        <w:tc>
          <w:tcPr>
            <w:tcW w:w="1500" w:type="dxa"/>
            <w:vAlign w:val="bottom"/>
            <w:gridSpan w:val="2"/>
          </w:tcPr>
          <w:p>
            <w:pPr>
              <w:ind w:left="560"/>
              <w:spacing w:after="0"/>
              <w:rPr>
                <w:sz w:val="20"/>
                <w:szCs w:val="20"/>
                <w:color w:val="auto"/>
              </w:rPr>
            </w:pPr>
            <w:r>
              <w:rPr>
                <w:rFonts w:ascii="Times New Roman" w:cs="Times New Roman" w:eastAsia="Times New Roman" w:hAnsi="Times New Roman"/>
                <w:sz w:val="17"/>
                <w:szCs w:val="17"/>
                <w:color w:val="0000FF"/>
              </w:rPr>
              <w:t>06/03/2026</w:t>
            </w: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3"/>
              </w:rPr>
              <w:t>200</w:t>
            </w:r>
          </w:p>
        </w:tc>
        <w:tc>
          <w:tcPr>
            <w:tcW w:w="58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gridSpan w:val="2"/>
          </w:tcPr>
          <w:p>
            <w:pPr>
              <w:jc w:val="center"/>
              <w:ind w:right="6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82.6269</w:t>
            </w:r>
          </w:p>
        </w:tc>
        <w:tc>
          <w:tcPr>
            <w:tcW w:w="420" w:type="dxa"/>
            <w:vAlign w:val="bottom"/>
          </w:tcPr>
          <w:p>
            <w:pPr>
              <w:spacing w:after="0"/>
              <w:rPr>
                <w:sz w:val="22"/>
                <w:szCs w:val="22"/>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480</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6660" w:type="dxa"/>
            <w:vAlign w:val="bottom"/>
            <w:tcBorders>
              <w:bottom w:val="single" w:sz="8" w:color="2C2C2C"/>
            </w:tcBorders>
            <w:gridSpan w:val="10"/>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080" w:type="dxa"/>
            <w:vAlign w:val="bottom"/>
            <w:tcBorders>
              <w:top w:val="single" w:sz="8" w:color="2C2C2C"/>
            </w:tcBorders>
            <w:gridSpan w:val="11"/>
          </w:tcPr>
          <w:p>
            <w:pPr>
              <w:ind w:left="100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40" w:type="dxa"/>
            <w:vAlign w:val="bottom"/>
            <w:gridSpan w:val="8"/>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100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 Securities</w:t>
            </w: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Derivative</w:t>
            </w: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0" w:type="dxa"/>
            <w:vAlign w:val="bottom"/>
            <w:gridSpan w:val="2"/>
          </w:tcPr>
          <w:p>
            <w:pPr>
              <w:ind w:left="14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6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Director</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tcPr>
          <w:p>
            <w:pPr>
              <w:ind w:left="360"/>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(2)</w:t>
            </w:r>
          </w:p>
        </w:tc>
        <w:tc>
          <w:tcPr>
            <w:tcW w:w="58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75,258</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75,258</w:t>
            </w:r>
          </w:p>
        </w:tc>
        <w:tc>
          <w:tcPr>
            <w:tcW w:w="260" w:type="dxa"/>
            <w:vAlign w:val="bottom"/>
          </w:tcPr>
          <w:p>
            <w:pPr>
              <w:spacing w:after="0"/>
              <w:rPr>
                <w:sz w:val="18"/>
                <w:szCs w:val="18"/>
                <w:color w:val="auto"/>
              </w:rPr>
            </w:pPr>
          </w:p>
        </w:tc>
        <w:tc>
          <w:tcPr>
            <w:tcW w:w="6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00" w:type="dxa"/>
            <w:vAlign w:val="bottom"/>
          </w:tcPr>
          <w:p>
            <w:pPr>
              <w:ind w:left="60"/>
              <w:spacing w:after="0" w:line="92" w:lineRule="exact"/>
              <w:rPr>
                <w:sz w:val="20"/>
                <w:szCs w:val="20"/>
                <w:color w:val="auto"/>
              </w:rPr>
            </w:pPr>
            <w:r>
              <w:rPr>
                <w:rFonts w:ascii="Times New Roman" w:cs="Times New Roman" w:eastAsia="Times New Roman" w:hAnsi="Times New Roman"/>
                <w:sz w:val="10"/>
                <w:szCs w:val="10"/>
                <w:color w:val="0000FF"/>
              </w:rPr>
              <w:t>Share</w:t>
            </w: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80" w:type="dxa"/>
            <w:vAlign w:val="bottom"/>
          </w:tcPr>
          <w:p>
            <w:pPr>
              <w:ind w:left="160"/>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p>
    <w:p>
      <w:pPr>
        <w:spacing w:after="0" w:line="9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40" w:right="34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$81.3401 to $81.5613. The reporting person undertakes to provide to Evergy, Inc., any security holder of Evergy, Inc., or the staff of the Securities and Exchange Commission, upon request, full information regarding the number of shares sold at each separate price within the ranges set forth in footnote (1) of this Form 4.</w:t>
      </w:r>
    </w:p>
    <w:p>
      <w:pPr>
        <w:spacing w:after="0" w:line="25" w:lineRule="exact"/>
        <w:rPr>
          <w:rFonts w:ascii="Times New Roman" w:cs="Times New Roman" w:eastAsia="Times New Roman" w:hAnsi="Times New Roman"/>
          <w:sz w:val="13"/>
          <w:szCs w:val="13"/>
          <w:color w:val="008000"/>
        </w:rPr>
      </w:pPr>
    </w:p>
    <w:p>
      <w:pPr>
        <w:ind w:left="40" w:right="46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Director deferred share units represent the right to receive one share of Evergy, Inc. common stock, plus, if applicable, stock reflecting reinvested dividends. Units are converted to stock and distributed following termination of service on the Board pursuant to elections made by the reporting person.</w:t>
      </w:r>
    </w:p>
    <w:p>
      <w:pPr>
        <w:spacing w:after="0" w:line="42"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Executed on behalf of Sandra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-8255</wp:posOffset>
            </wp:positionV>
            <wp:extent cx="12706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635" cy="8255"/>
                    </a:xfrm>
                    <a:prstGeom prst="rect">
                      <a:avLst/>
                    </a:prstGeom>
                    <a:noFill/>
                  </pic:spPr>
                </pic:pic>
              </a:graphicData>
            </a:graphic>
          </wp:anchor>
        </w:drawing>
      </w:r>
    </w:p>
    <w:p>
      <w:pPr>
        <w:spacing w:after="0" w:line="3"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A.J. Lawrence by Christie</w:t>
      </w:r>
      <w:r>
        <w:rPr>
          <w:sz w:val="20"/>
          <w:szCs w:val="20"/>
          <w:color w:val="auto"/>
        </w:rPr>
        <w:tab/>
      </w:r>
      <w:r>
        <w:rPr>
          <w:rFonts w:ascii="Times New Roman" w:cs="Times New Roman" w:eastAsia="Times New Roman" w:hAnsi="Times New Roman"/>
          <w:sz w:val="17"/>
          <w:szCs w:val="17"/>
          <w:color w:val="0000FF"/>
        </w:rPr>
        <w:t>06/04/2026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-14605</wp:posOffset>
            </wp:positionV>
            <wp:extent cx="18859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Dasek-Kaine,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-14605</wp:posOffset>
            </wp:positionV>
            <wp:extent cx="1282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82700" cy="8255"/>
                    </a:xfrm>
                    <a:prstGeom prst="rect">
                      <a:avLst/>
                    </a:prstGeom>
                    <a:noFill/>
                  </pic:spPr>
                </pic:pic>
              </a:graphicData>
            </a:graphic>
          </wp:anchor>
        </w:drawing>
      </w:r>
    </w:p>
    <w:p>
      <w:pPr>
        <w:spacing w:after="0" w:line="34"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06386" TargetMode="External"/><Relationship Id="rId14" Type="http://schemas.openxmlformats.org/officeDocument/2006/relationships/hyperlink" Target="http://www.sec.gov/cgi-bin/browse-edgar?action=getcompany&amp;CIK=00017112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2026-06-04T15:58:46Z</dcterms:created>
  <dcterms:modified xsi:type="dcterms:W3CDTF">2026-06-04T15:58:46Z</dcterms:modified>
</cp:coreProperties>
</file>