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8" w:lineRule="exact"/>
        <w:rPr>
          <w:sz w:val="24"/>
          <w:szCs w:val="24"/>
          <w:color w:val="auto"/>
        </w:rPr>
      </w:pPr>
    </w:p>
    <w:p>
      <w:pPr>
        <w:jc w:val="center"/>
        <w:ind w:right="515"/>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555"/>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 w:lineRule="exact"/>
        <w:rPr>
          <w:sz w:val="24"/>
          <w:szCs w:val="24"/>
          <w:color w:val="auto"/>
        </w:rPr>
      </w:pPr>
    </w:p>
    <w:p>
      <w:pPr>
        <w:jc w:val="center"/>
        <w:ind w:right="515"/>
        <w:spacing w:after="0"/>
        <w:rPr>
          <w:sz w:val="20"/>
          <w:szCs w:val="20"/>
          <w:color w:val="auto"/>
        </w:rPr>
      </w:pPr>
      <w:r>
        <w:rPr>
          <w:rFonts w:ascii="Times New Roman" w:cs="Times New Roman" w:eastAsia="Times New Roman" w:hAnsi="Times New Roman"/>
          <w:sz w:val="22"/>
          <w:szCs w:val="22"/>
          <w:u w:val="single" w:color="auto"/>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475"/>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3925" w:right="1200" w:hanging="3925"/>
        <w:spacing w:after="0" w:line="536" w:lineRule="auto"/>
        <w:tabs>
          <w:tab w:leader="none" w:pos="79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REPORT PURSUANT TO SECTION 15(d) OF THE SECURITIES EXCHANGE ACT OF 1934 For the fiscal year ended December 31, 2025</w:t>
      </w:r>
    </w:p>
    <w:p>
      <w:pPr>
        <w:spacing w:after="0" w:line="200" w:lineRule="exact"/>
        <w:rPr>
          <w:sz w:val="24"/>
          <w:szCs w:val="24"/>
          <w:color w:val="auto"/>
        </w:rPr>
      </w:pPr>
    </w:p>
    <w:p>
      <w:pPr>
        <w:spacing w:after="0" w:line="244" w:lineRule="exact"/>
        <w:rPr>
          <w:sz w:val="24"/>
          <w:szCs w:val="24"/>
          <w:color w:val="auto"/>
        </w:rPr>
      </w:pPr>
    </w:p>
    <w:p>
      <w:pPr>
        <w:ind w:left="805" w:right="840" w:hanging="783"/>
        <w:spacing w:after="0" w:line="507" w:lineRule="auto"/>
        <w:tabs>
          <w:tab w:leader="none" w:pos="19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REPORT PURSUANT TO SECTION 15(d) OF THE SECURITIES EXCHANGE ACT OF 1934 For the transition period from ______ to ______</w:t>
      </w:r>
    </w:p>
    <w:p>
      <w:pPr>
        <w:ind w:left="3625"/>
        <w:spacing w:after="0"/>
        <w:rPr>
          <w:sz w:val="20"/>
          <w:szCs w:val="20"/>
          <w:color w:val="auto"/>
        </w:rPr>
      </w:pPr>
      <w:r>
        <w:rPr>
          <w:rFonts w:ascii="Times New Roman" w:cs="Times New Roman" w:eastAsia="Times New Roman" w:hAnsi="Times New Roman"/>
          <w:sz w:val="20"/>
          <w:szCs w:val="20"/>
          <w:color w:val="auto"/>
        </w:rPr>
        <w:t>Commission file number 001-38515</w:t>
      </w:r>
    </w:p>
    <w:p>
      <w:pPr>
        <w:spacing w:after="0" w:line="256" w:lineRule="exact"/>
        <w:rPr>
          <w:sz w:val="24"/>
          <w:szCs w:val="24"/>
          <w:color w:val="auto"/>
        </w:rPr>
      </w:pPr>
    </w:p>
    <w:p>
      <w:pPr>
        <w:jc w:val="center"/>
        <w:ind w:right="75"/>
        <w:spacing w:after="0"/>
        <w:rPr>
          <w:sz w:val="20"/>
          <w:szCs w:val="20"/>
          <w:color w:val="auto"/>
        </w:rPr>
      </w:pPr>
      <w:r>
        <w:rPr>
          <w:rFonts w:ascii="Times New Roman" w:cs="Times New Roman" w:eastAsia="Times New Roman" w:hAnsi="Times New Roman"/>
          <w:sz w:val="20"/>
          <w:szCs w:val="20"/>
          <w:color w:val="auto"/>
        </w:rPr>
        <w:t>A. Full title of the plan and the address of the plan, if different from that of the issuer named below:</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345"/>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83" w:lineRule="exact"/>
        <w:rPr>
          <w:sz w:val="24"/>
          <w:szCs w:val="24"/>
          <w:color w:val="auto"/>
        </w:rPr>
      </w:pPr>
    </w:p>
    <w:p>
      <w:pPr>
        <w:ind w:left="5605"/>
        <w:spacing w:after="0"/>
        <w:rPr>
          <w:sz w:val="20"/>
          <w:szCs w:val="20"/>
          <w:color w:val="auto"/>
        </w:rPr>
      </w:pPr>
      <w:r>
        <w:rPr>
          <w:rFonts w:ascii="Times New Roman" w:cs="Times New Roman" w:eastAsia="Times New Roman" w:hAnsi="Times New Roman"/>
          <w:sz w:val="20"/>
          <w:szCs w:val="20"/>
          <w:color w:val="auto"/>
        </w:rPr>
        <w:t>Evergy, Inc.</w:t>
      </w:r>
    </w:p>
    <w:p>
      <w:pPr>
        <w:spacing w:after="0" w:line="21" w:lineRule="exact"/>
        <w:rPr>
          <w:sz w:val="24"/>
          <w:szCs w:val="24"/>
          <w:color w:val="auto"/>
        </w:rPr>
      </w:pPr>
    </w:p>
    <w:p>
      <w:pPr>
        <w:ind w:left="5385"/>
        <w:spacing w:after="0"/>
        <w:rPr>
          <w:sz w:val="20"/>
          <w:szCs w:val="20"/>
          <w:color w:val="auto"/>
        </w:rPr>
      </w:pPr>
      <w:r>
        <w:rPr>
          <w:rFonts w:ascii="Times New Roman" w:cs="Times New Roman" w:eastAsia="Times New Roman" w:hAnsi="Times New Roman"/>
          <w:sz w:val="20"/>
          <w:szCs w:val="20"/>
          <w:color w:val="auto"/>
        </w:rPr>
        <w:t>1200 Main Street</w:t>
      </w:r>
    </w:p>
    <w:p>
      <w:pPr>
        <w:ind w:left="4945"/>
        <w:spacing w:after="0"/>
        <w:rPr>
          <w:sz w:val="20"/>
          <w:szCs w:val="20"/>
          <w:color w:val="auto"/>
        </w:rPr>
      </w:pPr>
      <w:r>
        <w:rPr>
          <w:rFonts w:ascii="Times New Roman" w:cs="Times New Roman" w:eastAsia="Times New Roman" w:hAnsi="Times New Roman"/>
          <w:sz w:val="20"/>
          <w:szCs w:val="20"/>
          <w:color w:val="auto"/>
        </w:rPr>
        <w:t>Kansas City, Missouri 64105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right"/>
        <w:spacing w:after="0"/>
        <w:rPr>
          <w:sz w:val="20"/>
          <w:szCs w:val="20"/>
          <w:color w:val="auto"/>
        </w:rPr>
      </w:pPr>
      <w:r>
        <w:rPr>
          <w:rFonts w:ascii="Arial" w:cs="Arial" w:eastAsia="Arial" w:hAnsi="Arial"/>
          <w:sz w:val="18"/>
          <w:szCs w:val="18"/>
          <w:color w:val="A80000"/>
        </w:rPr>
        <w:t>Internal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wp:posOffset>
            </wp:positionH>
            <wp:positionV relativeFrom="paragraph">
              <wp:posOffset>287655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5"/>
          </w:cols>
          <w:pgMar w:left="915" w:top="1440" w:right="35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EVERGY, INC. 401(k) SAVINGS 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040" w:type="dxa"/>
            <w:vAlign w:val="bottom"/>
            <w:tcBorders>
              <w:top w:val="single" w:sz="8" w:color="auto"/>
            </w:tcBorders>
          </w:tcPr>
          <w:p>
            <w:pPr>
              <w:spacing w:after="0"/>
              <w:rPr>
                <w:sz w:val="22"/>
                <w:szCs w:val="22"/>
                <w:color w:val="auto"/>
              </w:rPr>
            </w:pPr>
          </w:p>
        </w:tc>
        <w:tc>
          <w:tcPr>
            <w:tcW w:w="90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9"/>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w:t>
            </w:r>
          </w:p>
        </w:tc>
      </w:tr>
      <w:tr>
        <w:trPr>
          <w:trHeight w:val="473"/>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FINANCIAL STATEMENTS:</w:t>
            </w:r>
          </w:p>
        </w:tc>
        <w:tc>
          <w:tcPr>
            <w:tcW w:w="1100" w:type="dxa"/>
            <w:vAlign w:val="bottom"/>
          </w:tcPr>
          <w:p>
            <w:pPr>
              <w:spacing w:after="0"/>
              <w:rPr>
                <w:sz w:val="24"/>
                <w:szCs w:val="24"/>
                <w:color w:val="auto"/>
              </w:rPr>
            </w:pPr>
          </w:p>
        </w:tc>
      </w:tr>
      <w:tr>
        <w:trPr>
          <w:trHeight w:val="473"/>
        </w:trPr>
        <w:tc>
          <w:tcPr>
            <w:tcW w:w="104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2025 and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5</w:t>
            </w:r>
          </w:p>
        </w:tc>
      </w:tr>
      <w:tr>
        <w:trPr>
          <w:trHeight w:val="473"/>
        </w:trPr>
        <w:tc>
          <w:tcPr>
            <w:tcW w:w="104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 for the Year Ended December 31,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6</w:t>
            </w:r>
          </w:p>
        </w:tc>
      </w:tr>
      <w:tr>
        <w:trPr>
          <w:trHeight w:val="473"/>
        </w:trPr>
        <w:tc>
          <w:tcPr>
            <w:tcW w:w="104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Notes to Financial Statements as of December 31, 2025 and 2024 and for the Year Ended December 31,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7-15</w:t>
            </w:r>
          </w:p>
        </w:tc>
      </w:tr>
      <w:tr>
        <w:trPr>
          <w:trHeight w:val="473"/>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SUPPLEMENTARY INFORMATION:</w:t>
            </w:r>
          </w:p>
        </w:tc>
        <w:tc>
          <w:tcPr>
            <w:tcW w:w="1100" w:type="dxa"/>
            <w:vAlign w:val="bottom"/>
          </w:tcPr>
          <w:p>
            <w:pPr>
              <w:spacing w:after="0"/>
              <w:rPr>
                <w:sz w:val="24"/>
                <w:szCs w:val="24"/>
                <w:color w:val="auto"/>
              </w:rPr>
            </w:pPr>
          </w:p>
        </w:tc>
      </w:tr>
      <w:tr>
        <w:trPr>
          <w:trHeight w:val="473"/>
        </w:trPr>
        <w:tc>
          <w:tcPr>
            <w:tcW w:w="104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5500, Schedule H, Part IV, Line 4i - Schedule of Assets (Held at End of Year) as of December 31, 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r>
      <w:tr>
        <w:trPr>
          <w:trHeight w:val="417"/>
        </w:trPr>
        <w:tc>
          <w:tcPr>
            <w:tcW w:w="1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Note:</w:t>
            </w: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All other schedules required by Section 2520.103-10 of the Department of Labor’s Rules and</w:t>
            </w:r>
          </w:p>
        </w:tc>
        <w:tc>
          <w:tcPr>
            <w:tcW w:w="1100" w:type="dxa"/>
            <w:vAlign w:val="bottom"/>
          </w:tcPr>
          <w:p>
            <w:pPr>
              <w:spacing w:after="0"/>
              <w:rPr>
                <w:sz w:val="24"/>
                <w:szCs w:val="24"/>
                <w:color w:val="auto"/>
              </w:rPr>
            </w:pPr>
          </w:p>
        </w:tc>
      </w:tr>
      <w:tr>
        <w:trPr>
          <w:trHeight w:val="202"/>
        </w:trPr>
        <w:tc>
          <w:tcPr>
            <w:tcW w:w="1040" w:type="dxa"/>
            <w:vAlign w:val="bottom"/>
          </w:tcPr>
          <w:p>
            <w:pPr>
              <w:spacing w:after="0"/>
              <w:rPr>
                <w:sz w:val="17"/>
                <w:szCs w:val="17"/>
                <w:color w:val="auto"/>
              </w:rPr>
            </w:pPr>
          </w:p>
        </w:tc>
        <w:tc>
          <w:tcPr>
            <w:tcW w:w="904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Regulations for Reporting and Disclosure under the Employee Retirement Income Security</w:t>
            </w:r>
          </w:p>
        </w:tc>
        <w:tc>
          <w:tcPr>
            <w:tcW w:w="1100" w:type="dxa"/>
            <w:vAlign w:val="bottom"/>
          </w:tcPr>
          <w:p>
            <w:pPr>
              <w:spacing w:after="0"/>
              <w:rPr>
                <w:sz w:val="17"/>
                <w:szCs w:val="17"/>
                <w:color w:val="auto"/>
              </w:rPr>
            </w:pPr>
          </w:p>
        </w:tc>
      </w:tr>
      <w:tr>
        <w:trPr>
          <w:trHeight w:val="258"/>
        </w:trPr>
        <w:tc>
          <w:tcPr>
            <w:tcW w:w="1040" w:type="dxa"/>
            <w:vAlign w:val="bottom"/>
          </w:tcPr>
          <w:p>
            <w:pPr>
              <w:spacing w:after="0"/>
              <w:rPr>
                <w:sz w:val="22"/>
                <w:szCs w:val="22"/>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Act of 1974, as amended, have been omitted because they are not applicable.</w:t>
            </w:r>
          </w:p>
        </w:tc>
        <w:tc>
          <w:tcPr>
            <w:tcW w:w="1100" w:type="dxa"/>
            <w:vAlign w:val="bottom"/>
          </w:tcPr>
          <w:p>
            <w:pPr>
              <w:spacing w:after="0"/>
              <w:rPr>
                <w:sz w:val="22"/>
                <w:szCs w:val="22"/>
                <w:color w:val="auto"/>
              </w:rPr>
            </w:pPr>
          </w:p>
        </w:tc>
      </w:tr>
      <w:tr>
        <w:trPr>
          <w:trHeight w:val="675"/>
        </w:trPr>
        <w:tc>
          <w:tcPr>
            <w:tcW w:w="1040" w:type="dxa"/>
            <w:vAlign w:val="bottom"/>
          </w:tcPr>
          <w:p>
            <w:pPr>
              <w:spacing w:after="0"/>
              <w:rPr>
                <w:sz w:val="24"/>
                <w:szCs w:val="24"/>
                <w:color w:val="auto"/>
              </w:rPr>
            </w:pPr>
          </w:p>
        </w:tc>
        <w:tc>
          <w:tcPr>
            <w:tcW w:w="9040" w:type="dxa"/>
            <w:vAlign w:val="bottom"/>
          </w:tcPr>
          <w:p>
            <w:pPr>
              <w:ind w:left="460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100" w:type="dxa"/>
            <w:vAlign w:val="bottom"/>
          </w:tcPr>
          <w:p>
            <w:pPr>
              <w:spacing w:after="0"/>
              <w:rPr>
                <w:sz w:val="24"/>
                <w:szCs w:val="24"/>
                <w:color w:val="auto"/>
              </w:rPr>
            </w:pPr>
          </w:p>
        </w:tc>
      </w:tr>
      <w:tr>
        <w:trPr>
          <w:trHeight w:val="486"/>
        </w:trPr>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040" w:type="dxa"/>
            <w:vAlign w:val="bottom"/>
          </w:tcPr>
          <w:p>
            <w:pPr>
              <w:ind w:left="480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100" w:type="dxa"/>
            <w:vAlign w:val="bottom"/>
          </w:tcPr>
          <w:p>
            <w:pPr>
              <w:spacing w:after="0"/>
              <w:rPr>
                <w:sz w:val="24"/>
                <w:szCs w:val="24"/>
                <w:color w:val="auto"/>
              </w:rPr>
            </w:pPr>
          </w:p>
        </w:tc>
      </w:tr>
    </w:tbl>
    <w:p>
      <w:pPr>
        <w:spacing w:after="0" w:line="228" w:lineRule="exact"/>
        <w:rPr>
          <w:sz w:val="20"/>
          <w:szCs w:val="20"/>
          <w:color w:val="auto"/>
        </w:rPr>
      </w:pPr>
    </w:p>
    <w:p>
      <w:pPr>
        <w:ind w:left="280"/>
        <w:spacing w:after="0"/>
        <w:tabs>
          <w:tab w:leader="none" w:pos="9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Independent Registered Public Accounting Firm – CBIZ CPAs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86995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Report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and Administrative Committee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Evergy, Inc. 401(k) Savings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Opinion on the Financial Statements</w:t>
      </w:r>
    </w:p>
    <w:p>
      <w:pPr>
        <w:spacing w:after="0" w:line="23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We have audited the accompanying statements of net assets available for benefits of the Evergy, Inc. 401(k)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Information</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Form 5500, Schedule H, Part IV, Line 4i -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22"/>
          <w:szCs w:val="22"/>
          <w:color w:val="auto"/>
        </w:rPr>
        <w:t>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CBIZ CPAs P.C.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served as the Plan's auditor since 2014.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Kansas City, Missouri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18, 2026</w:t>
      </w:r>
    </w:p>
    <w:p>
      <w:pPr>
        <w:sectPr>
          <w:pgSz w:w="11900" w:h="16838" w:orient="portrait"/>
          <w:cols w:equalWidth="0" w:num="1">
            <w:col w:w="11140"/>
          </w:cols>
          <w:pgMar w:left="320" w:top="1165"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97"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 401(k) SAVINGS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360" w:type="dxa"/>
            <w:vAlign w:val="bottom"/>
          </w:tcPr>
          <w:p>
            <w:pPr>
              <w:spacing w:after="0"/>
              <w:rPr>
                <w:sz w:val="22"/>
                <w:szCs w:val="22"/>
                <w:color w:val="auto"/>
              </w:rPr>
            </w:pPr>
          </w:p>
        </w:tc>
        <w:tc>
          <w:tcPr>
            <w:tcW w:w="1460" w:type="dxa"/>
            <w:vAlign w:val="bottom"/>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5"/>
        </w:trPr>
        <w:tc>
          <w:tcPr>
            <w:tcW w:w="69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Participant-directed investments–at fair value (Note 3)</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1,662,815,527</w:t>
            </w:r>
          </w:p>
        </w:tc>
        <w:tc>
          <w:tcPr>
            <w:tcW w:w="680" w:type="dxa"/>
            <w:vAlign w:val="bottom"/>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1,468,236,873</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Receivables:</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24,341,301</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23,158,890</w:t>
            </w:r>
          </w:p>
        </w:tc>
        <w:tc>
          <w:tcPr>
            <w:tcW w:w="0" w:type="dxa"/>
            <w:vAlign w:val="bottom"/>
          </w:tcPr>
          <w:p>
            <w:pPr>
              <w:spacing w:after="0"/>
              <w:rPr>
                <w:sz w:val="1"/>
                <w:szCs w:val="1"/>
                <w:color w:val="auto"/>
              </w:rPr>
            </w:pPr>
          </w:p>
        </w:tc>
      </w:tr>
      <w:tr>
        <w:trPr>
          <w:trHeight w:val="256"/>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Employer contributions</w:t>
            </w:r>
          </w:p>
        </w:tc>
        <w:tc>
          <w:tcPr>
            <w:tcW w:w="3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4,677,576</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4,204,078</w:t>
            </w:r>
          </w:p>
        </w:tc>
        <w:tc>
          <w:tcPr>
            <w:tcW w:w="0" w:type="dxa"/>
            <w:vAlign w:val="bottom"/>
          </w:tcPr>
          <w:p>
            <w:pPr>
              <w:spacing w:after="0"/>
              <w:rPr>
                <w:sz w:val="1"/>
                <w:szCs w:val="1"/>
                <w:color w:val="auto"/>
              </w:rPr>
            </w:pPr>
          </w:p>
        </w:tc>
      </w:tr>
      <w:tr>
        <w:trPr>
          <w:trHeight w:val="259"/>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22"/>
                <w:szCs w:val="22"/>
                <w:color w:val="auto"/>
              </w:rPr>
            </w:pPr>
          </w:p>
        </w:tc>
        <w:tc>
          <w:tcPr>
            <w:tcW w:w="214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8,100</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Total receivables</w:t>
            </w:r>
          </w:p>
        </w:tc>
        <w:tc>
          <w:tcPr>
            <w:tcW w:w="3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29,018,877</w:t>
            </w:r>
          </w:p>
        </w:tc>
        <w:tc>
          <w:tcPr>
            <w:tcW w:w="6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27,371,068</w:t>
            </w:r>
          </w:p>
        </w:tc>
        <w:tc>
          <w:tcPr>
            <w:tcW w:w="0" w:type="dxa"/>
            <w:vAlign w:val="bottom"/>
          </w:tcPr>
          <w:p>
            <w:pPr>
              <w:spacing w:after="0"/>
              <w:rPr>
                <w:sz w:val="1"/>
                <w:szCs w:val="1"/>
                <w:color w:val="auto"/>
              </w:rPr>
            </w:pPr>
          </w:p>
        </w:tc>
      </w:tr>
      <w:tr>
        <w:trPr>
          <w:trHeight w:val="713"/>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8,100</w:t>
            </w:r>
          </w:p>
        </w:tc>
        <w:tc>
          <w:tcPr>
            <w:tcW w:w="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8,100</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3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60" w:type="dxa"/>
            <w:vAlign w:val="bottom"/>
            <w:vMerge w:val="continue"/>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1,691,826,304</w:t>
            </w:r>
          </w:p>
        </w:tc>
        <w:tc>
          <w:tcPr>
            <w:tcW w:w="680" w:type="dxa"/>
            <w:vAlign w:val="bottom"/>
          </w:tcPr>
          <w:p>
            <w:pPr>
              <w:spacing w:after="0"/>
              <w:rPr>
                <w:sz w:val="21"/>
                <w:szCs w:val="21"/>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1,495,607,941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6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EVERGY, INC. 401(k) SAVINGS PLAN</w:t>
      </w:r>
    </w:p>
    <w:p>
      <w:pPr>
        <w:spacing w:after="0" w:line="297" w:lineRule="exact"/>
        <w:rPr>
          <w:sz w:val="20"/>
          <w:szCs w:val="20"/>
          <w:color w:val="auto"/>
        </w:rPr>
      </w:pPr>
    </w:p>
    <w:p>
      <w:pPr>
        <w:ind w:right="4140"/>
        <w:spacing w:after="0" w:line="235" w:lineRule="auto"/>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10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Investment income:</w:t>
            </w:r>
          </w:p>
        </w:tc>
        <w:tc>
          <w:tcPr>
            <w:tcW w:w="10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0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226,155,342</w:t>
            </w:r>
          </w:p>
        </w:tc>
        <w:tc>
          <w:tcPr>
            <w:tcW w:w="0" w:type="dxa"/>
            <w:vAlign w:val="bottom"/>
          </w:tcPr>
          <w:p>
            <w:pPr>
              <w:spacing w:after="0"/>
              <w:rPr>
                <w:sz w:val="1"/>
                <w:szCs w:val="1"/>
                <w:color w:val="auto"/>
              </w:rPr>
            </w:pPr>
          </w:p>
        </w:tc>
      </w:tr>
      <w:tr>
        <w:trPr>
          <w:trHeight w:val="257"/>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w:t>
            </w:r>
          </w:p>
        </w:tc>
        <w:tc>
          <w:tcPr>
            <w:tcW w:w="10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97,751</w:t>
            </w:r>
          </w:p>
        </w:tc>
        <w:tc>
          <w:tcPr>
            <w:tcW w:w="0" w:type="dxa"/>
            <w:vAlign w:val="bottom"/>
          </w:tcPr>
          <w:p>
            <w:pPr>
              <w:spacing w:after="0"/>
              <w:rPr>
                <w:sz w:val="1"/>
                <w:szCs w:val="1"/>
                <w:color w:val="auto"/>
              </w:rPr>
            </w:pPr>
          </w:p>
        </w:tc>
      </w:tr>
      <w:tr>
        <w:trPr>
          <w:trHeight w:val="259"/>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Dividends</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9,243,698</w:t>
            </w:r>
          </w:p>
        </w:tc>
        <w:tc>
          <w:tcPr>
            <w:tcW w:w="0" w:type="dxa"/>
            <w:vAlign w:val="bottom"/>
          </w:tcPr>
          <w:p>
            <w:pPr>
              <w:spacing w:after="0"/>
              <w:rPr>
                <w:sz w:val="1"/>
                <w:szCs w:val="1"/>
                <w:color w:val="auto"/>
              </w:rPr>
            </w:pPr>
          </w:p>
        </w:tc>
      </w:tr>
      <w:tr>
        <w:trPr>
          <w:trHeight w:val="257"/>
        </w:trPr>
        <w:tc>
          <w:tcPr>
            <w:tcW w:w="78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Net investment income</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235,496,791</w:t>
            </w:r>
          </w:p>
        </w:tc>
        <w:tc>
          <w:tcPr>
            <w:tcW w:w="0" w:type="dxa"/>
            <w:vAlign w:val="bottom"/>
          </w:tcPr>
          <w:p>
            <w:pPr>
              <w:spacing w:after="0"/>
              <w:rPr>
                <w:sz w:val="1"/>
                <w:szCs w:val="1"/>
                <w:color w:val="auto"/>
              </w:rPr>
            </w:pPr>
          </w:p>
        </w:tc>
      </w:tr>
      <w:tr>
        <w:trPr>
          <w:trHeight w:val="443"/>
        </w:trPr>
        <w:tc>
          <w:tcPr>
            <w:tcW w:w="7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Employer contributions</w:t>
            </w:r>
          </w:p>
        </w:tc>
        <w:tc>
          <w:tcPr>
            <w:tcW w:w="10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29,143,353</w:t>
            </w:r>
          </w:p>
        </w:tc>
        <w:tc>
          <w:tcPr>
            <w:tcW w:w="0" w:type="dxa"/>
            <w:vAlign w:val="bottom"/>
          </w:tcPr>
          <w:p>
            <w:pPr>
              <w:spacing w:after="0"/>
              <w:rPr>
                <w:sz w:val="1"/>
                <w:szCs w:val="1"/>
                <w:color w:val="auto"/>
              </w:rPr>
            </w:pPr>
          </w:p>
        </w:tc>
      </w:tr>
      <w:tr>
        <w:trPr>
          <w:trHeight w:val="257"/>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10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60,925,889</w:t>
            </w:r>
          </w:p>
        </w:tc>
        <w:tc>
          <w:tcPr>
            <w:tcW w:w="0" w:type="dxa"/>
            <w:vAlign w:val="bottom"/>
          </w:tcPr>
          <w:p>
            <w:pPr>
              <w:spacing w:after="0"/>
              <w:rPr>
                <w:sz w:val="1"/>
                <w:szCs w:val="1"/>
                <w:color w:val="auto"/>
              </w:rPr>
            </w:pPr>
          </w:p>
        </w:tc>
      </w:tr>
      <w:tr>
        <w:trPr>
          <w:trHeight w:val="259"/>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Rollovers</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1,767,766</w:t>
            </w:r>
          </w:p>
        </w:tc>
        <w:tc>
          <w:tcPr>
            <w:tcW w:w="0" w:type="dxa"/>
            <w:vAlign w:val="bottom"/>
          </w:tcPr>
          <w:p>
            <w:pPr>
              <w:spacing w:after="0"/>
              <w:rPr>
                <w:sz w:val="1"/>
                <w:szCs w:val="1"/>
                <w:color w:val="auto"/>
              </w:rPr>
            </w:pPr>
          </w:p>
        </w:tc>
      </w:tr>
      <w:tr>
        <w:trPr>
          <w:trHeight w:val="257"/>
        </w:trPr>
        <w:tc>
          <w:tcPr>
            <w:tcW w:w="78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Total contributions</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91,837,008</w:t>
            </w:r>
          </w:p>
        </w:tc>
        <w:tc>
          <w:tcPr>
            <w:tcW w:w="0" w:type="dxa"/>
            <w:vAlign w:val="bottom"/>
          </w:tcPr>
          <w:p>
            <w:pPr>
              <w:spacing w:after="0"/>
              <w:rPr>
                <w:sz w:val="1"/>
                <w:szCs w:val="1"/>
                <w:color w:val="auto"/>
              </w:rPr>
            </w:pPr>
          </w:p>
        </w:tc>
      </w:tr>
      <w:tr>
        <w:trPr>
          <w:trHeight w:val="489"/>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10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2,163,613</w:t>
            </w:r>
          </w:p>
        </w:tc>
        <w:tc>
          <w:tcPr>
            <w:tcW w:w="0" w:type="dxa"/>
            <w:vAlign w:val="bottom"/>
          </w:tcPr>
          <w:p>
            <w:pPr>
              <w:spacing w:after="0"/>
              <w:rPr>
                <w:sz w:val="1"/>
                <w:szCs w:val="1"/>
                <w:color w:val="auto"/>
              </w:rPr>
            </w:pPr>
          </w:p>
        </w:tc>
      </w:tr>
      <w:tr>
        <w:trPr>
          <w:trHeight w:val="490"/>
        </w:trPr>
        <w:tc>
          <w:tcPr>
            <w:tcW w:w="78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Total additions</w:t>
            </w:r>
          </w:p>
        </w:tc>
        <w:tc>
          <w:tcPr>
            <w:tcW w:w="10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329,497,412</w:t>
            </w:r>
          </w:p>
        </w:tc>
        <w:tc>
          <w:tcPr>
            <w:tcW w:w="0" w:type="dxa"/>
            <w:vAlign w:val="bottom"/>
          </w:tcPr>
          <w:p>
            <w:pPr>
              <w:spacing w:after="0"/>
              <w:rPr>
                <w:sz w:val="1"/>
                <w:szCs w:val="1"/>
                <w:color w:val="auto"/>
              </w:rPr>
            </w:pPr>
          </w:p>
        </w:tc>
      </w:tr>
      <w:tr>
        <w:trPr>
          <w:trHeight w:val="49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10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131,975,931</w:t>
            </w:r>
          </w:p>
        </w:tc>
        <w:tc>
          <w:tcPr>
            <w:tcW w:w="0" w:type="dxa"/>
            <w:vAlign w:val="bottom"/>
          </w:tcPr>
          <w:p>
            <w:pPr>
              <w:spacing w:after="0"/>
              <w:rPr>
                <w:sz w:val="1"/>
                <w:szCs w:val="1"/>
                <w:color w:val="auto"/>
              </w:rPr>
            </w:pPr>
          </w:p>
        </w:tc>
      </w:tr>
      <w:tr>
        <w:trPr>
          <w:trHeight w:val="259"/>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Administrative expenses</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1,303,118</w:t>
            </w:r>
          </w:p>
        </w:tc>
        <w:tc>
          <w:tcPr>
            <w:tcW w:w="0" w:type="dxa"/>
            <w:vAlign w:val="bottom"/>
          </w:tcPr>
          <w:p>
            <w:pPr>
              <w:spacing w:after="0"/>
              <w:rPr>
                <w:sz w:val="1"/>
                <w:szCs w:val="1"/>
                <w:color w:val="auto"/>
              </w:rPr>
            </w:pPr>
          </w:p>
        </w:tc>
      </w:tr>
      <w:tr>
        <w:trPr>
          <w:trHeight w:val="257"/>
        </w:trPr>
        <w:tc>
          <w:tcPr>
            <w:tcW w:w="78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Total deductions</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133,279,049</w:t>
            </w:r>
          </w:p>
        </w:tc>
        <w:tc>
          <w:tcPr>
            <w:tcW w:w="0" w:type="dxa"/>
            <w:vAlign w:val="bottom"/>
          </w:tcPr>
          <w:p>
            <w:pPr>
              <w:spacing w:after="0"/>
              <w:rPr>
                <w:sz w:val="1"/>
                <w:szCs w:val="1"/>
                <w:color w:val="auto"/>
              </w:rPr>
            </w:pPr>
          </w:p>
        </w:tc>
      </w:tr>
      <w:tr>
        <w:trPr>
          <w:trHeight w:val="4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INCREASE IN NET ASSETS</w:t>
            </w:r>
          </w:p>
        </w:tc>
        <w:tc>
          <w:tcPr>
            <w:tcW w:w="1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196,218,363</w:t>
            </w:r>
          </w:p>
        </w:tc>
        <w:tc>
          <w:tcPr>
            <w:tcW w:w="0" w:type="dxa"/>
            <w:vAlign w:val="bottom"/>
          </w:tcPr>
          <w:p>
            <w:pPr>
              <w:spacing w:after="0"/>
              <w:rPr>
                <w:sz w:val="1"/>
                <w:szCs w:val="1"/>
                <w:color w:val="auto"/>
              </w:rPr>
            </w:pPr>
          </w:p>
        </w:tc>
      </w:tr>
      <w:tr>
        <w:trPr>
          <w:trHeight w:val="47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Beginning of year</w:t>
            </w:r>
          </w:p>
        </w:tc>
        <w:tc>
          <w:tcPr>
            <w:tcW w:w="10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1,495,607,941</w:t>
            </w:r>
          </w:p>
        </w:tc>
        <w:tc>
          <w:tcPr>
            <w:tcW w:w="0" w:type="dxa"/>
            <w:vAlign w:val="bottom"/>
          </w:tcPr>
          <w:p>
            <w:pPr>
              <w:spacing w:after="0"/>
              <w:rPr>
                <w:sz w:val="1"/>
                <w:szCs w:val="1"/>
                <w:color w:val="auto"/>
              </w:rPr>
            </w:pPr>
          </w:p>
        </w:tc>
      </w:tr>
      <w:tr>
        <w:trPr>
          <w:trHeight w:val="450"/>
        </w:trPr>
        <w:tc>
          <w:tcPr>
            <w:tcW w:w="78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End of year</w:t>
            </w:r>
          </w:p>
        </w:tc>
        <w:tc>
          <w:tcPr>
            <w:tcW w:w="10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1,691,826,304</w:t>
            </w:r>
          </w:p>
        </w:tc>
        <w:tc>
          <w:tcPr>
            <w:tcW w:w="0" w:type="dxa"/>
            <w:vAlign w:val="bottom"/>
          </w:tcPr>
          <w:p>
            <w:pPr>
              <w:spacing w:after="0"/>
              <w:rPr>
                <w:sz w:val="1"/>
                <w:szCs w:val="1"/>
                <w:color w:val="auto"/>
              </w:rPr>
            </w:pPr>
          </w:p>
        </w:tc>
      </w:tr>
      <w:tr>
        <w:trPr>
          <w:trHeight w:val="27"/>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notes to financial statements.</w:t>
            </w:r>
          </w:p>
        </w:tc>
        <w:tc>
          <w:tcPr>
            <w:tcW w:w="1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2"/>
        </w:trPr>
        <w:tc>
          <w:tcPr>
            <w:tcW w:w="78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206"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EVERGY, INC. 401(k) SAVINGS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2025 AND 2024 AND FOR THE YEAR ENDED DECEMBER 31,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w:t>
      </w:r>
    </w:p>
    <w:p>
      <w:pPr>
        <w:spacing w:after="0" w:line="2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PLAN DESCRIPTION</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description of the Evergy, Inc. 401(k) Savings Plan (the Plan) is provided for general information purposes only.</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Participants should refer to the Plan document for more complete information.</w:t>
      </w:r>
    </w:p>
    <w:p>
      <w:pPr>
        <w:spacing w:after="0" w:line="279" w:lineRule="exact"/>
        <w:rPr>
          <w:sz w:val="20"/>
          <w:szCs w:val="20"/>
          <w:color w:val="auto"/>
        </w:rPr>
      </w:pPr>
    </w:p>
    <w:p>
      <w:pPr>
        <w:ind w:left="660" w:right="20"/>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 </w:t>
      </w:r>
      <w:r>
        <w:rPr>
          <w:rFonts w:ascii="Times New Roman" w:cs="Times New Roman" w:eastAsia="Times New Roman" w:hAnsi="Times New Roman"/>
          <w:sz w:val="20"/>
          <w:szCs w:val="20"/>
          <w:color w:val="auto"/>
        </w:rPr>
        <w:t>The Plan is a defined contribution plan sponsored by Evergy, Inc. that covers all full-time and part-time employees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Evergy Metro, Inc. (Metro) and Evergy Kansas Central, Inc. (EKC). The Company serves as the administrator of the Plan. Empower Retirement (Empower) serves as the recordkeeper for the Plan. Empower Trust Company, LLC serves as the trustee for the Plan. The Plan is subject to the provisions of the Employee Retirement Income Security Act of 1974, as amended (ERISA).</w:t>
      </w:r>
    </w:p>
    <w:p>
      <w:pPr>
        <w:spacing w:after="0" w:line="216" w:lineRule="exact"/>
        <w:rPr>
          <w:sz w:val="20"/>
          <w:szCs w:val="20"/>
          <w:color w:val="auto"/>
        </w:rPr>
      </w:pPr>
    </w:p>
    <w:p>
      <w:pPr>
        <w:ind w:left="660" w:right="120"/>
        <w:spacing w:after="0" w:line="291" w:lineRule="auto"/>
        <w:rPr>
          <w:sz w:val="20"/>
          <w:szCs w:val="20"/>
          <w:color w:val="auto"/>
        </w:rPr>
      </w:pPr>
      <w:r>
        <w:rPr>
          <w:rFonts w:ascii="Times New Roman" w:cs="Times New Roman" w:eastAsia="Times New Roman" w:hAnsi="Times New Roman"/>
          <w:sz w:val="20"/>
          <w:szCs w:val="20"/>
          <w:color w:val="auto"/>
        </w:rPr>
        <w:t>An Employee Stock Ownership Plan (ESOP) component was added to the Plan on January 1, 2002 for participants in the Evergy Metro Plan and on January 1, 2003 for the participants in the Evergy Kansas Central Plan. As of December 31, 2025, the ESOP component consisted of the portion of the Plan that was invested in shares of common stock of Evergy, Inc. (Parent common stock). Adding this component gives participants the option of receiving a direct cash distribution of any dividends paid on such Parent common stock held in participant elective contribution accounts and, if they are 100% vested as of the dividend record date, their Company match accounts. Dividends paid on Parent common stock are automatically reinvested, unless cash distribution was elected.</w:t>
      </w:r>
    </w:p>
    <w:p>
      <w:pPr>
        <w:spacing w:after="0" w:line="204" w:lineRule="exact"/>
        <w:rPr>
          <w:sz w:val="20"/>
          <w:szCs w:val="20"/>
          <w:color w:val="auto"/>
        </w:rPr>
      </w:pPr>
    </w:p>
    <w:p>
      <w:pPr>
        <w:ind w:left="660" w:right="220"/>
        <w:spacing w:after="0" w:line="32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Eligibility - </w:t>
      </w:r>
      <w:r>
        <w:rPr>
          <w:rFonts w:ascii="Times New Roman" w:cs="Times New Roman" w:eastAsia="Times New Roman" w:hAnsi="Times New Roman"/>
          <w:sz w:val="20"/>
          <w:szCs w:val="20"/>
          <w:color w:val="auto"/>
        </w:rPr>
        <w:t>An employee becomes eligible to participate the first date the employee completes an hour of service and has made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election to make elective contributions including automatic contribution elections.</w:t>
      </w:r>
    </w:p>
    <w:p>
      <w:pPr>
        <w:spacing w:after="0" w:line="170" w:lineRule="exact"/>
        <w:rPr>
          <w:sz w:val="20"/>
          <w:szCs w:val="20"/>
          <w:color w:val="auto"/>
        </w:rPr>
      </w:pPr>
    </w:p>
    <w:p>
      <w:pPr>
        <w:ind w:left="660"/>
        <w:spacing w:after="0" w:line="292" w:lineRule="auto"/>
        <w:rPr>
          <w:sz w:val="20"/>
          <w:szCs w:val="20"/>
          <w:color w:val="auto"/>
        </w:rPr>
      </w:pPr>
      <w:r>
        <w:rPr>
          <w:rFonts w:ascii="Times New Roman" w:cs="Times New Roman" w:eastAsia="Times New Roman" w:hAnsi="Times New Roman"/>
          <w:sz w:val="20"/>
          <w:szCs w:val="20"/>
          <w:color w:val="auto"/>
        </w:rPr>
        <w:t>Employees’ participation in the Plan is defined based on employment dates and the original Company of hire. Metro non-union employees who were hired prior to September 1, 2007 could elect to continue to participate under the existing “Old Program” plan provisions (provisions prior to January 1, 2008) or under modified plan provisions “New Program”. Metro union employees hired before October 1, 2013 participate in the Old Program. Effective October 1, 2013, newly hired or rehired Metro union employees participate under the “Cash Balance Matching Program”. Effective January 1, 2014, newly hired or rehired non-union Metro employees participate in the “New Program Plus” feature of the Plan. “Post-Program Employees” are Metro non-union employees who first became eligible to participate on or after September 1, 2007 and before January 1, 2014. Effective December 1, 2019 “EKC Original Savings Employees” are EKC non-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7" w:right="359" w:bottom="1440" w:gutter="0" w:footer="0" w:header="0"/>
        </w:sectPr>
      </w:pPr>
    </w:p>
    <w:bookmarkStart w:id="8" w:name="page9"/>
    <w:bookmarkEnd w:id="8"/>
    <w:p>
      <w:pPr>
        <w:ind w:right="20"/>
        <w:spacing w:after="0" w:line="296" w:lineRule="auto"/>
        <w:rPr>
          <w:sz w:val="20"/>
          <w:szCs w:val="20"/>
          <w:color w:val="auto"/>
        </w:rPr>
      </w:pPr>
      <w:r>
        <w:rPr>
          <w:rFonts w:ascii="Times New Roman" w:cs="Times New Roman" w:eastAsia="Times New Roman" w:hAnsi="Times New Roman"/>
          <w:sz w:val="20"/>
          <w:szCs w:val="20"/>
          <w:color w:val="auto"/>
        </w:rPr>
        <w:t>union employees whose first date of employment is before May 31, 2018. “EKC Enhanced Savings Employees” are EKC non-union employees whose first day of employment or re-employment is after May 30, 2018. “Wolf Creek Savings Employees” are Wolf Creek union and non-union employees and “Wolf Creek Enhanced Savings Employees” are Wolf Creek non-union employees whose first day of employment or re-employment is after December 31, 2018.</w:t>
      </w:r>
    </w:p>
    <w:p>
      <w:pPr>
        <w:spacing w:after="0" w:line="198"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Contributions – </w:t>
      </w:r>
      <w:r>
        <w:rPr>
          <w:rFonts w:ascii="Times New Roman" w:cs="Times New Roman" w:eastAsia="Times New Roman" w:hAnsi="Times New Roman"/>
          <w:sz w:val="20"/>
          <w:szCs w:val="20"/>
          <w:color w:val="auto"/>
        </w:rPr>
        <w:t>Contributions to the Plan include pre-tax and Roth contributions made by participants, Company matching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contributions, non-elective Company contributions, and participant rollovers from other plans. Participants may change their contribution percentage as often as they would like and such changes are effective as soon as administratively possible, generally within two pay periods. Company matching contributions may be made in either cash or in Parent common stock, generally at the option of the Company. The Plan does not allow a participant to direct the Trustee to invest more than 15% of the participant’s account in Parent common stock.</w:t>
      </w:r>
    </w:p>
    <w:p>
      <w:pPr>
        <w:spacing w:after="0" w:line="21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color w:val="auto"/>
        </w:rPr>
        <w:t>Participants can contribute between 1% and 75% of eligible compensation as defined in the Plan subject to Plan and Internal Revenue Code (IRC) limitations. Contributions made by Cash Balance Matching Program participants, EKC Original Savings Employees and Wolf Creek Savings Employees up to the first 6% of eligible earnings, as defined by the Plan, are matched 75% by the Company. Wolf Creek Savings Employees that are part of one of the following groups, non-union and hired before January 1, 2013, are members of the Local Union No. 252 United Government Security Officers of America and hired before January 1, 2015, or members of Local Union No. 304 of the International Brotherhood of Electrical Workers and hired before January 1, 2016 receive Company matching contributions of 50% of the first 6% of eligible earnings as defined in the Plan document. Old Program Employees also receive company matching contributions of 50% of the first 6% of eligible earnings. Post Program, New Program and New Program Plus, EKC Enhanced Savings Employees and Wolf Creek Enhanced Savings Employees receive Company matching contributions equal to 100% of the first 6% of eligible compensation as defined in the Plan document and receive an annual non-elective contribution equal to 4% of eligible compensation.</w:t>
      </w:r>
    </w:p>
    <w:p>
      <w:pPr>
        <w:spacing w:after="0" w:line="231"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20"/>
          <w:szCs w:val="20"/>
          <w:color w:val="auto"/>
        </w:rPr>
        <w:t>Participants are immediately eligible to participate and receive Company matching contributions with the exception of EKC union employees who have a one year service requirement for company matching contributions. Participants are eligible for non-elective contributions after completion of 1000 hours of service. Participants who have attained age 50 are eligible to make catch-up contributions subject to Plan and IRC limitations. Participants who have attained age 60, 61, 62, or 63 are eligible to make super catch-up contributions subject to Plan and IRC limitations.</w:t>
      </w:r>
    </w:p>
    <w:p>
      <w:pPr>
        <w:spacing w:after="0" w:line="221"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Subsequent to December 31, 2025, employer contributions of $4,677,576 attributable to the 2025 plan year were credited to participant accounts. These contributions were contributed by the Company in cash and Parent common stock based upon participant elections and are therefore presented as a receivable on the statement of net assets available for benefits as of December 31, 2025. Included in the contribution receivable was $3,525,337 as a non-elective contribution for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86995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197" w:right="359" w:bottom="1440" w:gutter="0" w:footer="0" w:header="0"/>
        </w:sectPr>
      </w:pPr>
    </w:p>
    <w:bookmarkStart w:id="9" w:name="page10"/>
    <w:bookmarkEnd w:id="9"/>
    <w:p>
      <w:pPr>
        <w:spacing w:after="0" w:line="293" w:lineRule="auto"/>
        <w:rPr>
          <w:sz w:val="20"/>
          <w:szCs w:val="20"/>
          <w:color w:val="auto"/>
        </w:rPr>
      </w:pPr>
      <w:r>
        <w:rPr>
          <w:rFonts w:ascii="Times New Roman" w:cs="Times New Roman" w:eastAsia="Times New Roman" w:hAnsi="Times New Roman"/>
          <w:sz w:val="20"/>
          <w:szCs w:val="20"/>
          <w:color w:val="auto"/>
        </w:rPr>
        <w:t>those participants in the New Program Plus, Evergy Kansas Central Enhanced and Wolf Creek Enhanced programs. Subsequent to December 31, 2024, employer contributions of $4,204,078 attributable to the 2024 plan year were credited to participant accounts. These contributions were funded by the Company in cash and Parent common stock and are therefore presented as a receivable on the statement of net assets available for benefits as of December 31, 2024. Included in the contribution receivable was $3,078,974 as a non-elective contribution for those participants in the New Program Plus, Evergy Kansas Central Enhanced, and Wolf Creek Enhanced programs.</w:t>
      </w:r>
    </w:p>
    <w:p>
      <w:pPr>
        <w:spacing w:after="0" w:line="201"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Investments – </w:t>
      </w:r>
      <w:r>
        <w:rPr>
          <w:rFonts w:ascii="Times New Roman" w:cs="Times New Roman" w:eastAsia="Times New Roman" w:hAnsi="Times New Roman"/>
          <w:sz w:val="20"/>
          <w:szCs w:val="20"/>
          <w:color w:val="auto"/>
        </w:rPr>
        <w:t>The Plan currently offers investment options including mutual funds, a money market fund, parent common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common/collective trust funds and a self-directed brokerage account. Matching contributions are directed into a target date mutual fund based on the participant’s normal retirement age unless the employee makes an affirmative election for a different investment option(s). Employee contributions are also invested in a target date fund based on the participant’s age unless the participant makes an affirmative election for a different investment option(s).</w:t>
      </w:r>
    </w:p>
    <w:p>
      <w:pPr>
        <w:spacing w:after="0" w:line="17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Participant Accounts – </w:t>
      </w:r>
      <w:r>
        <w:rPr>
          <w:rFonts w:ascii="Times New Roman" w:cs="Times New Roman" w:eastAsia="Times New Roman" w:hAnsi="Times New Roman"/>
          <w:sz w:val="20"/>
          <w:szCs w:val="20"/>
          <w:color w:val="auto"/>
        </w:rPr>
        <w:t>Each participant’s account is credited with the participant’s contributions and allocations of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contributions and Plan earnings/losses. A fee covering administrative costs of the Plan such as recordkeeping, auditing, legal, investment advisory and trustee/custodial services is deducted from participant accounts quarterly. This quarterly charge may be offset by credits to the participant’s account based on agreements between the fund providers in the participant’s portfolio and Empower. Allocations are based on participant earnings or account balances. The benefit to which a participant is entitled is the benefit that can be provided from the participant’s vested account.</w:t>
      </w:r>
    </w:p>
    <w:p>
      <w:pPr>
        <w:spacing w:after="0" w:line="200"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 xml:space="preserve">Vesting – </w:t>
      </w:r>
      <w:r>
        <w:rPr>
          <w:rFonts w:ascii="Times New Roman" w:cs="Times New Roman" w:eastAsia="Times New Roman" w:hAnsi="Times New Roman"/>
          <w:sz w:val="20"/>
          <w:szCs w:val="20"/>
          <w:color w:val="auto"/>
        </w:rPr>
        <w:t>Participants are vested immediately in their elective contributions, Company matching contributions and actual earnings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thereon. Participants vest in non-elective contributions after three years of service. Cash Balance Matching Program employees vest in Company matching contributions on a six-year graded vesting schedule.</w:t>
      </w:r>
    </w:p>
    <w:p>
      <w:pPr>
        <w:spacing w:after="0" w:line="190"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Notes Receivable from Participants - </w:t>
      </w:r>
      <w:r>
        <w:rPr>
          <w:rFonts w:ascii="Times New Roman" w:cs="Times New Roman" w:eastAsia="Times New Roman" w:hAnsi="Times New Roman"/>
          <w:sz w:val="20"/>
          <w:szCs w:val="20"/>
          <w:color w:val="auto"/>
        </w:rPr>
        <w:t>Participants are permitted to borrow a specified portion of the balance in their individual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 Loan interest rates and terms are established by the Management Administrative Committee. Loans are evidenced by promissory notes payable to the Plan over a period up to five years for general purpose loans and up to 30 years for principal residence loans.</w:t>
      </w:r>
    </w:p>
    <w:p>
      <w:pPr>
        <w:spacing w:after="0" w:line="19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Payment of Benefits – </w:t>
      </w:r>
      <w:r>
        <w:rPr>
          <w:rFonts w:ascii="Times New Roman" w:cs="Times New Roman" w:eastAsia="Times New Roman" w:hAnsi="Times New Roman"/>
          <w:sz w:val="20"/>
          <w:szCs w:val="20"/>
          <w:color w:val="auto"/>
        </w:rPr>
        <w:t>Benefits are recorded when paid. Upon retirement, death, disability or termination of employment, all vested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balances are paid to the participant or the participant’s beneficiaries in accordance with Plan terms. If the value of the participant’s account balance is $7,000 or less, payment shall be made to the participant as soon as practicable following termination of employment in a single lump sum distribution unless the participant directs the Plan to roll his or her account balance to another qualified plan or 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86995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980" w:top="1197" w:right="439" w:bottom="1440" w:gutter="0" w:footer="0" w:header="0"/>
        </w:sectPr>
      </w:pPr>
    </w:p>
    <w:bookmarkStart w:id="10" w:name="page11"/>
    <w:bookmarkEnd w:id="10"/>
    <w:p>
      <w:pPr>
        <w:ind w:left="660" w:right="100"/>
        <w:spacing w:after="0" w:line="31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Forfeited Accounts - </w:t>
      </w:r>
      <w:r>
        <w:rPr>
          <w:rFonts w:ascii="Times New Roman" w:cs="Times New Roman" w:eastAsia="Times New Roman" w:hAnsi="Times New Roman"/>
          <w:sz w:val="19"/>
          <w:szCs w:val="19"/>
          <w:color w:val="auto"/>
        </w:rPr>
        <w:t>At December 31, 2025 and 2024, there were $74,397 and $88,968 in forfeited non-vested accounts,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respectively. These accounts will be used to pay expenses for administering the Plan or to reduce future matching contributions and/or New Program Plus contributions at the end of the plan year in which they became forfeitures. Forfeitures in the amount of $0 were used to pay 2025 administrative expenses. Forfeitures in the amount of $80,355 were used to offset employer contributions for the year ended December 31, 2025. ERISA Spending Account funds were used to pay 2025 administrative expenses.</w:t>
      </w:r>
    </w:p>
    <w:p>
      <w:pPr>
        <w:spacing w:after="0" w:line="200" w:lineRule="exact"/>
        <w:rPr>
          <w:sz w:val="20"/>
          <w:szCs w:val="20"/>
          <w:color w:val="auto"/>
        </w:rPr>
      </w:pPr>
    </w:p>
    <w:p>
      <w:pPr>
        <w:ind w:left="660" w:right="280"/>
        <w:spacing w:after="0" w:line="298" w:lineRule="auto"/>
        <w:rPr>
          <w:sz w:val="20"/>
          <w:szCs w:val="20"/>
          <w:color w:val="auto"/>
        </w:rPr>
      </w:pPr>
      <w:r>
        <w:rPr>
          <w:rFonts w:ascii="Times New Roman" w:cs="Times New Roman" w:eastAsia="Times New Roman" w:hAnsi="Times New Roman"/>
          <w:sz w:val="20"/>
          <w:szCs w:val="20"/>
          <w:b w:val="1"/>
          <w:bCs w:val="1"/>
          <w:i w:val="1"/>
          <w:iCs w:val="1"/>
          <w:color w:val="auto"/>
        </w:rPr>
        <w:t>Plan Termination</w:t>
      </w:r>
      <w:r>
        <w:rPr>
          <w:rFonts w:ascii="Times New Roman" w:cs="Times New Roman" w:eastAsia="Times New Roman" w:hAnsi="Times New Roman"/>
          <w:sz w:val="20"/>
          <w:szCs w:val="20"/>
          <w:color w:val="auto"/>
        </w:rPr>
        <w:t>- Although it has not expressed any intent to do so, the Company has the right under the Plan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discontinue its contributions at any time and to terminate the Plan subject to the provisions of ERISA. In the event of Plan termination, the participants would become fully vested in all Company contributions.</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43" w:lineRule="exact"/>
        <w:rPr>
          <w:sz w:val="20"/>
          <w:szCs w:val="20"/>
          <w:color w:val="auto"/>
        </w:rPr>
      </w:pPr>
    </w:p>
    <w:p>
      <w:pPr>
        <w:ind w:left="660" w:right="740"/>
        <w:spacing w:after="0" w:line="32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Basis of Accounting - </w:t>
      </w:r>
      <w:r>
        <w:rPr>
          <w:rFonts w:ascii="Times New Roman" w:cs="Times New Roman" w:eastAsia="Times New Roman" w:hAnsi="Times New Roman"/>
          <w:sz w:val="20"/>
          <w:szCs w:val="20"/>
          <w:color w:val="auto"/>
        </w:rPr>
        <w:t>The accompanying financial statements have been prepared in accordance with accounting principles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generally accepted in the United States of America (GAAP).</w:t>
      </w:r>
    </w:p>
    <w:p>
      <w:pPr>
        <w:spacing w:after="0" w:line="166" w:lineRule="exact"/>
        <w:rPr>
          <w:sz w:val="20"/>
          <w:szCs w:val="20"/>
          <w:color w:val="auto"/>
        </w:rPr>
      </w:pPr>
    </w:p>
    <w:p>
      <w:pPr>
        <w:ind w:left="660" w:right="260"/>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Estimates - </w:t>
      </w:r>
      <w:r>
        <w:rPr>
          <w:rFonts w:ascii="Times New Roman" w:cs="Times New Roman" w:eastAsia="Times New Roman" w:hAnsi="Times New Roman"/>
          <w:sz w:val="20"/>
          <w:szCs w:val="20"/>
          <w:color w:val="auto"/>
        </w:rPr>
        <w:t>The preparation of financial statements in conformity with GAAP requires management to make estimates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assumptions that affect the reported amounts of net assets available for benefits and changes therein and disclosure of contingent assets and liabilities. Actual results could differ from those estimates.</w:t>
      </w:r>
    </w:p>
    <w:p>
      <w:pPr>
        <w:spacing w:after="0" w:line="190" w:lineRule="exact"/>
        <w:rPr>
          <w:sz w:val="20"/>
          <w:szCs w:val="20"/>
          <w:color w:val="auto"/>
        </w:rPr>
      </w:pPr>
    </w:p>
    <w:p>
      <w:pPr>
        <w:ind w:left="660"/>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Risks, Uncertainties and Concentrations - </w:t>
      </w:r>
      <w:r>
        <w:rPr>
          <w:rFonts w:ascii="Times New Roman" w:cs="Times New Roman" w:eastAsia="Times New Roman" w:hAnsi="Times New Roman"/>
          <w:sz w:val="20"/>
          <w:szCs w:val="20"/>
          <w:color w:val="auto"/>
        </w:rPr>
        <w:t>The Plan utilizes various investment instruments, including Parent common stock, mutual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funds, various investment options through a self-directed brokerage account and common/collective trust funds. Investment securities, in general, are exposed to various risks, such as interest rate, credit, and overall market volatility. Market risks include global events which could impact the value of the investment securities, such as pandemic or international conflict. Due to the level of risk associated with certain investment securities, it is reasonably possible that changes in the fair value of investment securities will occur in the near term and such changes could materially affect participant accounts and the amounts reported in the financial statements. At December 31, 2025 and 2024, approximately 3% of the Plan's investments are invested in Parent common stock. At December 31, 2025 and 2024, approximately 18% of the Plan's investments are invested in State St S&amp;P 500 Index.</w:t>
      </w:r>
    </w:p>
    <w:p>
      <w:pPr>
        <w:spacing w:after="0" w:line="205" w:lineRule="exact"/>
        <w:rPr>
          <w:sz w:val="20"/>
          <w:szCs w:val="20"/>
          <w:color w:val="auto"/>
        </w:rPr>
      </w:pPr>
    </w:p>
    <w:p>
      <w:pPr>
        <w:ind w:left="660" w:right="800"/>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Valuation and Income Recognition - </w:t>
      </w:r>
      <w:r>
        <w:rPr>
          <w:rFonts w:ascii="Times New Roman" w:cs="Times New Roman" w:eastAsia="Times New Roman" w:hAnsi="Times New Roman"/>
          <w:sz w:val="20"/>
          <w:szCs w:val="20"/>
          <w:color w:val="auto"/>
        </w:rPr>
        <w:t>The Plan's investments are reported at fair value. Fair value of a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instrument is the price that would be received to sell an asset in an orderly transaction between market participants at the measurement date.</w:t>
      </w:r>
    </w:p>
    <w:p>
      <w:pPr>
        <w:spacing w:after="0" w:line="194" w:lineRule="exact"/>
        <w:rPr>
          <w:sz w:val="20"/>
          <w:szCs w:val="20"/>
          <w:color w:val="auto"/>
        </w:rPr>
      </w:pPr>
    </w:p>
    <w:p>
      <w:pPr>
        <w:ind w:left="660" w:right="20"/>
        <w:spacing w:after="0" w:line="303" w:lineRule="auto"/>
        <w:rPr>
          <w:sz w:val="20"/>
          <w:szCs w:val="20"/>
          <w:color w:val="auto"/>
        </w:rPr>
      </w:pPr>
      <w:r>
        <w:rPr>
          <w:rFonts w:ascii="Times New Roman" w:cs="Times New Roman" w:eastAsia="Times New Roman" w:hAnsi="Times New Roman"/>
          <w:sz w:val="20"/>
          <w:szCs w:val="20"/>
          <w:color w:val="auto"/>
        </w:rPr>
        <w:t>Purchases and sales of investments are recorded on a trade-date basis. Dividends are recorded on the ex-dividend date. Interest income is recorded on the accrual basis. Net appreciation includes the Plan’s gains and losses on investments bought and sold as well as held during the year.</w:t>
      </w:r>
    </w:p>
    <w:p>
      <w:pPr>
        <w:spacing w:after="0" w:line="209" w:lineRule="exact"/>
        <w:rPr>
          <w:sz w:val="20"/>
          <w:szCs w:val="20"/>
          <w:color w:val="auto"/>
        </w:rPr>
      </w:pPr>
    </w:p>
    <w:p>
      <w:pPr>
        <w:ind w:left="660" w:right="140"/>
        <w:spacing w:after="0" w:line="325" w:lineRule="auto"/>
        <w:rPr>
          <w:sz w:val="20"/>
          <w:szCs w:val="20"/>
          <w:color w:val="auto"/>
        </w:rPr>
      </w:pPr>
      <w:r>
        <w:rPr>
          <w:rFonts w:ascii="Times New Roman" w:cs="Times New Roman" w:eastAsia="Times New Roman" w:hAnsi="Times New Roman"/>
          <w:sz w:val="20"/>
          <w:szCs w:val="20"/>
          <w:color w:val="auto"/>
        </w:rPr>
        <w:t>Management fees and administrative expenses charged to the Plan for the Plan’s investments are deducted from income earned on a daily basis and are not separately reflected. Consequently,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0"/>
          <w:szCs w:val="20"/>
          <w:color w:val="auto"/>
        </w:rPr>
        <w:t>investment management fees and administrative expenses are reflected as a reduction of investment income for such investments.</w:t>
      </w:r>
    </w:p>
    <w:p>
      <w:pPr>
        <w:spacing w:after="0" w:line="293" w:lineRule="exact"/>
        <w:rPr>
          <w:sz w:val="20"/>
          <w:szCs w:val="20"/>
          <w:color w:val="auto"/>
        </w:rPr>
      </w:pPr>
    </w:p>
    <w:p>
      <w:pPr>
        <w:ind w:left="660" w:right="200"/>
        <w:spacing w:after="0" w:line="31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Administrative Expenses - </w:t>
      </w:r>
      <w:r>
        <w:rPr>
          <w:rFonts w:ascii="Times New Roman" w:cs="Times New Roman" w:eastAsia="Times New Roman" w:hAnsi="Times New Roman"/>
          <w:sz w:val="20"/>
          <w:szCs w:val="20"/>
          <w:color w:val="auto"/>
        </w:rPr>
        <w:t>Administrative expenses of the Plan are paid by either the Plan or the Company, as provided in the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document and governing contract. Investment-related expenses are included in net appreciation in fair value of investments.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Payment of Benefits - </w:t>
      </w:r>
      <w:r>
        <w:rPr>
          <w:rFonts w:ascii="Times New Roman" w:cs="Times New Roman" w:eastAsia="Times New Roman" w:hAnsi="Times New Roman"/>
          <w:sz w:val="20"/>
          <w:szCs w:val="20"/>
          <w:color w:val="auto"/>
        </w:rPr>
        <w:t>Benefit payments to participants are recorded when paid.</w:t>
      </w: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FAIR VALUE OF INVESTMENTS</w:t>
      </w:r>
    </w:p>
    <w:p>
      <w:pPr>
        <w:spacing w:after="0" w:line="301" w:lineRule="exact"/>
        <w:rPr>
          <w:sz w:val="20"/>
          <w:szCs w:val="20"/>
          <w:color w:val="auto"/>
        </w:rPr>
      </w:pPr>
    </w:p>
    <w:p>
      <w:pPr>
        <w:ind w:left="660" w:right="40"/>
        <w:spacing w:after="0" w:line="292"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The Plan’s assessment of the significance of a particular input to the fair value measurement requires judgment and may affect the classification of assets and liabilities within the fair value hierarchy levels. In addition, the Plan measures certain investments that do not have a readily determinable fair value at net asset value (NAV), which are not included in the fair value hierarchy. Further explanation of these levels and NAV is summarized below.</w:t>
      </w:r>
    </w:p>
    <w:p>
      <w:pPr>
        <w:spacing w:after="0" w:line="180" w:lineRule="exact"/>
        <w:rPr>
          <w:sz w:val="20"/>
          <w:szCs w:val="20"/>
          <w:color w:val="auto"/>
        </w:rPr>
      </w:pPr>
    </w:p>
    <w:p>
      <w:pPr>
        <w:ind w:left="660" w:right="160"/>
        <w:spacing w:after="0" w:line="325"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The types of assets included in Level 1 are highly liquid and actively traded instruments with quoted prices.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w:t>
      </w:r>
    </w:p>
    <w:p>
      <w:pPr>
        <w:spacing w:after="0" w:line="270" w:lineRule="exact"/>
        <w:rPr>
          <w:sz w:val="20"/>
          <w:szCs w:val="20"/>
          <w:color w:val="auto"/>
        </w:rPr>
      </w:pPr>
    </w:p>
    <w:p>
      <w:pPr>
        <w:ind w:left="660" w:right="440"/>
        <w:spacing w:after="0" w:line="311"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 of assets included in Level 3 are those with inputs requiring significant judgment or estimation.</w:t>
      </w:r>
    </w:p>
    <w:p>
      <w:pPr>
        <w:spacing w:after="0" w:line="160" w:lineRule="exact"/>
        <w:rPr>
          <w:sz w:val="20"/>
          <w:szCs w:val="20"/>
          <w:color w:val="auto"/>
        </w:rPr>
      </w:pPr>
    </w:p>
    <w:p>
      <w:pPr>
        <w:ind w:left="660" w:right="240"/>
        <w:spacing w:after="0" w:line="325"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are not included within the fair value hierarchy.</w:t>
      </w:r>
    </w:p>
    <w:p>
      <w:pPr>
        <w:spacing w:after="0" w:line="143"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Asset Valuation Techniques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Valuation techniques maximize the use of relevant observable inputs and minimize the use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unobservable inputs. The following is a description of the valuation methodologies used. There have been no changes in the methodologies used at December 31, 2025 and 2024.</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Common Stocks - </w:t>
      </w:r>
      <w:r>
        <w:rPr>
          <w:rFonts w:ascii="Times New Roman" w:cs="Times New Roman" w:eastAsia="Times New Roman" w:hAnsi="Times New Roman"/>
          <w:sz w:val="20"/>
          <w:szCs w:val="20"/>
          <w:color w:val="auto"/>
        </w:rPr>
        <w:t>Valued at the closing price reported on the active market on which the individual securities are traded.</w:t>
      </w:r>
    </w:p>
    <w:p>
      <w:pPr>
        <w:spacing w:after="0" w:line="270"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20"/>
          <w:szCs w:val="20"/>
          <w:i w:val="1"/>
          <w:iCs w:val="1"/>
          <w:color w:val="auto"/>
        </w:rPr>
        <w:t xml:space="preserve">Mutual Funds and Money Market Fund - </w:t>
      </w:r>
      <w:r>
        <w:rPr>
          <w:rFonts w:ascii="Times New Roman" w:cs="Times New Roman" w:eastAsia="Times New Roman" w:hAnsi="Times New Roman"/>
          <w:sz w:val="20"/>
          <w:szCs w:val="20"/>
          <w:color w:val="auto"/>
        </w:rPr>
        <w:t>Valued at the daily closing price as reported by the fund. Mutual funds and the money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fund held by the Plan are open-ended funds that are registered with the Securities and Exchange Commission. These funds are required to publish their daily net asset value and to transact at that price. The mutual funds and the money market fund held by the Plan are deemed to be actively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left="640"/>
        <w:spacing w:after="0" w:line="292" w:lineRule="auto"/>
        <w:rPr>
          <w:sz w:val="20"/>
          <w:szCs w:val="20"/>
          <w:color w:val="auto"/>
        </w:rPr>
      </w:pPr>
      <w:r>
        <w:rPr>
          <w:rFonts w:ascii="Times New Roman" w:cs="Times New Roman" w:eastAsia="Times New Roman" w:hAnsi="Times New Roman"/>
          <w:sz w:val="20"/>
          <w:szCs w:val="20"/>
          <w:i w:val="1"/>
          <w:iCs w:val="1"/>
          <w:color w:val="auto"/>
        </w:rPr>
        <w:t xml:space="preserve">Common Collective Trust Funds - </w:t>
      </w:r>
      <w:r>
        <w:rPr>
          <w:rFonts w:ascii="Times New Roman" w:cs="Times New Roman" w:eastAsia="Times New Roman" w:hAnsi="Times New Roman"/>
          <w:sz w:val="20"/>
          <w:szCs w:val="20"/>
          <w:color w:val="auto"/>
        </w:rPr>
        <w:t>Valued at the net asset value of units of a bank collective trust or its equivalent. The net asset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provided by the trust is used as a practical expedient to estimate fair value. The net asset value is based on the fair value of the underlying investments held by the trust less its liabilities. This practical expedient is not used when it is determined to be probable that the trust will sell the investment for an amount different than the reported net asset value. Participant transactions (purchases and sales) may occur daily. If the Plan were to initiate a full redemption of a collective trust, the investment advisor generally reserves the right to temporarily delay withdrawal from the trust in order to ensure that securities liquidations will be carried out in an orderly business manner.</w:t>
      </w:r>
    </w:p>
    <w:p>
      <w:pPr>
        <w:spacing w:after="0" w:line="174" w:lineRule="exact"/>
        <w:rPr>
          <w:sz w:val="20"/>
          <w:szCs w:val="20"/>
          <w:color w:val="auto"/>
        </w:rPr>
      </w:pPr>
    </w:p>
    <w:p>
      <w:pPr>
        <w:jc w:val="both"/>
        <w:ind w:left="640" w:right="560"/>
        <w:spacing w:after="0" w:line="305" w:lineRule="auto"/>
        <w:rPr>
          <w:sz w:val="20"/>
          <w:szCs w:val="20"/>
          <w:color w:val="auto"/>
        </w:rPr>
      </w:pPr>
      <w:r>
        <w:rPr>
          <w:rFonts w:ascii="Times New Roman" w:cs="Times New Roman" w:eastAsia="Times New Roman" w:hAnsi="Times New Roman"/>
          <w:sz w:val="20"/>
          <w:szCs w:val="20"/>
          <w:i w:val="1"/>
          <w:iCs w:val="1"/>
          <w:color w:val="auto"/>
        </w:rPr>
        <w:t xml:space="preserve">Stable Value Common Collective Trust </w:t>
      </w:r>
      <w:r>
        <w:rPr>
          <w:rFonts w:ascii="Times New Roman" w:cs="Times New Roman" w:eastAsia="Times New Roman" w:hAnsi="Times New Roman"/>
          <w:sz w:val="20"/>
          <w:szCs w:val="20"/>
          <w:color w:val="auto"/>
        </w:rPr>
        <w:t>- A stable value fund that is composed primarily of fully benefit-responsive investment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contracts is valued at the NAV of units of the bank collective trust. The NAV, as provided by the trustee, is used as a practical expedient to estimate fair value. Participant transactions (purchases and sales) may occur daily.</w:t>
      </w:r>
    </w:p>
    <w:p>
      <w:pPr>
        <w:spacing w:after="0" w:line="180" w:lineRule="exact"/>
        <w:rPr>
          <w:sz w:val="20"/>
          <w:szCs w:val="20"/>
          <w:color w:val="auto"/>
        </w:rPr>
      </w:pPr>
    </w:p>
    <w:p>
      <w:pPr>
        <w:ind w:left="640" w:right="160"/>
        <w:spacing w:after="0" w:line="311" w:lineRule="auto"/>
        <w:rPr>
          <w:sz w:val="20"/>
          <w:szCs w:val="20"/>
          <w:color w:val="auto"/>
        </w:rPr>
      </w:pPr>
      <w:r>
        <w:rPr>
          <w:rFonts w:ascii="Times New Roman" w:cs="Times New Roman" w:eastAsia="Times New Roman" w:hAnsi="Times New Roman"/>
          <w:sz w:val="20"/>
          <w:szCs w:val="20"/>
          <w:color w:val="auto"/>
        </w:rPr>
        <w:t>The following tables set forth by level within the fair value hierarchy provide a summary of the Plan’s investments measured at fair value on a recurring basis at December 31, 2025 and 2024.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340" w:type="dxa"/>
            <w:vAlign w:val="bottom"/>
          </w:tcPr>
          <w:p>
            <w:pPr>
              <w:spacing w:after="0"/>
              <w:rPr>
                <w:sz w:val="17"/>
                <w:szCs w:val="17"/>
                <w:color w:val="auto"/>
              </w:rPr>
            </w:pPr>
          </w:p>
        </w:tc>
        <w:tc>
          <w:tcPr>
            <w:tcW w:w="14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Markets for</w:t>
            </w:r>
          </w:p>
        </w:tc>
        <w:tc>
          <w:tcPr>
            <w:tcW w:w="15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5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58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Parent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48,667,405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48,667,405</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22,726,410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22,726,410</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86,223,150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86,223,150</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800" w:type="dxa"/>
            <w:vAlign w:val="bottom"/>
          </w:tcPr>
          <w:p>
            <w:pPr>
              <w:ind w:left="340"/>
              <w:spacing w:after="0" w:line="237" w:lineRule="exact"/>
              <w:rPr>
                <w:sz w:val="20"/>
                <w:szCs w:val="20"/>
                <w:color w:val="auto"/>
              </w:rPr>
            </w:pPr>
            <w:r>
              <w:rPr>
                <w:rFonts w:ascii="Times New Roman" w:cs="Times New Roman" w:eastAsia="Times New Roman" w:hAnsi="Times New Roman"/>
                <w:sz w:val="18"/>
                <w:szCs w:val="18"/>
                <w:color w:val="auto"/>
              </w:rPr>
              <w:t>Self-directed brokerage account</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54,989,743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54,989,743</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212,606,708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212,606,708</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Common/collective trust funds measured at Net</w:t>
            </w:r>
          </w:p>
        </w:tc>
        <w:tc>
          <w:tcPr>
            <w:tcW w:w="20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1,450,208,819</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Asset Value</w:t>
            </w:r>
          </w:p>
        </w:tc>
        <w:tc>
          <w:tcPr>
            <w:tcW w:w="2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80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1,662,815,527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3"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340" w:type="dxa"/>
            <w:vAlign w:val="bottom"/>
          </w:tcPr>
          <w:p>
            <w:pPr>
              <w:spacing w:after="0"/>
              <w:rPr>
                <w:sz w:val="17"/>
                <w:szCs w:val="17"/>
                <w:color w:val="auto"/>
              </w:rPr>
            </w:pPr>
          </w:p>
        </w:tc>
        <w:tc>
          <w:tcPr>
            <w:tcW w:w="14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5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5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495"/>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Parent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43,723,867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43,723,867</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19,417,975</w:t>
            </w:r>
          </w:p>
        </w:tc>
        <w:tc>
          <w:tcPr>
            <w:tcW w:w="3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80,066,990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80,066,990</w:t>
            </w:r>
          </w:p>
        </w:tc>
        <w:tc>
          <w:tcPr>
            <w:tcW w:w="3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800" w:type="dxa"/>
            <w:vAlign w:val="bottom"/>
          </w:tcPr>
          <w:p>
            <w:pPr>
              <w:ind w:left="340"/>
              <w:spacing w:after="0" w:line="237" w:lineRule="exact"/>
              <w:rPr>
                <w:sz w:val="20"/>
                <w:szCs w:val="20"/>
                <w:color w:val="auto"/>
              </w:rPr>
            </w:pPr>
            <w:r>
              <w:rPr>
                <w:rFonts w:ascii="Times New Roman" w:cs="Times New Roman" w:eastAsia="Times New Roman" w:hAnsi="Times New Roman"/>
                <w:sz w:val="18"/>
                <w:szCs w:val="18"/>
                <w:color w:val="auto"/>
              </w:rPr>
              <w:t>Self-directed brokerage account</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45,979,910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45,979,910</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189,188,742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189,188,742</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Common/collective trust funds measured at Net</w:t>
            </w:r>
          </w:p>
        </w:tc>
        <w:tc>
          <w:tcPr>
            <w:tcW w:w="20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1,279,048,131</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Asset Value</w:t>
            </w:r>
            <w:r>
              <w:rPr>
                <w:rFonts w:ascii="Times New Roman" w:cs="Times New Roman" w:eastAsia="Times New Roman" w:hAnsi="Times New Roman"/>
                <w:sz w:val="23"/>
                <w:szCs w:val="23"/>
                <w:color w:val="auto"/>
                <w:vertAlign w:val="superscript"/>
              </w:rPr>
              <w:t>(b)</w:t>
            </w: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1,468,236,873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40" w:right="20" w:hanging="328"/>
        <w:spacing w:after="0" w:line="311" w:lineRule="auto"/>
        <w:tabs>
          <w:tab w:leader="none" w:pos="6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brokerage account is invested in a variety of classes of common stocks, mutual funds, exchange-traded funds and a fixed income security as directed by participants.</w:t>
      </w:r>
    </w:p>
    <w:p>
      <w:pPr>
        <w:spacing w:after="0" w:line="227" w:lineRule="exact"/>
        <w:rPr>
          <w:rFonts w:ascii="Times New Roman" w:cs="Times New Roman" w:eastAsia="Times New Roman" w:hAnsi="Times New Roman"/>
          <w:sz w:val="18"/>
          <w:szCs w:val="18"/>
          <w:color w:val="auto"/>
        </w:rPr>
      </w:pPr>
    </w:p>
    <w:p>
      <w:pPr>
        <w:ind w:left="640" w:right="1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valuation methods as described above may produce a fair value calculation that may not be indicative of net realizable value or reflective of future fair values. Furthermore, although the Plan believes its valuation methods are appropriate and consistent with</w:t>
      </w:r>
    </w:p>
    <w:p>
      <w:pPr>
        <w:ind w:left="640" w:right="86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market participants, the use of different methodologies or assumptions to determine the fair value of certain financial instruments could result in a different fair value measurement at the reporting date.</w:t>
      </w:r>
    </w:p>
    <w:p>
      <w:pPr>
        <w:spacing w:after="0" w:line="1"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accordance with Subtopic 820-10, certain investments that are measured at fair value</w:t>
      </w:r>
    </w:p>
    <w:p>
      <w:pPr>
        <w:spacing w:after="0" w:line="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using the net asset value per share (or its equivalent) have not been classified in the fair</w:t>
      </w:r>
    </w:p>
    <w:p>
      <w:pPr>
        <w:spacing w:after="0" w:line="40" w:lineRule="exact"/>
        <w:rPr>
          <w:sz w:val="20"/>
          <w:szCs w:val="20"/>
          <w:color w:val="auto"/>
        </w:rPr>
      </w:pPr>
    </w:p>
    <w:p>
      <w:pPr>
        <w:ind w:left="640" w:right="500"/>
        <w:spacing w:after="0" w:line="325" w:lineRule="auto"/>
        <w:rPr>
          <w:sz w:val="20"/>
          <w:szCs w:val="20"/>
          <w:color w:val="auto"/>
        </w:rPr>
      </w:pPr>
      <w:r>
        <w:rPr>
          <w:rFonts w:ascii="Times New Roman" w:cs="Times New Roman" w:eastAsia="Times New Roman" w:hAnsi="Times New Roman"/>
          <w:sz w:val="20"/>
          <w:szCs w:val="20"/>
          <w:color w:val="auto"/>
        </w:rPr>
        <w:t>value hierarchy, and for the Plan this would include the common collective trust investments. There are a few investments with redemption restrictions and those are as follows:</w:t>
      </w:r>
    </w:p>
    <w:p>
      <w:pPr>
        <w:spacing w:after="0" w:line="174" w:lineRule="exact"/>
        <w:rPr>
          <w:sz w:val="20"/>
          <w:szCs w:val="20"/>
          <w:color w:val="auto"/>
        </w:rPr>
      </w:pPr>
    </w:p>
    <w:p>
      <w:pPr>
        <w:ind w:left="640" w:right="140"/>
        <w:spacing w:after="0" w:line="303" w:lineRule="auto"/>
        <w:rPr>
          <w:sz w:val="20"/>
          <w:szCs w:val="20"/>
          <w:color w:val="auto"/>
        </w:rPr>
      </w:pPr>
      <w:r>
        <w:rPr>
          <w:rFonts w:ascii="Times New Roman" w:cs="Times New Roman" w:eastAsia="Times New Roman" w:hAnsi="Times New Roman"/>
          <w:sz w:val="20"/>
          <w:szCs w:val="20"/>
          <w:color w:val="auto"/>
        </w:rPr>
        <w:t>MFS Growth Equity Fund CLS and ClearBridge Small Cap Growth R2 CIT- Advance written notice is required for any redemption directed by a Plan sponsor; redemptions of $1,000,000 or more of a Plan's assets invested in the Fund require five business days advance notice for most funds. Redemptions will be made on a pro rate basis from the Plan's interest in the Fund.</w:t>
      </w:r>
    </w:p>
    <w:p>
      <w:pPr>
        <w:spacing w:after="0" w:line="195" w:lineRule="exact"/>
        <w:rPr>
          <w:sz w:val="20"/>
          <w:szCs w:val="20"/>
          <w:color w:val="auto"/>
        </w:rPr>
      </w:pPr>
    </w:p>
    <w:p>
      <w:pPr>
        <w:ind w:left="640" w:right="100"/>
        <w:spacing w:after="0" w:line="355" w:lineRule="auto"/>
        <w:rPr>
          <w:sz w:val="20"/>
          <w:szCs w:val="20"/>
          <w:color w:val="auto"/>
        </w:rPr>
      </w:pPr>
      <w:r>
        <w:rPr>
          <w:rFonts w:ascii="Times New Roman" w:cs="Times New Roman" w:eastAsia="Times New Roman" w:hAnsi="Times New Roman"/>
          <w:sz w:val="19"/>
          <w:szCs w:val="19"/>
          <w:color w:val="auto"/>
        </w:rPr>
        <w:t>Eagle Mid Cap Growth CIT FDRS- A withdrawal request initiated by a participating plan for in excess of 20% of such participating plan's investment in a Fund must be provided to the Trustee not less than five business days prior to the proposed withdrawal date.</w:t>
      </w:r>
    </w:p>
    <w:p>
      <w:pPr>
        <w:spacing w:after="0" w:line="150" w:lineRule="exact"/>
        <w:rPr>
          <w:sz w:val="20"/>
          <w:szCs w:val="20"/>
          <w:color w:val="auto"/>
        </w:rPr>
      </w:pPr>
    </w:p>
    <w:p>
      <w:pPr>
        <w:ind w:left="640" w:right="20"/>
        <w:spacing w:after="0" w:line="296" w:lineRule="auto"/>
        <w:rPr>
          <w:sz w:val="20"/>
          <w:szCs w:val="20"/>
          <w:color w:val="auto"/>
        </w:rPr>
      </w:pPr>
      <w:r>
        <w:rPr>
          <w:rFonts w:ascii="Times New Roman" w:cs="Times New Roman" w:eastAsia="Times New Roman" w:hAnsi="Times New Roman"/>
          <w:sz w:val="20"/>
          <w:szCs w:val="20"/>
          <w:color w:val="auto"/>
        </w:rPr>
        <w:t>Putnam Large Cap Value Trust IA, Putnam Small Cap Growth Class S, and PGIM Total Return Bond CIT CL LP- The plan fiduciary expressly acknowledges and agrees to the restrictions on withdrawal set forth in the Declaration of Trust (including the applicable Fund Declaration as may be appended to the Declaration of Trust). Advance written notice of five business days is required for any plan sponsor directed withdrawal that will exceed one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14" w:name="page15"/>
    <w:bookmarkEnd w:id="14"/>
    <w:p>
      <w:pPr>
        <w:ind w:left="660" w:right="100"/>
        <w:spacing w:after="0" w:line="311" w:lineRule="auto"/>
        <w:rPr>
          <w:sz w:val="20"/>
          <w:szCs w:val="20"/>
          <w:color w:val="auto"/>
        </w:rPr>
      </w:pPr>
      <w:r>
        <w:rPr>
          <w:rFonts w:ascii="Times New Roman" w:cs="Times New Roman" w:eastAsia="Times New Roman" w:hAnsi="Times New Roman"/>
          <w:sz w:val="20"/>
          <w:szCs w:val="20"/>
          <w:color w:val="auto"/>
        </w:rPr>
        <w:t>Pioneer Multi-Sector Fixed Income CL R1-The fund requires a plan to provide advance written notice of five business days for plan directed withdrawals which will exceed $1,000,000 of the assets invested in the fund.</w:t>
      </w:r>
    </w:p>
    <w:p>
      <w:pPr>
        <w:spacing w:after="0" w:line="200" w:lineRule="exact"/>
        <w:rPr>
          <w:sz w:val="20"/>
          <w:szCs w:val="20"/>
          <w:color w:val="auto"/>
        </w:rPr>
      </w:pPr>
    </w:p>
    <w:p>
      <w:pPr>
        <w:ind w:left="660" w:right="160"/>
        <w:spacing w:after="0" w:line="296" w:lineRule="auto"/>
        <w:rPr>
          <w:sz w:val="20"/>
          <w:szCs w:val="20"/>
          <w:color w:val="auto"/>
        </w:rPr>
      </w:pPr>
      <w:r>
        <w:rPr>
          <w:rFonts w:ascii="Times New Roman" w:cs="Times New Roman" w:eastAsia="Times New Roman" w:hAnsi="Times New Roman"/>
          <w:sz w:val="20"/>
          <w:szCs w:val="20"/>
          <w:color w:val="auto"/>
        </w:rPr>
        <w:t>Goldman Sachs Stable Value Inst CL 1 and Goldman Sachs Stable Value Inst CL S- At the Plan level- the fund requires 12 months-notice for liquidation. The Plan can liquidate without 12 months-notice at current market value, but may incur a market value adjustment if the market value is less than book value. Participants are fully liquid but may be subject to transaction restrictions imposed by the Plan recordkeeper.</w:t>
      </w:r>
    </w:p>
    <w:p>
      <w:pPr>
        <w:spacing w:after="0" w:line="202" w:lineRule="exact"/>
        <w:rPr>
          <w:sz w:val="20"/>
          <w:szCs w:val="20"/>
          <w:color w:val="auto"/>
        </w:rPr>
      </w:pPr>
    </w:p>
    <w:p>
      <w:pPr>
        <w:ind w:left="660" w:right="180"/>
        <w:spacing w:after="0" w:line="303" w:lineRule="auto"/>
        <w:rPr>
          <w:sz w:val="20"/>
          <w:szCs w:val="20"/>
          <w:color w:val="auto"/>
        </w:rPr>
      </w:pPr>
      <w:r>
        <w:rPr>
          <w:rFonts w:ascii="Times New Roman" w:cs="Times New Roman" w:eastAsia="Times New Roman" w:hAnsi="Times New Roman"/>
          <w:sz w:val="20"/>
          <w:szCs w:val="20"/>
          <w:color w:val="auto"/>
        </w:rPr>
        <w:t>BlackRock LifePath Target Date Series- This agreement shall be terminated by the manager or the named fiduciary, at any time, by giving thirty days advance written notice to the other party. Such termination is effective upon the end of the notice period and redemption of all assets from the collective funds in which the participating plan is vested.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other common collective trust funds are redeemed on a daily basis and do not have any redemption restrictions.</w:t>
      </w:r>
    </w:p>
    <w:p>
      <w:pPr>
        <w:spacing w:after="0" w:line="25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RELATED PARTIES AND PARTIES-IN-INTEREST TRANSACTIONS</w:t>
      </w:r>
    </w:p>
    <w:p>
      <w:pPr>
        <w:spacing w:after="0" w:line="247" w:lineRule="exact"/>
        <w:rPr>
          <w:sz w:val="20"/>
          <w:szCs w:val="20"/>
          <w:color w:val="auto"/>
        </w:rPr>
      </w:pPr>
    </w:p>
    <w:p>
      <w:pPr>
        <w:ind w:left="660" w:right="160"/>
        <w:spacing w:after="0" w:line="292" w:lineRule="auto"/>
        <w:rPr>
          <w:sz w:val="20"/>
          <w:szCs w:val="20"/>
          <w:color w:val="auto"/>
        </w:rPr>
      </w:pPr>
      <w:r>
        <w:rPr>
          <w:rFonts w:ascii="Times New Roman" w:cs="Times New Roman" w:eastAsia="Times New Roman" w:hAnsi="Times New Roman"/>
          <w:sz w:val="20"/>
          <w:szCs w:val="20"/>
          <w:color w:val="auto"/>
        </w:rPr>
        <w:t>Empower serves as Recordkeeper of the Plan. Empower Trust Company, LLC (Empower) serves as trustee of the Plan. Plan investments at December 31, 2025 and 2024 include shares of Parent common stock and the self-directed brokerage account administered by Empower. Therefore, these transactions qualify as exempt party-in-interest transactions. Fees incurred by the Plan for the investment management services are included in net appreciation in fair value of investments, as they are paid through revenue sharing, rather than a direct payment. Direct fees totaling $389,128 were paid to Empower in 2025. Empower Advisory Group, LLC, a wholly-owned subsidiary of Empower, provided managed investment services to certain participants and received fees totaling $808,951 in 2025. SageView Advisory Group serves as the ERISA 3(38) investment fiduciary manager for the Evergy 401(k) plan and received fees totaling $60,049.</w:t>
      </w:r>
    </w:p>
    <w:p>
      <w:pPr>
        <w:spacing w:after="0" w:line="178" w:lineRule="exact"/>
        <w:rPr>
          <w:sz w:val="20"/>
          <w:szCs w:val="20"/>
          <w:color w:val="auto"/>
        </w:rPr>
      </w:pPr>
    </w:p>
    <w:p>
      <w:pPr>
        <w:jc w:val="both"/>
        <w:ind w:left="660" w:right="440"/>
        <w:spacing w:after="0" w:line="303" w:lineRule="auto"/>
        <w:rPr>
          <w:sz w:val="20"/>
          <w:szCs w:val="20"/>
          <w:color w:val="auto"/>
        </w:rPr>
      </w:pPr>
      <w:r>
        <w:rPr>
          <w:rFonts w:ascii="Times New Roman" w:cs="Times New Roman" w:eastAsia="Times New Roman" w:hAnsi="Times New Roman"/>
          <w:sz w:val="20"/>
          <w:szCs w:val="20"/>
          <w:color w:val="auto"/>
        </w:rPr>
        <w:t>As of December 31, 2025 and 2024, the Plan held 671,367 and 710,380 shares of common stock of Evergy, Inc., the sponsoring employer, respectively. During the year ended December 31, 2025, the Plan recorded dividend income from the Parent common stock of $1,838,703.</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FEDERAL INCOME TAX STATUS</w:t>
      </w:r>
    </w:p>
    <w:p>
      <w:pPr>
        <w:spacing w:after="0" w:line="220" w:lineRule="exact"/>
        <w:rPr>
          <w:sz w:val="20"/>
          <w:szCs w:val="20"/>
          <w:color w:val="auto"/>
        </w:rPr>
      </w:pPr>
    </w:p>
    <w:p>
      <w:pPr>
        <w:ind w:left="660"/>
        <w:spacing w:after="0" w:line="292" w:lineRule="auto"/>
        <w:rPr>
          <w:sz w:val="20"/>
          <w:szCs w:val="20"/>
          <w:color w:val="auto"/>
        </w:rPr>
      </w:pPr>
      <w:r>
        <w:rPr>
          <w:rFonts w:ascii="Times New Roman" w:cs="Times New Roman" w:eastAsia="Times New Roman" w:hAnsi="Times New Roman"/>
          <w:sz w:val="20"/>
          <w:szCs w:val="20"/>
          <w:color w:val="auto"/>
        </w:rPr>
        <w:t>The IRS (Internal Revenue Service) has determined and informed the Company by a letter dated February 28, 2022, that the Plan and related trust are designed in accordance with applicable sections of the IRC. Although the Plan has been amended since receiving the determination letter, the Plan administrator and the Plan's tax counsel believe that the Plan is designed, and is currently being operated, in compliance with the applicable requirements of the IRC and, therefore, believe that the Plan is qualified, and the related trust is tax-exempt.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jc w:val="both"/>
        <w:ind w:left="660"/>
        <w:spacing w:after="0" w:line="303"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in progress.</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06" w:lineRule="exact"/>
        <w:rPr>
          <w:sz w:val="20"/>
          <w:szCs w:val="20"/>
          <w:color w:val="auto"/>
        </w:rPr>
      </w:pPr>
    </w:p>
    <w:p>
      <w:pPr>
        <w:jc w:val="both"/>
        <w:ind w:left="660" w:right="180"/>
        <w:spacing w:after="0" w:line="303" w:lineRule="auto"/>
        <w:rPr>
          <w:sz w:val="20"/>
          <w:szCs w:val="20"/>
          <w:color w:val="auto"/>
        </w:rPr>
      </w:pPr>
      <w:r>
        <w:rPr>
          <w:rFonts w:ascii="Times New Roman" w:cs="Times New Roman" w:eastAsia="Times New Roman" w:hAnsi="Times New Roman"/>
          <w:sz w:val="20"/>
          <w:szCs w:val="20"/>
          <w:color w:val="auto"/>
        </w:rPr>
        <w:t>The Company monitors significant events occurring after the statement of net assets available for benefits date and prior to the issuance of the financial statements to determine the impact, if any, of events on the financial statements issued. All subsequent events of which the Company is aware were evaluated through the filing date of this Form 11-K.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97"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EVERGY, INC 401(k) SAVINGS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EMPLOYER ID NO. 82-2733395, PLAN NO. 006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5500, SCHEDULE H, PART IV, LINE 4i - SCHEDULE OF ASSETS (HELD AT END OF YEAR) DECEMBER 31, 2025</w:t>
      </w:r>
    </w:p>
    <w:p>
      <w:pPr>
        <w:spacing w:after="0" w:line="247"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24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(b)</w:t>
            </w:r>
          </w:p>
        </w:tc>
        <w:tc>
          <w:tcPr>
            <w:tcW w:w="3900" w:type="dxa"/>
            <w:vAlign w:val="bottom"/>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60" w:type="dxa"/>
            <w:vAlign w:val="bottom"/>
          </w:tcPr>
          <w:p>
            <w:pPr>
              <w:spacing w:after="0"/>
              <w:rPr>
                <w:sz w:val="19"/>
                <w:szCs w:val="19"/>
                <w:color w:val="auto"/>
              </w:rPr>
            </w:pPr>
          </w:p>
        </w:tc>
        <w:tc>
          <w:tcPr>
            <w:tcW w:w="1400" w:type="dxa"/>
            <w:vAlign w:val="bottom"/>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184"/>
        </w:trPr>
        <w:tc>
          <w:tcPr>
            <w:tcW w:w="280" w:type="dxa"/>
            <w:vAlign w:val="bottom"/>
          </w:tcPr>
          <w:p>
            <w:pPr>
              <w:spacing w:after="0"/>
              <w:rPr>
                <w:sz w:val="16"/>
                <w:szCs w:val="16"/>
                <w:color w:val="auto"/>
              </w:rPr>
            </w:pPr>
          </w:p>
        </w:tc>
        <w:tc>
          <w:tcPr>
            <w:tcW w:w="4240" w:type="dxa"/>
            <w:vAlign w:val="bottom"/>
          </w:tcPr>
          <w:p>
            <w:pPr>
              <w:ind w:left="1380"/>
              <w:spacing w:after="0" w:line="184" w:lineRule="exact"/>
              <w:rPr>
                <w:sz w:val="20"/>
                <w:szCs w:val="20"/>
                <w:color w:val="auto"/>
              </w:rPr>
            </w:pPr>
            <w:r>
              <w:rPr>
                <w:rFonts w:ascii="Times New Roman" w:cs="Times New Roman" w:eastAsia="Times New Roman" w:hAnsi="Times New Roman"/>
                <w:sz w:val="18"/>
                <w:szCs w:val="18"/>
                <w:b w:val="1"/>
                <w:bCs w:val="1"/>
                <w:color w:val="auto"/>
              </w:rPr>
              <w:t>Identity of Issue, Borrower,</w:t>
            </w:r>
          </w:p>
        </w:tc>
        <w:tc>
          <w:tcPr>
            <w:tcW w:w="3900" w:type="dxa"/>
            <w:vAlign w:val="bottom"/>
          </w:tcPr>
          <w:p>
            <w:pPr>
              <w:jc w:val="center"/>
              <w:ind w:left="518"/>
              <w:spacing w:after="0" w:line="184" w:lineRule="exact"/>
              <w:rPr>
                <w:sz w:val="20"/>
                <w:szCs w:val="20"/>
                <w:color w:val="auto"/>
              </w:rPr>
            </w:pPr>
            <w:r>
              <w:rPr>
                <w:rFonts w:ascii="Times New Roman" w:cs="Times New Roman" w:eastAsia="Times New Roman" w:hAnsi="Times New Roman"/>
                <w:sz w:val="18"/>
                <w:szCs w:val="18"/>
                <w:b w:val="1"/>
                <w:bCs w:val="1"/>
                <w:color w:val="auto"/>
              </w:rPr>
              <w:t>Description of Investment Including</w:t>
            </w:r>
          </w:p>
        </w:tc>
        <w:tc>
          <w:tcPr>
            <w:tcW w:w="980" w:type="dxa"/>
            <w:vAlign w:val="bottom"/>
          </w:tcPr>
          <w:p>
            <w:pPr>
              <w:jc w:val="center"/>
              <w:ind w:right="18"/>
              <w:spacing w:after="0" w:line="184" w:lineRule="exact"/>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16"/>
                <w:szCs w:val="16"/>
                <w:color w:val="auto"/>
              </w:rPr>
            </w:pPr>
          </w:p>
        </w:tc>
        <w:tc>
          <w:tcPr>
            <w:tcW w:w="1400" w:type="dxa"/>
            <w:vAlign w:val="bottom"/>
          </w:tcPr>
          <w:p>
            <w:pPr>
              <w:jc w:val="right"/>
              <w:ind w:right="518"/>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r>
      <w:tr>
        <w:trPr>
          <w:trHeight w:val="175"/>
        </w:trPr>
        <w:tc>
          <w:tcPr>
            <w:tcW w:w="280" w:type="dxa"/>
            <w:vAlign w:val="bottom"/>
          </w:tcPr>
          <w:p>
            <w:pPr>
              <w:spacing w:after="0"/>
              <w:rPr>
                <w:sz w:val="15"/>
                <w:szCs w:val="15"/>
                <w:color w:val="auto"/>
              </w:rPr>
            </w:pPr>
          </w:p>
        </w:tc>
        <w:tc>
          <w:tcPr>
            <w:tcW w:w="4240" w:type="dxa"/>
            <w:vAlign w:val="bottom"/>
          </w:tcPr>
          <w:p>
            <w:pPr>
              <w:ind w:left="1560"/>
              <w:spacing w:after="0" w:line="176" w:lineRule="exact"/>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3900" w:type="dxa"/>
            <w:vAlign w:val="bottom"/>
          </w:tcPr>
          <w:p>
            <w:pPr>
              <w:jc w:val="center"/>
              <w:ind w:left="538"/>
              <w:spacing w:after="0" w:line="176" w:lineRule="exact"/>
              <w:rPr>
                <w:sz w:val="20"/>
                <w:szCs w:val="20"/>
                <w:color w:val="auto"/>
              </w:rPr>
            </w:pPr>
            <w:r>
              <w:rPr>
                <w:rFonts w:ascii="Times New Roman" w:cs="Times New Roman" w:eastAsia="Times New Roman" w:hAnsi="Times New Roman"/>
                <w:sz w:val="18"/>
                <w:szCs w:val="18"/>
                <w:b w:val="1"/>
                <w:bCs w:val="1"/>
                <w:color w:val="auto"/>
              </w:rPr>
              <w:t>Maturity Date, Rate of Interest,</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578"/>
              <w:spacing w:after="0" w:line="176"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900" w:type="dxa"/>
            <w:vAlign w:val="bottom"/>
          </w:tcPr>
          <w:p>
            <w:pPr>
              <w:jc w:val="center"/>
              <w:ind w:left="518"/>
              <w:spacing w:after="0"/>
              <w:rPr>
                <w:sz w:val="20"/>
                <w:szCs w:val="20"/>
                <w:color w:val="auto"/>
              </w:rPr>
            </w:pPr>
            <w:r>
              <w:rPr>
                <w:rFonts w:ascii="Times New Roman" w:cs="Times New Roman" w:eastAsia="Times New Roman" w:hAnsi="Times New Roman"/>
                <w:sz w:val="18"/>
                <w:szCs w:val="18"/>
                <w:b w:val="1"/>
                <w:bCs w:val="1"/>
                <w:color w:val="auto"/>
                <w:w w:val="99"/>
              </w:rPr>
              <w:t>Collateral, Par or Maturity Value</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5"/>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St S&amp;P 500 Indx Sl Cl Ii</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311,196,014</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St Gbl Allcp Eq Ex-Us Idx Sl Cl Ii</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116,069,369</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St Russell Small/Mid Idx Sl Cl Ii</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102,924,941</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Mfs Growth Equity Fund Cl S</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98,218,334</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2045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95,922,623</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2040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95,220,303</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2035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93,663,538</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St Us Bnd Indx Sl Cl Xiv</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75,702,740</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2030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75,558,635</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2050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71,551,159</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Retirement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68,820,880</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2055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49,036,474</w:t>
            </w:r>
          </w:p>
        </w:tc>
      </w:tr>
      <w:tr>
        <w:trPr>
          <w:trHeight w:val="235"/>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Evergy, Inc.</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 Stock</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48,667,405</w:t>
            </w:r>
          </w:p>
        </w:tc>
      </w:tr>
      <w:tr>
        <w:trPr>
          <w:trHeight w:val="210"/>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Putnam Large Cap Value Trust Ia</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45,436,585</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Goldman Sachs Stable Value Inst Cl S</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44,222,124</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2060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33,941,063</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 Rowe Price Overseas Stock I</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Mutual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25,604,776</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Victory Sycamore Established Value R6</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Mutual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25,003,014</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PGIM Total Return Bond Fund Cit Cl Lp</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24,809,816</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Mfs New Discovery Value R6</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Mutual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22,841,968</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Jpmorgan 100% U.S. Tr Sec Mm Inst</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Money Market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22,726,410</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Eagle Mid Cap Growth Cit Fdrs</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21,043,850</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DFA Emerging Market Core Equity 2 Port I</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Mutual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12,773,392</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Pioneer Multi-Sector Fixed Income CL R1</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9,320,259</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2065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9,281,379</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Putnam Small Cap Growth Class S</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7,572,651</w:t>
            </w:r>
          </w:p>
        </w:tc>
      </w:tr>
      <w:tr>
        <w:trPr>
          <w:trHeight w:val="216"/>
        </w:trPr>
        <w:tc>
          <w:tcPr>
            <w:tcW w:w="28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Blackrock Lifepath Dynamic 2070 Fund L</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Common/Collective Trust Fund</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696,082</w:t>
            </w:r>
          </w:p>
        </w:tc>
      </w:tr>
      <w:tr>
        <w:trPr>
          <w:trHeight w:val="231"/>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Empower Self-Directed Brokerage Accounts</w:t>
            </w: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Brokerage Account</w:t>
            </w: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54,989,743</w:t>
            </w:r>
          </w:p>
        </w:tc>
      </w:tr>
      <w:tr>
        <w:trPr>
          <w:trHeight w:val="180"/>
        </w:trPr>
        <w:tc>
          <w:tcPr>
            <w:tcW w:w="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Participant Loans</w:t>
            </w:r>
          </w:p>
        </w:tc>
        <w:tc>
          <w:tcPr>
            <w:tcW w:w="3900" w:type="dxa"/>
            <w:vAlign w:val="bottom"/>
          </w:tcPr>
          <w:p>
            <w:pPr>
              <w:ind w:left="760"/>
              <w:spacing w:after="0" w:line="181" w:lineRule="exact"/>
              <w:rPr>
                <w:sz w:val="20"/>
                <w:szCs w:val="20"/>
                <w:color w:val="auto"/>
              </w:rPr>
            </w:pPr>
            <w:r>
              <w:rPr>
                <w:rFonts w:ascii="Times New Roman" w:cs="Times New Roman" w:eastAsia="Times New Roman" w:hAnsi="Times New Roman"/>
                <w:sz w:val="16"/>
                <w:szCs w:val="16"/>
                <w:color w:val="auto"/>
              </w:rPr>
              <w:t>Various participants, interest rates ranging</w:t>
            </w:r>
          </w:p>
        </w:tc>
        <w:tc>
          <w:tcPr>
            <w:tcW w:w="980" w:type="dxa"/>
            <w:vAlign w:val="bottom"/>
          </w:tcPr>
          <w:p>
            <w:pPr>
              <w:jc w:val="center"/>
              <w:ind w:right="18"/>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24,341,301</w:t>
            </w:r>
          </w:p>
        </w:tc>
      </w:tr>
      <w:tr>
        <w:trPr>
          <w:trHeight w:val="148"/>
        </w:trPr>
        <w:tc>
          <w:tcPr>
            <w:tcW w:w="2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900" w:type="dxa"/>
            <w:vAlign w:val="bottom"/>
          </w:tcPr>
          <w:p>
            <w:pPr>
              <w:ind w:left="760"/>
              <w:spacing w:after="0" w:line="148" w:lineRule="exact"/>
              <w:rPr>
                <w:sz w:val="20"/>
                <w:szCs w:val="20"/>
                <w:color w:val="auto"/>
              </w:rPr>
            </w:pPr>
            <w:r>
              <w:rPr>
                <w:rFonts w:ascii="Times New Roman" w:cs="Times New Roman" w:eastAsia="Times New Roman" w:hAnsi="Times New Roman"/>
                <w:sz w:val="16"/>
                <w:szCs w:val="16"/>
                <w:color w:val="auto"/>
              </w:rPr>
              <w:t>from 4.25% to 13.00% maturing through</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13"/>
        </w:trPr>
        <w:tc>
          <w:tcPr>
            <w:tcW w:w="2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2049</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7"/>
        </w:trPr>
        <w:tc>
          <w:tcPr>
            <w:tcW w:w="2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1,687,156,828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3810</wp:posOffset>
            </wp:positionV>
            <wp:extent cx="105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8" w:lineRule="exact"/>
        <w:rPr>
          <w:sz w:val="20"/>
          <w:szCs w:val="20"/>
          <w:color w:val="auto"/>
        </w:rPr>
      </w:pPr>
    </w:p>
    <w:p>
      <w:pPr>
        <w:ind w:left="480" w:hanging="28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party-in-interest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-119380</wp:posOffset>
            </wp:positionV>
            <wp:extent cx="1054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7" w:lineRule="exact"/>
        <w:rPr>
          <w:sz w:val="20"/>
          <w:szCs w:val="20"/>
          <w:color w:val="auto"/>
        </w:rPr>
      </w:pPr>
    </w:p>
    <w:p>
      <w:pPr>
        <w:ind w:left="480" w:hanging="333"/>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17" w:name="page18"/>
    <w:bookmarkEnd w:id="17"/>
    <w:p>
      <w:pPr>
        <w:jc w:val="center"/>
        <w:ind w:right="-519"/>
        <w:spacing w:after="0"/>
        <w:rPr>
          <w:sz w:val="20"/>
          <w:szCs w:val="20"/>
          <w:color w:val="auto"/>
        </w:rPr>
      </w:pPr>
      <w:r>
        <w:rPr>
          <w:rFonts w:ascii="Times New Roman" w:cs="Times New Roman" w:eastAsia="Times New Roman" w:hAnsi="Times New Roman"/>
          <w:sz w:val="20"/>
          <w:szCs w:val="20"/>
          <w:color w:val="auto"/>
        </w:rPr>
        <w:t>SIGNATURES</w:t>
      </w:r>
    </w:p>
    <w:p>
      <w:pPr>
        <w:spacing w:after="0" w:line="297"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Administrative Committee of the Evergy, Inc. 401(k) Savings Plan has duly caused this annual report to be signed on its behalf by the undersigned hereunto duly authorized.</w:t>
      </w: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EVERGY, INC. 401(k) SAVINGS PLAN</w:t>
      </w:r>
    </w:p>
    <w:p>
      <w:pPr>
        <w:spacing w:after="0" w:line="200" w:lineRule="exact"/>
        <w:rPr>
          <w:sz w:val="20"/>
          <w:szCs w:val="20"/>
          <w:color w:val="auto"/>
        </w:rPr>
      </w:pPr>
    </w:p>
    <w:p>
      <w:pPr>
        <w:spacing w:after="0" w:line="286" w:lineRule="exact"/>
        <w:rPr>
          <w:sz w:val="20"/>
          <w:szCs w:val="20"/>
          <w:color w:val="auto"/>
        </w:rPr>
      </w:pPr>
    </w:p>
    <w:p>
      <w:pPr>
        <w:ind w:left="384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John T. Bridson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22860</wp:posOffset>
            </wp:positionV>
            <wp:extent cx="2005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John T. Bridson</w:t>
      </w:r>
    </w:p>
    <w:p>
      <w:pPr>
        <w:spacing w:after="0" w:line="256" w:lineRule="exact"/>
        <w:rPr>
          <w:sz w:val="20"/>
          <w:szCs w:val="20"/>
          <w:color w:val="auto"/>
        </w:rPr>
      </w:pPr>
    </w:p>
    <w:p>
      <w:pPr>
        <w:ind w:left="384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Steve J. Vetsch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22860</wp:posOffset>
            </wp:positionV>
            <wp:extent cx="2005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Steve J. Vetsch</w:t>
      </w:r>
    </w:p>
    <w:p>
      <w:pPr>
        <w:spacing w:after="0" w:line="297" w:lineRule="exact"/>
        <w:rPr>
          <w:sz w:val="20"/>
          <w:szCs w:val="20"/>
          <w:color w:val="auto"/>
        </w:rPr>
      </w:pPr>
    </w:p>
    <w:p>
      <w:pPr>
        <w:ind w:left="384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22860</wp:posOffset>
            </wp:positionV>
            <wp:extent cx="20059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Heather A. Humphrey</w:t>
      </w:r>
    </w:p>
    <w:p>
      <w:pPr>
        <w:spacing w:after="0" w:line="256" w:lineRule="exact"/>
        <w:rPr>
          <w:sz w:val="20"/>
          <w:szCs w:val="20"/>
          <w:color w:val="auto"/>
        </w:rPr>
      </w:pPr>
    </w:p>
    <w:p>
      <w:pPr>
        <w:ind w:left="384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22860</wp:posOffset>
            </wp:positionV>
            <wp:extent cx="2005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Geoffrey T. Ley</w:t>
      </w:r>
    </w:p>
    <w:p>
      <w:pPr>
        <w:spacing w:after="0" w:line="297" w:lineRule="exact"/>
        <w:rPr>
          <w:sz w:val="20"/>
          <w:szCs w:val="20"/>
          <w:color w:val="auto"/>
        </w:rPr>
      </w:pPr>
    </w:p>
    <w:p>
      <w:pPr>
        <w:ind w:left="384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Lesley L. Elwell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22860</wp:posOffset>
            </wp:positionV>
            <wp:extent cx="20059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Lesley L. Elwell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680"/>
          </w:cols>
          <w:pgMar w:left="320" w:top="1197" w:right="89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 S-8 (No. 333-254552 and No. 333-225673, as amended by Post-Effective Amendment No. 1) of Evergy, Inc. of our report dated June 18, 2026, with respect to the statements of net assets available for benefits of Evergy, Inc. 401(k) Savings Plan as of December 31, 2025, and 2024, the related statement of changes in net assets available for benefits for the year ended December 31, 2025, and the Form 5500, Schedule H, Part IV, Line 4i - Schedule of Assets (Held at End of Year) as of December 31, 2025, which report appears in the December 31, 2025 Annual Report on Form 11-K of Evergy, Inc. 401(k) Savings Plan.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CPAs P.C.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Kansas City, Missouri June 18, 2026</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2026-06-18T15:57:19Z</dcterms:created>
  <dcterms:modified xsi:type="dcterms:W3CDTF">2026-06-18T15:57:19Z</dcterms:modified>
</cp:coreProperties>
</file>