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0001514004</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0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0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08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0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Evergy,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001-38515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080" w:type="dxa"/>
            <w:vAlign w:val="bottom"/>
          </w:tcPr>
          <w:p>
            <w:pPr>
              <w:spacing w:after="0"/>
              <w:rPr>
                <w:sz w:val="22"/>
                <w:szCs w:val="22"/>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w w:val="96"/>
              </w:rPr>
              <w:t>1200 MAIN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080" w:type="dxa"/>
            <w:vAlign w:val="bottom"/>
          </w:tcPr>
          <w:p>
            <w:pPr>
              <w:spacing w:after="0"/>
              <w:rPr>
                <w:sz w:val="21"/>
                <w:szCs w:val="21"/>
                <w:color w:val="auto"/>
              </w:rPr>
            </w:pPr>
          </w:p>
        </w:tc>
        <w:tc>
          <w:tcPr>
            <w:tcW w:w="3220" w:type="dxa"/>
            <w:vAlign w:val="bottom"/>
          </w:tcPr>
          <w:p>
            <w:pPr>
              <w:ind w:left="1320"/>
              <w:spacing w:after="0" w:line="243" w:lineRule="exact"/>
              <w:rPr>
                <w:sz w:val="20"/>
                <w:szCs w:val="20"/>
                <w:color w:val="auto"/>
              </w:rPr>
            </w:pPr>
            <w:r>
              <w:rPr>
                <w:rFonts w:ascii="Times New Roman" w:cs="Times New Roman" w:eastAsia="Times New Roman" w:hAnsi="Times New Roman"/>
                <w:sz w:val="22"/>
                <w:szCs w:val="22"/>
                <w:color w:val="auto"/>
              </w:rPr>
              <w:t>KANSAS CITY</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080" w:type="dxa"/>
            <w:vAlign w:val="bottom"/>
          </w:tcPr>
          <w:p>
            <w:pPr>
              <w:spacing w:after="0"/>
              <w:rPr>
                <w:sz w:val="13"/>
                <w:szCs w:val="13"/>
                <w:color w:val="auto"/>
              </w:rPr>
            </w:pPr>
          </w:p>
        </w:tc>
        <w:tc>
          <w:tcPr>
            <w:tcW w:w="3220" w:type="dxa"/>
            <w:vAlign w:val="bottom"/>
            <w:vMerge w:val="restart"/>
          </w:tcPr>
          <w:p>
            <w:pPr>
              <w:ind w:left="1320"/>
              <w:spacing w:after="0" w:line="243" w:lineRule="exact"/>
              <w:rPr>
                <w:sz w:val="20"/>
                <w:szCs w:val="20"/>
                <w:color w:val="auto"/>
              </w:rPr>
            </w:pPr>
            <w:r>
              <w:rPr>
                <w:rFonts w:ascii="Times New Roman" w:cs="Times New Roman" w:eastAsia="Times New Roman" w:hAnsi="Times New Roman"/>
                <w:sz w:val="22"/>
                <w:szCs w:val="22"/>
                <w:color w:val="auto"/>
              </w:rPr>
              <w:t>MISSOURI</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080" w:type="dxa"/>
            <w:vAlign w:val="bottom"/>
          </w:tcPr>
          <w:p>
            <w:pPr>
              <w:spacing w:after="0"/>
              <w:rPr>
                <w:sz w:val="7"/>
                <w:szCs w:val="7"/>
                <w:color w:val="auto"/>
              </w:rPr>
            </w:pPr>
          </w:p>
        </w:tc>
        <w:tc>
          <w:tcPr>
            <w:tcW w:w="3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64105</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080" w:type="dxa"/>
            <w:vAlign w:val="bottom"/>
          </w:tcPr>
          <w:p>
            <w:pPr>
              <w:spacing w:after="0"/>
              <w:rPr>
                <w:sz w:val="24"/>
                <w:szCs w:val="24"/>
                <w:color w:val="auto"/>
              </w:rPr>
            </w:pP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8165562200</w:t>
            </w:r>
          </w:p>
        </w:tc>
        <w:tc>
          <w:tcPr>
            <w:tcW w:w="0" w:type="dxa"/>
            <w:vAlign w:val="bottom"/>
          </w:tcPr>
          <w:p>
            <w:pPr>
              <w:spacing w:after="0"/>
              <w:rPr>
                <w:sz w:val="1"/>
                <w:szCs w:val="1"/>
                <w:color w:val="auto"/>
              </w:rPr>
            </w:pPr>
          </w:p>
        </w:tc>
      </w:tr>
      <w:tr>
        <w:trPr>
          <w:trHeight w:val="297"/>
        </w:trPr>
        <w:tc>
          <w:tcPr>
            <w:tcW w:w="70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Caisley Charles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280" w:type="dxa"/>
        <w:tblCellMar>
          <w:top w:w="0" w:type="dxa"/>
          <w:left w:w="0" w:type="dxa"/>
          <w:bottom w:w="0" w:type="dxa"/>
          <w:right w:w="0" w:type="dxa"/>
        </w:tblCellMar>
      </w:tblPr>
      <w:tr>
        <w:trPr>
          <w:trHeight w:val="253"/>
        </w:trPr>
        <w:tc>
          <w:tcPr>
            <w:tcW w:w="218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06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180" w:type="dxa"/>
            <w:vAlign w:val="bottom"/>
            <w:vMerge w:val="restart"/>
          </w:tcPr>
          <w:p>
            <w:pPr>
              <w:jc w:val="center"/>
              <w:ind w:right="1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2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180" w:type="dxa"/>
            <w:vAlign w:val="bottom"/>
            <w:vMerge w:val="continue"/>
          </w:tcPr>
          <w:p>
            <w:pPr>
              <w:spacing w:after="0"/>
              <w:rPr>
                <w:sz w:val="10"/>
                <w:szCs w:val="10"/>
                <w:color w:val="auto"/>
              </w:rPr>
            </w:pPr>
          </w:p>
        </w:tc>
        <w:tc>
          <w:tcPr>
            <w:tcW w:w="2320" w:type="dxa"/>
            <w:vAlign w:val="bottom"/>
            <w:vMerge w:val="continue"/>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1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1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color w:val="auto"/>
        </w:rPr>
        <w:t>Wells Fargo Clearing</w:t>
      </w:r>
    </w:p>
    <w:p>
      <w:pPr>
        <w:spacing w:after="0" w:line="14" w:lineRule="exact"/>
        <w:rPr>
          <w:sz w:val="24"/>
          <w:szCs w:val="24"/>
          <w:color w:val="auto"/>
        </w:rPr>
      </w:pPr>
    </w:p>
    <w:p>
      <w:pPr>
        <w:jc w:val="center"/>
        <w:ind w:left="2340" w:right="180"/>
        <w:spacing w:after="0" w:line="181" w:lineRule="auto"/>
        <w:tabs>
          <w:tab w:leader="none" w:pos="1700" w:val="left"/>
        </w:tabs>
        <w:rPr>
          <w:sz w:val="20"/>
          <w:szCs w:val="20"/>
          <w:color w:val="auto"/>
        </w:rPr>
      </w:pPr>
      <w:r>
        <w:rPr>
          <w:rFonts w:ascii="Times New Roman" w:cs="Times New Roman" w:eastAsia="Times New Roman" w:hAnsi="Times New Roman"/>
          <w:sz w:val="19"/>
          <w:szCs w:val="19"/>
          <w:color w:val="auto"/>
        </w:rPr>
        <w:t>common</w:t>
      </w:r>
      <w:r>
        <w:rPr>
          <w:sz w:val="20"/>
          <w:szCs w:val="20"/>
          <w:color w:val="auto"/>
        </w:rPr>
        <w:tab/>
      </w:r>
      <w:r>
        <w:rPr>
          <w:rFonts w:ascii="Times New Roman" w:cs="Times New Roman" w:eastAsia="Times New Roman" w:hAnsi="Times New Roman"/>
          <w:sz w:val="37"/>
          <w:szCs w:val="37"/>
          <w:color w:val="auto"/>
          <w:vertAlign w:val="superscript"/>
        </w:rPr>
        <w:t>Services</w:t>
      </w:r>
      <w:r>
        <w:rPr>
          <w:rFonts w:ascii="Times New Roman" w:cs="Times New Roman" w:eastAsia="Times New Roman" w:hAnsi="Times New Roman"/>
          <w:sz w:val="19"/>
          <w:szCs w:val="19"/>
          <w:color w:val="auto"/>
        </w:rPr>
        <w:t xml:space="preserve">               11985      999641.50 1 North Jefferson Avenue</w:t>
      </w:r>
    </w:p>
    <w:p>
      <w:pPr>
        <w:ind w:left="2520"/>
        <w:spacing w:after="0"/>
        <w:rPr>
          <w:sz w:val="20"/>
          <w:szCs w:val="20"/>
          <w:color w:val="auto"/>
        </w:rPr>
      </w:pPr>
      <w:r>
        <w:rPr>
          <w:rFonts w:ascii="Times New Roman" w:cs="Times New Roman" w:eastAsia="Times New Roman" w:hAnsi="Times New Roman"/>
          <w:sz w:val="22"/>
          <w:szCs w:val="22"/>
          <w:color w:val="auto"/>
        </w:rPr>
        <w:t>St. Louis  MO  63103</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230513025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59"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2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60" w:type="dxa"/>
            <w:vAlign w:val="bottom"/>
          </w:tcPr>
          <w:p>
            <w:pPr>
              <w:ind w:left="64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480" w:type="dxa"/>
            <w:vAlign w:val="bottom"/>
          </w:tcPr>
          <w:p>
            <w:pPr>
              <w:ind w:left="340"/>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60" w:type="dxa"/>
            <w:vAlign w:val="bottom"/>
          </w:tcPr>
          <w:p>
            <w:pPr>
              <w:ind w:left="5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48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10/07/2025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1199</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10/07/2025 N/A</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03/01/2025</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3686</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03/01/2025 N/A</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03/03/2023</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1212</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03/03/2023 N/A</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08/12/2024</w:t>
            </w: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56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Issuer</w:t>
            </w:r>
          </w:p>
        </w:tc>
        <w:tc>
          <w:tcPr>
            <w:tcW w:w="2480" w:type="dxa"/>
            <w:vAlign w:val="bottom"/>
            <w:vMerge w:val="restart"/>
          </w:tcPr>
          <w:p>
            <w:pPr>
              <w:ind w:left="1620"/>
              <w:spacing w:after="0"/>
              <w:rPr>
                <w:sz w:val="20"/>
                <w:szCs w:val="20"/>
                <w:color w:val="auto"/>
              </w:rPr>
            </w:pPr>
            <w:r>
              <w:rPr>
                <w:rFonts w:ascii="Times New Roman" w:cs="Times New Roman" w:eastAsia="Times New Roman" w:hAnsi="Times New Roman"/>
                <w:sz w:val="22"/>
                <w:szCs w:val="22"/>
                <w:color w:val="auto"/>
              </w:rPr>
              <w:t>5888</w:t>
            </w:r>
          </w:p>
        </w:tc>
        <w:tc>
          <w:tcPr>
            <w:tcW w:w="18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08/12/2024 N/A</w:t>
            </w:r>
          </w:p>
        </w:tc>
        <w:tc>
          <w:tcPr>
            <w:tcW w:w="0" w:type="dxa"/>
            <w:vAlign w:val="bottom"/>
          </w:tcPr>
          <w:p>
            <w:pPr>
              <w:spacing w:after="0"/>
              <w:rPr>
                <w:sz w:val="1"/>
                <w:szCs w:val="1"/>
                <w:color w:val="auto"/>
              </w:rPr>
            </w:pPr>
          </w:p>
        </w:tc>
      </w:tr>
      <w:tr>
        <w:trPr>
          <w:trHeight w:val="282"/>
        </w:trPr>
        <w:tc>
          <w:tcPr>
            <w:tcW w:w="112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2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vMerge w:val="continue"/>
          </w:tcPr>
          <w:p>
            <w:pPr>
              <w:spacing w:after="0"/>
              <w:rPr>
                <w:sz w:val="24"/>
                <w:szCs w:val="24"/>
                <w:color w:val="auto"/>
              </w:rPr>
            </w:pPr>
          </w:p>
        </w:tc>
        <w:tc>
          <w:tcPr>
            <w:tcW w:w="2480" w:type="dxa"/>
            <w:vAlign w:val="bottom"/>
            <w:vMerge w:val="continue"/>
          </w:tcPr>
          <w:p>
            <w:pPr>
              <w:spacing w:after="0"/>
              <w:rPr>
                <w:sz w:val="24"/>
                <w:szCs w:val="24"/>
                <w:color w:val="auto"/>
              </w:rPr>
            </w:pPr>
          </w:p>
        </w:tc>
        <w:tc>
          <w:tcPr>
            <w:tcW w:w="18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-1258570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-915670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270"/>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were sold in account for Charles A Caisley Revocable Trust, Charles Caisely as trustee.</w:t>
      </w:r>
    </w:p>
    <w:p>
      <w:pPr>
        <w:spacing w:after="0" w:line="56" w:lineRule="exact"/>
        <w:rPr>
          <w:sz w:val="20"/>
          <w:szCs w:val="20"/>
          <w:color w:val="auto"/>
        </w:rPr>
      </w:pPr>
    </w:p>
    <w:p>
      <w:pPr>
        <w:sectPr>
          <w:pgSz w:w="11900" w:h="16838" w:orient="portrait"/>
          <w:cols w:equalWidth="0" w:num="2">
            <w:col w:w="880" w:space="720"/>
            <w:col w:w="96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06/15/2026</w:t>
      </w:r>
    </w:p>
    <w:p>
      <w:pPr>
        <w:spacing w:after="0" w:line="50" w:lineRule="exact"/>
        <w:rPr>
          <w:sz w:val="20"/>
          <w:szCs w:val="20"/>
          <w:color w:val="auto"/>
        </w:rPr>
      </w:pPr>
    </w:p>
    <w:p>
      <w:pPr>
        <w:sectPr>
          <w:pgSz w:w="11900" w:h="16838" w:orient="portrait"/>
          <w:cols w:equalWidth="0" w:num="2">
            <w:col w:w="1320" w:space="280"/>
            <w:col w:w="96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Charles A Caisley</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2026-06-15T13:36:57Z</dcterms:created>
  <dcterms:modified xsi:type="dcterms:W3CDTF">2026-06-15T13:36:57Z</dcterms:modified>
</cp:coreProperties>
</file>