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ind w:left="4580" w:right="2240" w:hanging="2337"/>
        <w:spacing w:after="0" w:line="277" w:lineRule="auto"/>
        <w:tabs>
          <w:tab w:leader="none" w:pos="244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2023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580" w:right="2220" w:hanging="2346"/>
        <w:spacing w:after="0" w:line="277" w:lineRule="auto"/>
        <w:tabs>
          <w:tab w:leader="none" w:pos="243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151765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6"/>
              </w:rPr>
              <w:t>Commission</w:t>
            </w: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b w:val="1"/>
                <w:bCs w:val="1"/>
                <w:color w:val="auto"/>
                <w:w w:val="94"/>
              </w:rPr>
              <w:t>File Number</w:t>
            </w:r>
          </w:p>
        </w:tc>
        <w:tc>
          <w:tcPr>
            <w:tcW w:w="120" w:type="dxa"/>
            <w:vAlign w:val="bottom"/>
          </w:tcPr>
          <w:p>
            <w:pPr>
              <w:spacing w:after="0"/>
              <w:rPr>
                <w:sz w:val="20"/>
                <w:szCs w:val="20"/>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executive offices and telephone number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92"/>
              </w:rPr>
              <w:t>Identification Number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rPr>
              <w:t>EVERGY,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EVERGY METRO,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Arial" w:cs="Arial" w:eastAsia="Arial" w:hAnsi="Arial"/>
                <w:sz w:val="18"/>
                <w:szCs w:val="18"/>
                <w:b w:val="1"/>
                <w:bCs w:val="1"/>
                <w:color w:val="auto"/>
                <w:w w:val="89"/>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1900" w:type="dxa"/>
            <w:vAlign w:val="bottom"/>
          </w:tcPr>
          <w:p>
            <w:pPr>
              <w:spacing w:after="0"/>
              <w:rPr>
                <w:sz w:val="6"/>
                <w:szCs w:val="6"/>
                <w:color w:val="auto"/>
              </w:rPr>
            </w:pPr>
          </w:p>
        </w:tc>
        <w:tc>
          <w:tcPr>
            <w:tcW w:w="34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restart"/>
          </w:tcPr>
          <w:p>
            <w:pPr>
              <w:spacing w:after="0"/>
              <w:rPr>
                <w:sz w:val="6"/>
                <w:szCs w:val="6"/>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Arial" w:cs="Arial" w:eastAsia="Arial" w:hAnsi="Arial"/>
                <w:sz w:val="18"/>
                <w:szCs w:val="18"/>
                <w:b w:val="1"/>
                <w:bCs w:val="1"/>
                <w:color w:val="auto"/>
                <w:w w:val="87"/>
              </w:rPr>
              <w:t>registered</w:t>
            </w:r>
          </w:p>
        </w:tc>
        <w:tc>
          <w:tcPr>
            <w:tcW w:w="20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continue"/>
          </w:tcPr>
          <w:p>
            <w:pPr>
              <w:spacing w:after="0"/>
              <w:rPr>
                <w:sz w:val="5"/>
                <w:szCs w:val="5"/>
                <w:color w:val="auto"/>
              </w:rPr>
            </w:pPr>
          </w:p>
        </w:tc>
        <w:tc>
          <w:tcPr>
            <w:tcW w:w="1640" w:type="dxa"/>
            <w:vAlign w:val="bottom"/>
            <w:tcBorders>
              <w:top w:val="single" w:sz="8" w:color="auto"/>
            </w:tcBorders>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98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Evergy, Inc. common stock</w:t>
            </w:r>
          </w:p>
        </w:tc>
        <w:tc>
          <w:tcPr>
            <w:tcW w:w="1900" w:type="dxa"/>
            <w:vAlign w:val="bottom"/>
          </w:tcPr>
          <w:p>
            <w:pPr>
              <w:spacing w:after="0"/>
              <w:rPr>
                <w:sz w:val="23"/>
                <w:szCs w:val="23"/>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color w:val="auto"/>
                <w:w w:val="97"/>
              </w:rPr>
              <w:t>EVRG</w:t>
            </w:r>
          </w:p>
        </w:tc>
        <w:tc>
          <w:tcPr>
            <w:tcW w:w="180" w:type="dxa"/>
            <w:vAlign w:val="bottom"/>
          </w:tcPr>
          <w:p>
            <w:pPr>
              <w:spacing w:after="0"/>
              <w:rPr>
                <w:sz w:val="23"/>
                <w:szCs w:val="23"/>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r>
        <w:trPr>
          <w:trHeight w:val="102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60"/>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38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14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Kansas Central,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Metro,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0" w:right="5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ectPr>
          <w:pgSz w:w="11900" w:h="16838" w:orient="portrait"/>
          <w:cols w:equalWidth="0" w:num="1">
            <w:col w:w="11240"/>
          </w:cols>
          <w:pgMar w:left="320" w:top="121" w:right="339" w:bottom="1440" w:gutter="0" w:footer="0" w:header="0"/>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Inc.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60"/>
          </w:cols>
          <w:pgMar w:left="320" w:top="121" w:right="33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60"/>
          </w:cols>
          <w:pgMar w:left="320" w:top="121" w:right="33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1" w:lineRule="exact"/>
        <w:rPr>
          <w:sz w:val="20"/>
          <w:szCs w:val="20"/>
          <w:color w:val="auto"/>
        </w:rPr>
      </w:pPr>
    </w:p>
    <w:p>
      <w:pPr>
        <w:sectPr>
          <w:pgSz w:w="11900" w:h="16838" w:orient="portrait"/>
          <w:cols w:equalWidth="0" w:num="2">
            <w:col w:w="2460" w:space="720"/>
            <w:col w:w="80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bl>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April 28, 2023, Evergy, Inc. had 229,680,947 shares of common stock outstanding. On April 28, 2023, Evergy Metro, Inc. and Evergy Kansas Central, Inc. each had one share of common stock outstanding and held by Evergy, Inc.</w:t>
      </w:r>
    </w:p>
    <w:p>
      <w:pPr>
        <w:spacing w:after="0" w:line="155" w:lineRule="exact"/>
        <w:rPr>
          <w:sz w:val="20"/>
          <w:szCs w:val="20"/>
          <w:color w:val="auto"/>
        </w:rPr>
      </w:pPr>
    </w:p>
    <w:p>
      <w:pPr>
        <w:ind w:left="20" w:right="600"/>
        <w:spacing w:after="0" w:line="245" w:lineRule="auto"/>
        <w:rPr>
          <w:sz w:val="20"/>
          <w:szCs w:val="20"/>
          <w:color w:val="auto"/>
        </w:rPr>
      </w:pPr>
      <w:r>
        <w:rPr>
          <w:rFonts w:ascii="Arial" w:cs="Arial" w:eastAsia="Arial" w:hAnsi="Arial"/>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42"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84" w:lineRule="exact"/>
        <w:rPr>
          <w:sz w:val="20"/>
          <w:szCs w:val="20"/>
          <w:color w:val="auto"/>
        </w:rPr>
      </w:pPr>
    </w:p>
    <w:p>
      <w:pPr>
        <w:ind w:right="480"/>
        <w:spacing w:after="0" w:line="255" w:lineRule="auto"/>
        <w:rPr>
          <w:sz w:val="20"/>
          <w:szCs w:val="20"/>
          <w:color w:val="auto"/>
        </w:rPr>
      </w:pPr>
      <w:r>
        <w:rPr>
          <w:rFonts w:ascii="Arial" w:cs="Arial" w:eastAsia="Arial" w:hAnsi="Arial"/>
          <w:sz w:val="20"/>
          <w:szCs w:val="20"/>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2022 for each of Evergy, Evergy Kansas Central and Evergy Metro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gridSpan w:val="11"/>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gridSpan w:val="6"/>
            <w:vMerge w:val="restart"/>
          </w:tcPr>
          <w:p>
            <w:pPr>
              <w:ind w:left="38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240" w:type="dxa"/>
            <w:vAlign w:val="bottom"/>
            <w:gridSpan w:val="23"/>
          </w:tcPr>
          <w:p>
            <w:pPr>
              <w:spacing w:after="0"/>
              <w:rPr>
                <w:sz w:val="20"/>
                <w:szCs w:val="20"/>
                <w:color w:val="auto"/>
              </w:rPr>
            </w:pPr>
            <w:r>
              <w:rPr>
                <w:rFonts w:ascii="Arial" w:cs="Arial" w:eastAsia="Arial" w:hAnsi="Arial"/>
                <w:sz w:val="18"/>
                <w:szCs w:val="18"/>
                <w:color w:val="0000FF"/>
                <w:w w:val="91"/>
              </w:rPr>
              <w:t>Cautionary Statements Regarding Certain Forward-Looking Information</w:t>
            </w:r>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0000FF"/>
                <w:w w:val="79"/>
              </w:rPr>
              <w:t>4</w:t>
            </w:r>
          </w:p>
        </w:tc>
        <w:tc>
          <w:tcPr>
            <w:tcW w:w="4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620" w:type="dxa"/>
            <w:vAlign w:val="bottom"/>
            <w:gridSpan w:val="11"/>
          </w:tcPr>
          <w:p>
            <w:pPr>
              <w:spacing w:after="0"/>
              <w:rPr>
                <w:sz w:val="20"/>
                <w:szCs w:val="20"/>
                <w:color w:val="auto"/>
              </w:rPr>
            </w:pPr>
            <w:r>
              <w:rPr>
                <w:rFonts w:ascii="Arial" w:cs="Arial" w:eastAsia="Arial" w:hAnsi="Arial"/>
                <w:sz w:val="18"/>
                <w:szCs w:val="18"/>
                <w:color w:val="0000FF"/>
              </w:rPr>
              <w:t>Glossary of Terms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Arial" w:cs="Arial" w:eastAsia="Arial" w:hAnsi="Arial"/>
                <w:sz w:val="18"/>
                <w:szCs w:val="18"/>
                <w:color w:val="0000FF"/>
                <w:w w:val="79"/>
              </w:rPr>
              <w:t>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620" w:type="dxa"/>
            <w:vAlign w:val="bottom"/>
            <w:gridSpan w:val="11"/>
          </w:tcPr>
          <w:p>
            <w:pPr>
              <w:spacing w:after="0"/>
              <w:rPr>
                <w:sz w:val="20"/>
                <w:szCs w:val="20"/>
                <w:color w:val="auto"/>
              </w:rPr>
            </w:pPr>
            <w:r>
              <w:rPr>
                <w:rFonts w:ascii="Arial" w:cs="Arial" w:eastAsia="Arial" w:hAnsi="Arial"/>
                <w:sz w:val="18"/>
                <w:szCs w:val="18"/>
                <w:b w:val="1"/>
                <w:bCs w:val="1"/>
                <w:color w:val="0000FF"/>
              </w:rPr>
              <w:t>Part I - Financial Information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80" w:type="dxa"/>
            <w:vAlign w:val="bottom"/>
            <w:gridSpan w:val="29"/>
          </w:tcPr>
          <w:p>
            <w:pPr>
              <w:spacing w:after="0"/>
              <w:rPr>
                <w:sz w:val="20"/>
                <w:szCs w:val="20"/>
                <w:color w:val="auto"/>
              </w:rPr>
            </w:pPr>
            <w:r>
              <w:rPr>
                <w:rFonts w:ascii="Arial" w:cs="Arial" w:eastAsia="Arial" w:hAnsi="Arial"/>
                <w:sz w:val="18"/>
                <w:szCs w:val="18"/>
                <w:color w:val="0000FF"/>
              </w:rPr>
              <w:t>Financial Statements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89"/>
              </w:rPr>
              <w:t>Evergy, Inc.</w:t>
            </w:r>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sz w:val="20"/>
                <w:szCs w:val="20"/>
                <w:color w:val="auto"/>
              </w:rPr>
            </w:pPr>
            <w:r>
              <w:rPr>
                <w:rFonts w:ascii="Arial" w:cs="Arial" w:eastAsia="Arial" w:hAnsi="Arial"/>
                <w:sz w:val="18"/>
                <w:szCs w:val="18"/>
                <w:color w:val="0000FF"/>
                <w:w w:val="88"/>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Arial" w:cs="Arial" w:eastAsia="Arial" w:hAnsi="Arial"/>
                <w:sz w:val="18"/>
                <w:szCs w:val="18"/>
                <w:color w:val="0000FF"/>
                <w:w w:val="79"/>
              </w:rPr>
              <w:t>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3"/>
          </w:tcPr>
          <w:p>
            <w:pPr>
              <w:spacing w:after="0"/>
              <w:rPr>
                <w:sz w:val="20"/>
                <w:szCs w:val="20"/>
                <w:color w:val="auto"/>
              </w:rPr>
            </w:pPr>
            <w:r>
              <w:rPr>
                <w:rFonts w:ascii="Arial" w:cs="Arial" w:eastAsia="Arial" w:hAnsi="Arial"/>
                <w:sz w:val="18"/>
                <w:szCs w:val="18"/>
                <w:color w:val="0000FF"/>
                <w:w w:val="89"/>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0000FF"/>
                <w:w w:val="8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Arial" w:cs="Arial" w:eastAsia="Arial" w:hAnsi="Arial"/>
                <w:sz w:val="18"/>
                <w:szCs w:val="18"/>
                <w:color w:val="0000FF"/>
                <w:w w:val="79"/>
              </w:rPr>
              <w:t>11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7"/>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29"/>
          </w:tcPr>
          <w:p>
            <w:pPr>
              <w:spacing w:after="0"/>
              <w:rPr>
                <w:sz w:val="20"/>
                <w:szCs w:val="20"/>
                <w:color w:val="auto"/>
              </w:rPr>
            </w:pPr>
            <w:r>
              <w:rPr>
                <w:rFonts w:ascii="Arial" w:cs="Arial" w:eastAsia="Arial" w:hAnsi="Arial"/>
                <w:sz w:val="18"/>
                <w:szCs w:val="18"/>
                <w:b w:val="1"/>
                <w:bCs w:val="1"/>
                <w:color w:val="0000FF"/>
              </w:rPr>
              <w:t>Evergy Kansas Central,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sz w:val="20"/>
                <w:szCs w:val="20"/>
                <w:color w:val="auto"/>
              </w:rPr>
            </w:pPr>
            <w:r>
              <w:rPr>
                <w:rFonts w:ascii="Arial" w:cs="Arial" w:eastAsia="Arial" w:hAnsi="Arial"/>
                <w:sz w:val="18"/>
                <w:szCs w:val="18"/>
                <w:color w:val="0000FF"/>
                <w:w w:val="88"/>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13</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7"/>
          </w:tcPr>
          <w:p>
            <w:pPr>
              <w:spacing w:after="0"/>
              <w:rPr>
                <w:sz w:val="20"/>
                <w:szCs w:val="20"/>
                <w:color w:val="auto"/>
              </w:rPr>
            </w:pPr>
            <w:r>
              <w:rPr>
                <w:rFonts w:ascii="Arial" w:cs="Arial" w:eastAsia="Arial" w:hAnsi="Arial"/>
                <w:sz w:val="18"/>
                <w:szCs w:val="18"/>
                <w:color w:val="0000FF"/>
                <w:w w:val="88"/>
              </w:rPr>
              <w:t>Unaudited Consolidated Statements of Income</w:t>
            </w:r>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0000FF"/>
                <w:w w:val="89"/>
              </w:rPr>
              <w:t>Unaudited Consolidated Statements of Cash Flows</w:t>
            </w:r>
          </w:p>
        </w:tc>
        <w:tc>
          <w:tcPr>
            <w:tcW w:w="4260" w:type="dxa"/>
            <w:vAlign w:val="bottom"/>
            <w:gridSpan w:val="9"/>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7"/>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17</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29"/>
          </w:tcPr>
          <w:p>
            <w:pPr>
              <w:spacing w:after="0"/>
              <w:rPr>
                <w:sz w:val="20"/>
                <w:szCs w:val="20"/>
                <w:color w:val="auto"/>
              </w:rPr>
            </w:pPr>
            <w:r>
              <w:rPr>
                <w:rFonts w:ascii="Arial" w:cs="Arial" w:eastAsia="Arial" w:hAnsi="Arial"/>
                <w:sz w:val="18"/>
                <w:szCs w:val="18"/>
                <w:b w:val="1"/>
                <w:bCs w:val="1"/>
                <w:color w:val="0000FF"/>
              </w:rPr>
              <w:t>Evergy Metro,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sz w:val="20"/>
                <w:szCs w:val="20"/>
                <w:color w:val="auto"/>
              </w:rPr>
            </w:pPr>
            <w:r>
              <w:rPr>
                <w:rFonts w:ascii="Arial" w:cs="Arial" w:eastAsia="Arial" w:hAnsi="Arial"/>
                <w:sz w:val="18"/>
                <w:szCs w:val="18"/>
                <w:color w:val="0000FF"/>
                <w:w w:val="88"/>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3"/>
          </w:tcPr>
          <w:p>
            <w:pPr>
              <w:spacing w:after="0"/>
              <w:rPr>
                <w:sz w:val="20"/>
                <w:szCs w:val="20"/>
                <w:color w:val="auto"/>
              </w:rPr>
            </w:pPr>
            <w:r>
              <w:rPr>
                <w:rFonts w:ascii="Arial" w:cs="Arial" w:eastAsia="Arial" w:hAnsi="Arial"/>
                <w:sz w:val="18"/>
                <w:szCs w:val="18"/>
                <w:color w:val="0000FF"/>
                <w:w w:val="89"/>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sz w:val="20"/>
                <w:szCs w:val="20"/>
                <w:color w:val="auto"/>
              </w:rPr>
            </w:pPr>
            <w:r>
              <w:rPr>
                <w:rFonts w:ascii="Arial" w:cs="Arial" w:eastAsia="Arial" w:hAnsi="Arial"/>
                <w:sz w:val="18"/>
                <w:szCs w:val="18"/>
                <w:color w:val="0000FF"/>
                <w:w w:val="8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7"/>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29"/>
          </w:tcPr>
          <w:p>
            <w:pPr>
              <w:spacing w:after="0"/>
              <w:rPr>
                <w:sz w:val="20"/>
                <w:szCs w:val="20"/>
                <w:color w:val="auto"/>
              </w:rPr>
            </w:pPr>
            <w:r>
              <w:rPr>
                <w:rFonts w:ascii="Arial" w:cs="Arial" w:eastAsia="Arial" w:hAnsi="Arial"/>
                <w:sz w:val="18"/>
                <w:szCs w:val="18"/>
                <w:color w:val="0000FF"/>
                <w:w w:val="94"/>
              </w:rPr>
              <w:t>Combined Notes to Unaudited Consolidated Financial Statements for Evergy, Inc., Evergy Kansas Central,</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23</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rPr>
              <w:t>Inc. and Evergy Metro, Inc.</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w:t>
            </w:r>
          </w:p>
        </w:tc>
        <w:tc>
          <w:tcPr>
            <w:tcW w:w="2800" w:type="dxa"/>
            <w:vAlign w:val="bottom"/>
            <w:gridSpan w:val="13"/>
          </w:tcPr>
          <w:p>
            <w:pPr>
              <w:spacing w:after="0"/>
              <w:rPr>
                <w:sz w:val="20"/>
                <w:szCs w:val="20"/>
                <w:color w:val="auto"/>
              </w:rPr>
            </w:pPr>
            <w:r>
              <w:rPr>
                <w:rFonts w:ascii="Arial" w:cs="Arial" w:eastAsia="Arial" w:hAnsi="Arial"/>
                <w:sz w:val="18"/>
                <w:szCs w:val="18"/>
                <w:color w:val="0000FF"/>
                <w:w w:val="88"/>
              </w:rPr>
              <w:t>Organization and Basis of Presentation</w:t>
            </w:r>
          </w:p>
        </w:tc>
        <w:tc>
          <w:tcPr>
            <w:tcW w:w="3840" w:type="dxa"/>
            <w:vAlign w:val="bottom"/>
            <w:gridSpan w:val="7"/>
          </w:tcPr>
          <w:p>
            <w:pPr>
              <w:spacing w:after="0"/>
              <w:rPr>
                <w:sz w:val="19"/>
                <w:szCs w:val="19"/>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23</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2:</w:t>
            </w:r>
          </w:p>
        </w:tc>
        <w:tc>
          <w:tcPr>
            <w:tcW w:w="620" w:type="dxa"/>
            <w:vAlign w:val="bottom"/>
            <w:gridSpan w:val="3"/>
          </w:tcPr>
          <w:p>
            <w:pPr>
              <w:spacing w:after="0"/>
              <w:rPr>
                <w:sz w:val="20"/>
                <w:szCs w:val="20"/>
                <w:color w:val="auto"/>
              </w:rPr>
            </w:pPr>
            <w:r>
              <w:rPr>
                <w:rFonts w:ascii="Arial" w:cs="Arial" w:eastAsia="Arial" w:hAnsi="Arial"/>
                <w:sz w:val="18"/>
                <w:szCs w:val="18"/>
                <w:color w:val="0000FF"/>
                <w:w w:val="83"/>
              </w:rPr>
              <w:t>Revenue</w:t>
            </w:r>
          </w:p>
        </w:tc>
        <w:tc>
          <w:tcPr>
            <w:tcW w:w="2180" w:type="dxa"/>
            <w:vAlign w:val="bottom"/>
            <w:gridSpan w:val="10"/>
          </w:tcPr>
          <w:p>
            <w:pPr>
              <w:spacing w:after="0"/>
              <w:rPr>
                <w:sz w:val="18"/>
                <w:szCs w:val="18"/>
                <w:color w:val="auto"/>
              </w:rPr>
            </w:pPr>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3:</w:t>
            </w:r>
          </w:p>
        </w:tc>
        <w:tc>
          <w:tcPr>
            <w:tcW w:w="860" w:type="dxa"/>
            <w:vAlign w:val="bottom"/>
            <w:gridSpan w:val="5"/>
          </w:tcPr>
          <w:p>
            <w:pPr>
              <w:spacing w:after="0"/>
              <w:rPr>
                <w:sz w:val="20"/>
                <w:szCs w:val="20"/>
                <w:color w:val="auto"/>
              </w:rPr>
            </w:pPr>
            <w:r>
              <w:rPr>
                <w:rFonts w:ascii="Arial" w:cs="Arial" w:eastAsia="Arial" w:hAnsi="Arial"/>
                <w:sz w:val="18"/>
                <w:szCs w:val="18"/>
                <w:color w:val="0000FF"/>
                <w:w w:val="83"/>
              </w:rPr>
              <w:t>Receivables</w:t>
            </w:r>
          </w:p>
        </w:tc>
        <w:tc>
          <w:tcPr>
            <w:tcW w:w="5780" w:type="dxa"/>
            <w:vAlign w:val="bottom"/>
            <w:gridSpan w:val="1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4:</w:t>
            </w:r>
          </w:p>
        </w:tc>
        <w:tc>
          <w:tcPr>
            <w:tcW w:w="6640" w:type="dxa"/>
            <w:vAlign w:val="bottom"/>
            <w:gridSpan w:val="20"/>
          </w:tcPr>
          <w:p>
            <w:pPr>
              <w:spacing w:after="0"/>
              <w:rPr>
                <w:sz w:val="20"/>
                <w:szCs w:val="20"/>
                <w:color w:val="auto"/>
              </w:rPr>
            </w:pPr>
            <w:r>
              <w:rPr>
                <w:rFonts w:ascii="Arial" w:cs="Arial" w:eastAsia="Arial" w:hAnsi="Arial"/>
                <w:sz w:val="18"/>
                <w:szCs w:val="18"/>
                <w:color w:val="0000FF"/>
              </w:rPr>
              <w:t>Rate Matters and Regulation</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5:</w:t>
            </w:r>
          </w:p>
        </w:tc>
        <w:tc>
          <w:tcPr>
            <w:tcW w:w="3160" w:type="dxa"/>
            <w:vAlign w:val="bottom"/>
            <w:gridSpan w:val="15"/>
          </w:tcPr>
          <w:p>
            <w:pPr>
              <w:spacing w:after="0"/>
              <w:rPr>
                <w:sz w:val="20"/>
                <w:szCs w:val="20"/>
                <w:color w:val="auto"/>
              </w:rPr>
            </w:pPr>
            <w:r>
              <w:rPr>
                <w:rFonts w:ascii="Arial" w:cs="Arial" w:eastAsia="Arial" w:hAnsi="Arial"/>
                <w:sz w:val="18"/>
                <w:szCs w:val="18"/>
                <w:color w:val="0000FF"/>
                <w:w w:val="88"/>
              </w:rPr>
              <w:t>Pension Plans and Post-Retirement Benefits</w:t>
            </w:r>
          </w:p>
        </w:tc>
        <w:tc>
          <w:tcPr>
            <w:tcW w:w="3480" w:type="dxa"/>
            <w:vAlign w:val="bottom"/>
            <w:gridSpan w:val="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33</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6:</w:t>
            </w:r>
          </w:p>
        </w:tc>
        <w:tc>
          <w:tcPr>
            <w:tcW w:w="6640" w:type="dxa"/>
            <w:vAlign w:val="bottom"/>
            <w:gridSpan w:val="20"/>
          </w:tcPr>
          <w:p>
            <w:pPr>
              <w:spacing w:after="0"/>
              <w:rPr>
                <w:sz w:val="20"/>
                <w:szCs w:val="20"/>
                <w:color w:val="auto"/>
              </w:rPr>
            </w:pPr>
            <w:r>
              <w:rPr>
                <w:rFonts w:ascii="Arial" w:cs="Arial" w:eastAsia="Arial" w:hAnsi="Arial"/>
                <w:sz w:val="18"/>
                <w:szCs w:val="18"/>
                <w:color w:val="0000FF"/>
              </w:rPr>
              <w:t>Short-Term Borrowings and Short-Term Bank Lines of Credit</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7:</w:t>
            </w:r>
          </w:p>
        </w:tc>
        <w:tc>
          <w:tcPr>
            <w:tcW w:w="1200" w:type="dxa"/>
            <w:vAlign w:val="bottom"/>
            <w:gridSpan w:val="6"/>
          </w:tcPr>
          <w:p>
            <w:pPr>
              <w:spacing w:after="0"/>
              <w:rPr>
                <w:sz w:val="20"/>
                <w:szCs w:val="20"/>
                <w:color w:val="auto"/>
              </w:rPr>
            </w:pPr>
            <w:r>
              <w:rPr>
                <w:rFonts w:ascii="Arial" w:cs="Arial" w:eastAsia="Arial" w:hAnsi="Arial"/>
                <w:sz w:val="18"/>
                <w:szCs w:val="18"/>
                <w:color w:val="0000FF"/>
                <w:w w:val="90"/>
              </w:rPr>
              <w:t>Long-Term Debt</w:t>
            </w:r>
          </w:p>
        </w:tc>
        <w:tc>
          <w:tcPr>
            <w:tcW w:w="3240" w:type="dxa"/>
            <w:vAlign w:val="bottom"/>
            <w:gridSpan w:val="11"/>
          </w:tcPr>
          <w:p>
            <w:pPr>
              <w:spacing w:after="0"/>
              <w:rPr>
                <w:sz w:val="18"/>
                <w:szCs w:val="18"/>
                <w:color w:val="auto"/>
              </w:rPr>
            </w:pPr>
          </w:p>
        </w:tc>
        <w:tc>
          <w:tcPr>
            <w:tcW w:w="2200" w:type="dxa"/>
            <w:vAlign w:val="bottom"/>
            <w:gridSpan w:val="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8:</w:t>
            </w:r>
          </w:p>
        </w:tc>
        <w:tc>
          <w:tcPr>
            <w:tcW w:w="1640" w:type="dxa"/>
            <w:vAlign w:val="bottom"/>
            <w:gridSpan w:val="8"/>
          </w:tcPr>
          <w:p>
            <w:pPr>
              <w:spacing w:after="0"/>
              <w:rPr>
                <w:sz w:val="20"/>
                <w:szCs w:val="20"/>
                <w:color w:val="auto"/>
              </w:rPr>
            </w:pPr>
            <w:r>
              <w:rPr>
                <w:rFonts w:ascii="Arial" w:cs="Arial" w:eastAsia="Arial" w:hAnsi="Arial"/>
                <w:sz w:val="18"/>
                <w:szCs w:val="18"/>
                <w:color w:val="0000FF"/>
                <w:w w:val="90"/>
              </w:rPr>
              <w:t>Derivative Instruments</w:t>
            </w:r>
          </w:p>
        </w:tc>
        <w:tc>
          <w:tcPr>
            <w:tcW w:w="5000" w:type="dxa"/>
            <w:vAlign w:val="bottom"/>
            <w:gridSpan w:val="1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9:</w:t>
            </w:r>
          </w:p>
        </w:tc>
        <w:tc>
          <w:tcPr>
            <w:tcW w:w="6640" w:type="dxa"/>
            <w:vAlign w:val="bottom"/>
            <w:gridSpan w:val="20"/>
          </w:tcPr>
          <w:p>
            <w:pPr>
              <w:spacing w:after="0"/>
              <w:rPr>
                <w:sz w:val="20"/>
                <w:szCs w:val="20"/>
                <w:color w:val="auto"/>
              </w:rPr>
            </w:pPr>
            <w:r>
              <w:rPr>
                <w:rFonts w:ascii="Arial" w:cs="Arial" w:eastAsia="Arial" w:hAnsi="Arial"/>
                <w:sz w:val="18"/>
                <w:szCs w:val="18"/>
                <w:color w:val="0000FF"/>
              </w:rPr>
              <w:t>Fair Value Measurements</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40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10:</w:t>
            </w:r>
          </w:p>
        </w:tc>
        <w:tc>
          <w:tcPr>
            <w:tcW w:w="6640" w:type="dxa"/>
            <w:vAlign w:val="bottom"/>
            <w:gridSpan w:val="20"/>
          </w:tcPr>
          <w:p>
            <w:pPr>
              <w:spacing w:after="0"/>
              <w:rPr>
                <w:sz w:val="20"/>
                <w:szCs w:val="20"/>
                <w:color w:val="auto"/>
              </w:rPr>
            </w:pPr>
            <w:r>
              <w:rPr>
                <w:rFonts w:ascii="Arial" w:cs="Arial" w:eastAsia="Arial" w:hAnsi="Arial"/>
                <w:sz w:val="18"/>
                <w:szCs w:val="18"/>
                <w:color w:val="0000FF"/>
              </w:rPr>
              <w:t>Commitments and Contingencies</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45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11:</w:t>
            </w:r>
          </w:p>
        </w:tc>
        <w:tc>
          <w:tcPr>
            <w:tcW w:w="6640" w:type="dxa"/>
            <w:vAlign w:val="bottom"/>
            <w:gridSpan w:val="20"/>
          </w:tcPr>
          <w:p>
            <w:pPr>
              <w:spacing w:after="0"/>
              <w:rPr>
                <w:sz w:val="20"/>
                <w:szCs w:val="20"/>
                <w:color w:val="auto"/>
              </w:rPr>
            </w:pPr>
            <w:r>
              <w:rPr>
                <w:rFonts w:ascii="Arial" w:cs="Arial" w:eastAsia="Arial" w:hAnsi="Arial"/>
                <w:sz w:val="18"/>
                <w:szCs w:val="18"/>
                <w:color w:val="0000FF"/>
              </w:rPr>
              <w:t>Related Party Transactions and Relationships</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49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12:</w:t>
            </w:r>
          </w:p>
        </w:tc>
        <w:tc>
          <w:tcPr>
            <w:tcW w:w="3240" w:type="dxa"/>
            <w:vAlign w:val="bottom"/>
            <w:gridSpan w:val="16"/>
          </w:tcPr>
          <w:p>
            <w:pPr>
              <w:spacing w:after="0"/>
              <w:rPr>
                <w:sz w:val="20"/>
                <w:szCs w:val="20"/>
                <w:color w:val="auto"/>
              </w:rPr>
            </w:pPr>
            <w:r>
              <w:rPr>
                <w:rFonts w:ascii="Arial" w:cs="Arial" w:eastAsia="Arial" w:hAnsi="Arial"/>
                <w:sz w:val="18"/>
                <w:szCs w:val="18"/>
                <w:color w:val="0000FF"/>
              </w:rPr>
              <w:t>Taxes</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50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2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52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23"/>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66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66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w w:val="96"/>
              </w:rPr>
              <w:t>Part II - Other Information</w:t>
            </w:r>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40" w:type="dxa"/>
            <w:vAlign w:val="bottom"/>
            <w:gridSpan w:val="9"/>
          </w:tcPr>
          <w:p>
            <w:pPr>
              <w:spacing w:after="0"/>
              <w:rPr>
                <w:sz w:val="20"/>
                <w:szCs w:val="20"/>
                <w:color w:val="auto"/>
              </w:rPr>
            </w:pPr>
            <w:r>
              <w:rPr>
                <w:rFonts w:ascii="Arial" w:cs="Arial" w:eastAsia="Arial" w:hAnsi="Arial"/>
                <w:sz w:val="18"/>
                <w:szCs w:val="18"/>
                <w:color w:val="0000FF"/>
                <w:w w:val="93"/>
              </w:rPr>
              <w:t>Legal Proceedings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67</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67</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080" w:type="dxa"/>
            <w:vAlign w:val="bottom"/>
            <w:gridSpan w:val="2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68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00" w:type="dxa"/>
            <w:vAlign w:val="bottom"/>
            <w:gridSpan w:val="14"/>
          </w:tcPr>
          <w:p>
            <w:pPr>
              <w:spacing w:after="0"/>
              <w:rPr>
                <w:sz w:val="20"/>
                <w:szCs w:val="20"/>
                <w:color w:val="auto"/>
              </w:rPr>
            </w:pPr>
            <w:r>
              <w:rPr>
                <w:rFonts w:ascii="Arial" w:cs="Arial" w:eastAsia="Arial" w:hAnsi="Arial"/>
                <w:sz w:val="18"/>
                <w:szCs w:val="18"/>
                <w:color w:val="0000FF"/>
                <w:w w:val="88"/>
              </w:rPr>
              <w:t>Defaults Upon Senior Securities</w:t>
            </w:r>
          </w:p>
        </w:tc>
        <w:tc>
          <w:tcPr>
            <w:tcW w:w="2040" w:type="dxa"/>
            <w:vAlign w:val="bottom"/>
            <w:gridSpan w:val="9"/>
          </w:tcPr>
          <w:p>
            <w:pPr>
              <w:spacing w:after="0"/>
              <w:rPr>
                <w:sz w:val="18"/>
                <w:szCs w:val="18"/>
                <w:color w:val="auto"/>
              </w:rPr>
            </w:pP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68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00" w:type="dxa"/>
            <w:vAlign w:val="bottom"/>
            <w:gridSpan w:val="14"/>
          </w:tcPr>
          <w:p>
            <w:pPr>
              <w:spacing w:after="0"/>
              <w:rPr>
                <w:sz w:val="20"/>
                <w:szCs w:val="20"/>
                <w:color w:val="auto"/>
              </w:rPr>
            </w:pPr>
            <w:r>
              <w:rPr>
                <w:rFonts w:ascii="Arial" w:cs="Arial" w:eastAsia="Arial" w:hAnsi="Arial"/>
                <w:sz w:val="18"/>
                <w:szCs w:val="18"/>
                <w:color w:val="0000FF"/>
              </w:rPr>
              <w:t>Mine Safety Disclosures</w:t>
            </w:r>
          </w:p>
        </w:tc>
        <w:tc>
          <w:tcPr>
            <w:tcW w:w="5780" w:type="dxa"/>
            <w:vAlign w:val="bottom"/>
            <w:gridSpan w:val="1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68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40" w:type="dxa"/>
            <w:vAlign w:val="bottom"/>
            <w:gridSpan w:val="9"/>
          </w:tcPr>
          <w:p>
            <w:pPr>
              <w:spacing w:after="0"/>
              <w:rPr>
                <w:sz w:val="20"/>
                <w:szCs w:val="20"/>
                <w:color w:val="auto"/>
              </w:rPr>
            </w:pPr>
            <w:r>
              <w:rPr>
                <w:rFonts w:ascii="Arial" w:cs="Arial" w:eastAsia="Arial" w:hAnsi="Arial"/>
                <w:sz w:val="18"/>
                <w:szCs w:val="18"/>
                <w:color w:val="0000FF"/>
                <w:w w:val="99"/>
              </w:rPr>
              <w:t>Other Information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69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73</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15"/>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STATEMENTS REGARDING CERTAIN FORWARD-LOOKING INFORMATION</w:t>
      </w:r>
    </w:p>
    <w:p>
      <w:pPr>
        <w:spacing w:after="0" w:line="26"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7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uncertainties and other factors include, but are not limited to: economic and weather conditions and any impact on sales, prices and costs;</w:t>
      </w:r>
    </w:p>
    <w:p>
      <w:pPr>
        <w:spacing w:after="0" w:line="9"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changes in business strategy or operations; the impact of federal, state and local political, legislative, judicial and regulatory actions or developments, including deregulation, re-regulation, securitization and restructuring of the electric utility industry; decisions of regulators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regarding, among other things, customer rates and the prudency of operational decisions such as capital expenditures and asset retirements;</w:t>
      </w:r>
    </w:p>
    <w:p>
      <w:pPr>
        <w:spacing w:after="0" w:line="32" w:lineRule="exact"/>
        <w:rPr>
          <w:sz w:val="20"/>
          <w:szCs w:val="20"/>
          <w:color w:val="auto"/>
        </w:rPr>
      </w:pPr>
    </w:p>
    <w:p>
      <w:pPr>
        <w:ind w:right="740"/>
        <w:spacing w:after="0" w:line="272" w:lineRule="auto"/>
        <w:rPr>
          <w:sz w:val="20"/>
          <w:szCs w:val="20"/>
          <w:color w:val="auto"/>
        </w:rPr>
      </w:pPr>
      <w:r>
        <w:rPr>
          <w:rFonts w:ascii="Arial" w:cs="Arial" w:eastAsia="Arial" w:hAnsi="Arial"/>
          <w:sz w:val="16"/>
          <w:szCs w:val="16"/>
          <w:color w:val="auto"/>
        </w:rPr>
        <w:t>changes in applicable laws, regulations, rules, principles or practices, or the interpretations thereof, governing tax, accounting and environmental matters, including air and water quality and waste management and disposal; the impact of climate change, including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increased frequency and severity of significant weather events and the extent to which counterparties are willing to do business with, finance</w:t>
      </w:r>
    </w:p>
    <w:p>
      <w:pPr>
        <w:spacing w:after="0" w:line="9" w:lineRule="exact"/>
        <w:rPr>
          <w:sz w:val="20"/>
          <w:szCs w:val="20"/>
          <w:color w:val="auto"/>
        </w:rPr>
      </w:pPr>
    </w:p>
    <w:p>
      <w:pPr>
        <w:ind w:right="280"/>
        <w:spacing w:after="0" w:line="272" w:lineRule="auto"/>
        <w:rPr>
          <w:sz w:val="20"/>
          <w:szCs w:val="20"/>
          <w:color w:val="auto"/>
        </w:rPr>
      </w:pPr>
      <w:r>
        <w:rPr>
          <w:rFonts w:ascii="Arial" w:cs="Arial" w:eastAsia="Arial" w:hAnsi="Arial"/>
          <w:sz w:val="16"/>
          <w:szCs w:val="16"/>
          <w:color w:val="auto"/>
        </w:rPr>
        <w:t>the operations of or purchase energy from the Evergy Companies due to the fact that the Evergy Companies operate coal-fired generation; prices and availability of electricity and natural gas in wholesale markets; market perception of the energy industry and the Evergy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Companies; the impact of future Coronavirus (COVID-19) variants on, among other things, sales, results of operations, financial condition,</w:t>
      </w:r>
    </w:p>
    <w:p>
      <w:pPr>
        <w:spacing w:after="0" w:line="9"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liquidity and cash flows, and also on operational issues, such as supply chain issues and the availability and ability of the Evergy Companies' employees and suppliers to perform the functions that are necessary to operate the Evergy Companies; changes in the energy trading markets</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which the Evergy Companies participate, including retroactive repricing of transactions by regional transmission organizations (RTO) and independent system operators; financial market conditions and performance, current disruptions in the banking industry, including changes in</w:t>
      </w:r>
    </w:p>
    <w:p>
      <w:pPr>
        <w:spacing w:after="0" w:line="1" w:lineRule="exact"/>
        <w:rPr>
          <w:sz w:val="20"/>
          <w:szCs w:val="20"/>
          <w:color w:val="auto"/>
        </w:rPr>
      </w:pPr>
    </w:p>
    <w:p>
      <w:pPr>
        <w:ind w:right="340"/>
        <w:spacing w:after="0" w:line="272" w:lineRule="auto"/>
        <w:rPr>
          <w:sz w:val="20"/>
          <w:szCs w:val="20"/>
          <w:color w:val="auto"/>
        </w:rPr>
      </w:pPr>
      <w:r>
        <w:rPr>
          <w:rFonts w:ascii="Arial" w:cs="Arial" w:eastAsia="Arial" w:hAnsi="Arial"/>
          <w:sz w:val="16"/>
          <w:szCs w:val="16"/>
          <w:color w:val="auto"/>
        </w:rPr>
        <w:t>interest rates and credit spreads and in availability and cost of capital and the effects on derivatives and hedges, nuclear decommissioning trust and pension plan assets and costs; impairments of long-lived assets or goodwill; credit ratings; inflation rates; the transition to a</w:t>
      </w:r>
    </w:p>
    <w:p>
      <w:pPr>
        <w:spacing w:after="0" w:line="238" w:lineRule="auto"/>
        <w:rPr>
          <w:sz w:val="20"/>
          <w:szCs w:val="20"/>
          <w:color w:val="auto"/>
        </w:rPr>
      </w:pPr>
      <w:r>
        <w:rPr>
          <w:rFonts w:ascii="Arial" w:cs="Arial" w:eastAsia="Arial" w:hAnsi="Arial"/>
          <w:sz w:val="19"/>
          <w:szCs w:val="19"/>
          <w:color w:val="auto"/>
        </w:rPr>
        <w:t>replacement for the London Interbank Offered Rate (LIBOR) benchmark interest rate; effectiveness of risk management policies and</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facilities and infrastructure of third-party service providers on which the Evergy Companies rely; impact of the Russian, Ukrainian conflict</w:t>
      </w:r>
    </w:p>
    <w:p>
      <w:pPr>
        <w:spacing w:after="0" w:line="9"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color w:val="auto"/>
        </w:rPr>
        <w:t>on the global energy market, ability to carry out marketing and sales plans; cost, availability, quality and timely provision of equipment, supplies, labor and fuel; ability to achieve generation goals and the occurrence and duration of planned and unplanned generation outages;</w:t>
      </w:r>
    </w:p>
    <w:p>
      <w:pPr>
        <w:spacing w:after="0" w:line="238" w:lineRule="auto"/>
        <w:rPr>
          <w:sz w:val="20"/>
          <w:szCs w:val="20"/>
          <w:color w:val="auto"/>
        </w:rPr>
      </w:pPr>
      <w:r>
        <w:rPr>
          <w:rFonts w:ascii="Arial" w:cs="Arial" w:eastAsia="Arial" w:hAnsi="Arial"/>
          <w:sz w:val="19"/>
          <w:szCs w:val="19"/>
          <w:color w:val="auto"/>
        </w:rPr>
        <w:t>delays and cost increases of generation, transmission, distribution or other projects; the Evergy Companies' ability to manage their</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transmission and distribution development plans and transmission joint ventures; the inherent risks associated with the ownership and operation of a nuclear facility, including environmental, health, safety, regulatory and financial risks; workforce risks, including those related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the Evergy Companies' ability to attract and retain qualified personnel, maintain satisfactory relationships with their labor unions and</w:t>
      </w:r>
    </w:p>
    <w:p>
      <w:pPr>
        <w:spacing w:after="0" w:line="9"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manage costs of, or changes in, wages, retirement, health care and other benefits; disruption, costs and uncertainties caused by or related to the actions of individuals or entities, such as activist shareholders or special interest groups, that seek to influence Evergy's strategic plan,</w:t>
      </w:r>
    </w:p>
    <w:p>
      <w:pPr>
        <w:spacing w:after="0" w:line="1"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financial results or operations; the impact of changing expectations and demands of the Evergy Companies' customers, regulators, investors and stakeholders, including heightened emphasis on environmental, social and governance concerns; the possibility that strategic initiatives,</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including mergers, acquisitions and divestitures, and long-term financial plans, may not create the value that they are expected to achieve in a timely manner or at all; difficulties in maintaining relationships with customers, employees, regulators or suppliers; and other risks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uncertainties.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Each forward-looking statement speaks only as of the date of the particular statement. The Evergy Companies undertake no obligation to publicly update or revise any forward-looking statement, whether as a result of new information, future events or otherwise,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6"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72" w:lineRule="exact"/>
        <w:rPr>
          <w:sz w:val="20"/>
          <w:szCs w:val="20"/>
          <w:color w:val="auto"/>
        </w:rPr>
      </w:pPr>
    </w:p>
    <w:p>
      <w:pPr>
        <w:ind w:right="540"/>
        <w:spacing w:after="0" w:line="288" w:lineRule="auto"/>
        <w:rPr>
          <w:sz w:val="20"/>
          <w:szCs w:val="20"/>
          <w:color w:val="auto"/>
        </w:rPr>
      </w:pPr>
      <w:r>
        <w:rPr>
          <w:rFonts w:ascii="Arial" w:cs="Arial" w:eastAsia="Arial" w:hAnsi="Arial"/>
          <w:sz w:val="18"/>
          <w:szCs w:val="18"/>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GLOSSARY OF TERMS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glossary of frequently used abbreviations or acronyms that are found throughout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ACE</w:t>
            </w:r>
          </w:p>
        </w:tc>
        <w:tc>
          <w:tcPr>
            <w:tcW w:w="1080" w:type="dxa"/>
            <w:vAlign w:val="bottom"/>
          </w:tcPr>
          <w:p>
            <w:pPr>
              <w:spacing w:after="0"/>
              <w:rPr>
                <w:sz w:val="24"/>
                <w:szCs w:val="24"/>
                <w:color w:val="auto"/>
              </w:rPr>
            </w:pPr>
          </w:p>
        </w:tc>
        <w:tc>
          <w:tcPr>
            <w:tcW w:w="3620" w:type="dxa"/>
            <w:vAlign w:val="bottom"/>
          </w:tcPr>
          <w:p>
            <w:pPr>
              <w:ind w:left="200"/>
              <w:spacing w:after="0"/>
              <w:rPr>
                <w:sz w:val="20"/>
                <w:szCs w:val="20"/>
                <w:color w:val="auto"/>
              </w:rPr>
            </w:pPr>
            <w:r>
              <w:rPr>
                <w:rFonts w:ascii="Arial" w:cs="Arial" w:eastAsia="Arial" w:hAnsi="Arial"/>
                <w:sz w:val="20"/>
                <w:szCs w:val="20"/>
                <w:color w:val="auto"/>
              </w:rPr>
              <w:t>Affordable Clean Energy</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AEP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American Electric Power Company, Inc.</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AFUDC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Allowance for funds used during construction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AOCI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Accumulated other comprehensive income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AROs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Asset retirement obligations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BSER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Best system of emission reduction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CAA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Air Act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CCN</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Certificate of Convenience and Necessity</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CCRs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Coal combustion residuals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line="257" w:lineRule="exact"/>
              <w:rPr>
                <w:sz w:val="20"/>
                <w:szCs w:val="20"/>
                <w:color w:val="auto"/>
              </w:rPr>
            </w:pPr>
            <w:r>
              <w:rPr>
                <w:rFonts w:ascii="Arial" w:cs="Arial" w:eastAsia="Arial" w:hAnsi="Arial"/>
                <w:sz w:val="20"/>
                <w:szCs w:val="20"/>
                <w:b w:val="1"/>
                <w:bCs w:val="1"/>
                <w:color w:val="auto"/>
              </w:rPr>
              <w:t>CO</w:t>
            </w:r>
            <w:r>
              <w:rPr>
                <w:rFonts w:ascii="Arial" w:cs="Arial" w:eastAsia="Arial" w:hAnsi="Arial"/>
                <w:sz w:val="25"/>
                <w:szCs w:val="25"/>
                <w:b w:val="1"/>
                <w:bCs w:val="1"/>
                <w:color w:val="auto"/>
                <w:vertAlign w:val="subscript"/>
              </w:rPr>
              <w:t>2</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Carbon dioxide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COLI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Corporate-owned life insurance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CPP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Power Plan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CSAPR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Cross-State Air Pollution</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ELG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Effluent limitations guidelines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Environmental Protection Agency</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per common share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ERISA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Employee Retirement Income Security Act of 1974, as amended</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ERSP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Review and Sharing Plan</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Inc. and its consolidated subsidiaries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Board</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Board of Directors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2"/>
          </w:tcPr>
          <w:p>
            <w:pPr>
              <w:spacing w:after="0" w:line="208" w:lineRule="exact"/>
              <w:rPr>
                <w:sz w:val="20"/>
                <w:szCs w:val="20"/>
                <w:color w:val="auto"/>
              </w:rPr>
            </w:pPr>
            <w:r>
              <w:rPr>
                <w:rFonts w:ascii="Arial" w:cs="Arial" w:eastAsia="Arial" w:hAnsi="Arial"/>
                <w:sz w:val="20"/>
                <w:szCs w:val="20"/>
                <w:b w:val="1"/>
                <w:bCs w:val="1"/>
                <w:color w:val="auto"/>
              </w:rPr>
              <w:t>Evergy Companies</w:t>
            </w:r>
          </w:p>
        </w:tc>
        <w:tc>
          <w:tcPr>
            <w:tcW w:w="7940" w:type="dxa"/>
            <w:vAlign w:val="bottom"/>
            <w:gridSpan w:val="3"/>
          </w:tcPr>
          <w:p>
            <w:pPr>
              <w:ind w:left="200"/>
              <w:spacing w:after="0" w:line="208" w:lineRule="exact"/>
              <w:rPr>
                <w:sz w:val="20"/>
                <w:szCs w:val="20"/>
                <w:color w:val="auto"/>
              </w:rPr>
            </w:pPr>
            <w:r>
              <w:rPr>
                <w:rFonts w:ascii="Arial" w:cs="Arial" w:eastAsia="Arial" w:hAnsi="Arial"/>
                <w:sz w:val="20"/>
                <w:szCs w:val="20"/>
                <w:color w:val="auto"/>
                <w:w w:val="91"/>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Central</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within the Evergy consolidated group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7940" w:type="dxa"/>
            <w:vAlign w:val="bottom"/>
            <w:gridSpan w:val="3"/>
          </w:tcPr>
          <w:p>
            <w:pPr>
              <w:ind w:left="200"/>
              <w:spacing w:after="0" w:line="203" w:lineRule="exact"/>
              <w:rPr>
                <w:sz w:val="20"/>
                <w:szCs w:val="20"/>
                <w:color w:val="auto"/>
              </w:rPr>
            </w:pPr>
            <w:r>
              <w:rPr>
                <w:rFonts w:ascii="Arial" w:cs="Arial" w:eastAsia="Arial" w:hAnsi="Arial"/>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South</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subsidiaries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80" w:type="dxa"/>
            <w:vAlign w:val="bottom"/>
            <w:gridSpan w:val="2"/>
            <w:vMerge w:val="continue"/>
          </w:tcPr>
          <w:p>
            <w:pPr>
              <w:spacing w:after="0"/>
              <w:rPr>
                <w:sz w:val="21"/>
                <w:szCs w:val="21"/>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Metro</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w w:val="96"/>
              </w:rPr>
              <w:t>Evergy Metro, Inc., a wholly-owned subsidiary of Evergy, and its consolidated subsidiaries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Missouri West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Transmission Company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Transmission Company, LLC</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Exchange Act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The Securities Exchange Act of 1934, as amended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2"/>
          </w:tcPr>
          <w:p>
            <w:pPr>
              <w:spacing w:after="0" w:line="208" w:lineRule="exact"/>
              <w:rPr>
                <w:sz w:val="20"/>
                <w:szCs w:val="20"/>
                <w:color w:val="auto"/>
              </w:rPr>
            </w:pPr>
            <w:r>
              <w:rPr>
                <w:rFonts w:ascii="Arial" w:cs="Arial" w:eastAsia="Arial" w:hAnsi="Arial"/>
                <w:sz w:val="20"/>
                <w:szCs w:val="20"/>
                <w:b w:val="1"/>
                <w:bCs w:val="1"/>
                <w:color w:val="auto"/>
                <w:w w:val="96"/>
              </w:rPr>
              <w:t>February 2021 winter weather event</w:t>
            </w:r>
          </w:p>
        </w:tc>
        <w:tc>
          <w:tcPr>
            <w:tcW w:w="7940" w:type="dxa"/>
            <w:vAlign w:val="bottom"/>
            <w:gridSpan w:val="3"/>
          </w:tcPr>
          <w:p>
            <w:pPr>
              <w:ind w:left="200"/>
              <w:spacing w:after="0" w:line="208" w:lineRule="exact"/>
              <w:rPr>
                <w:sz w:val="20"/>
                <w:szCs w:val="20"/>
                <w:color w:val="auto"/>
              </w:rPr>
            </w:pPr>
            <w:r>
              <w:rPr>
                <w:rFonts w:ascii="Arial" w:cs="Arial" w:eastAsia="Arial" w:hAnsi="Arial"/>
                <w:sz w:val="20"/>
                <w:szCs w:val="20"/>
                <w:color w:val="auto"/>
                <w:w w:val="92"/>
              </w:rPr>
              <w:t>Significant winter weather event in February 2021 that resulted in extremely cold temperatures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FERC</w:t>
            </w:r>
          </w:p>
        </w:tc>
        <w:tc>
          <w:tcPr>
            <w:tcW w:w="7940" w:type="dxa"/>
            <w:vAlign w:val="bottom"/>
            <w:gridSpan w:val="3"/>
          </w:tcPr>
          <w:p>
            <w:pPr>
              <w:ind w:left="280"/>
              <w:spacing w:after="0"/>
              <w:rPr>
                <w:sz w:val="20"/>
                <w:szCs w:val="20"/>
                <w:color w:val="auto"/>
              </w:rPr>
            </w:pPr>
            <w:r>
              <w:rPr>
                <w:rFonts w:ascii="Arial" w:cs="Arial" w:eastAsia="Arial" w:hAnsi="Arial"/>
                <w:sz w:val="20"/>
                <w:szCs w:val="20"/>
                <w:color w:val="auto"/>
              </w:rPr>
              <w:t>over a multi-day period across much of the central and southern United States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80" w:type="dxa"/>
            <w:vAlign w:val="bottom"/>
            <w:gridSpan w:val="2"/>
            <w:vMerge w:val="continue"/>
          </w:tcPr>
          <w:p>
            <w:pPr>
              <w:spacing w:after="0"/>
              <w:rPr>
                <w:sz w:val="21"/>
                <w:szCs w:val="21"/>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Federal Energy Regulatory Commission</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FMBs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First Mortgage Bonds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GAAP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Generally Accepted Accounting Principles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GHG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Greenhouse gas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Great Plains Energy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Great Plains Energy Incorporated</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JEC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Jeffrey Energy Center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KCC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State Corporation Commission of the State of Kansas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KDHE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Kansas Department of Health &amp; Environment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kV</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Kilovolt</w:t>
            </w:r>
          </w:p>
        </w:tc>
        <w:tc>
          <w:tcPr>
            <w:tcW w:w="0" w:type="dxa"/>
            <w:vAlign w:val="bottom"/>
          </w:tcPr>
          <w:p>
            <w:pPr>
              <w:spacing w:after="0"/>
              <w:rPr>
                <w:sz w:val="1"/>
                <w:szCs w:val="1"/>
                <w:color w:val="auto"/>
              </w:rPr>
            </w:pPr>
          </w:p>
        </w:tc>
      </w:tr>
      <w:tr>
        <w:trPr>
          <w:trHeight w:val="874"/>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20" w:type="dxa"/>
            <w:vAlign w:val="bottom"/>
          </w:tcPr>
          <w:p>
            <w:pPr>
              <w:ind w:left="2280"/>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8"/>
              </w:rPr>
              <w:t>Table of Contents</w:t>
            </w:r>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r>
      <w:tr>
        <w:trPr>
          <w:trHeight w:val="281"/>
        </w:trPr>
        <w:tc>
          <w:tcPr>
            <w:tcW w:w="20" w:type="dxa"/>
            <w:vAlign w:val="bottom"/>
          </w:tcPr>
          <w:p>
            <w:pPr>
              <w:spacing w:after="0"/>
              <w:rPr>
                <w:sz w:val="24"/>
                <w:szCs w:val="24"/>
                <w:color w:val="auto"/>
              </w:rPr>
            </w:pPr>
          </w:p>
        </w:tc>
        <w:tc>
          <w:tcPr>
            <w:tcW w:w="220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MDNR</w:t>
            </w:r>
          </w:p>
        </w:tc>
        <w:tc>
          <w:tcPr>
            <w:tcW w:w="64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Arial" w:cs="Arial" w:eastAsia="Arial" w:hAnsi="Arial"/>
                <w:sz w:val="20"/>
                <w:szCs w:val="20"/>
                <w:color w:val="auto"/>
                <w:w w:val="89"/>
              </w:rPr>
              <w:t>Missouri Department of Natural Resources</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MPSC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Public Service Commission of the State of Missouri</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MWh</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 hour</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NAAQS</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National Ambient Air Quality Standards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NAV</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Net asset value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OCI</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Other comprehensive income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OPC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Office of the Public Counsel</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Prairie Wind Transmission, LLC, 50% owned by Evergy Kansas Central</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RSU</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Restricted share unit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RTO</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Regional transmission organization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SEC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Securities and Exchange Commission</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SIP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State implementation plan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SPP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Southwest Power Pool, Inc.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TCR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congestion right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TDC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delivery charge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Term Loan Facility</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Term Loan Credit Agreement</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TFR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formula rate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Transource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w w:val="92"/>
              </w:rPr>
              <w:t>Transource Energy, LLC and its subsidiaries, 13.5% owned by Evergy Transmission Company</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VIE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Variable interest entity</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Wolf Creek</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Wolf Creek Generating Station</w:t>
            </w:r>
          </w:p>
        </w:tc>
      </w:tr>
      <w:tr>
        <w:trPr>
          <w:trHeight w:val="860"/>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142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9"/>
        </w:trPr>
        <w:tc>
          <w:tcPr>
            <w:tcW w:w="8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2520" w:type="dxa"/>
            <w:vAlign w:val="bottom"/>
            <w:gridSpan w:val="3"/>
          </w:tcPr>
          <w:p>
            <w:pPr>
              <w:jc w:val="right"/>
              <w:ind w:right="399"/>
              <w:spacing w:after="0"/>
              <w:rPr>
                <w:sz w:val="20"/>
                <w:szCs w:val="20"/>
                <w:color w:val="auto"/>
              </w:rPr>
            </w:pPr>
            <w:r>
              <w:rPr>
                <w:rFonts w:ascii="Arial" w:cs="Arial" w:eastAsia="Arial" w:hAnsi="Arial"/>
                <w:sz w:val="14"/>
                <w:szCs w:val="14"/>
                <w:color w:val="auto"/>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28.4</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$22.9 and $31.4, respectively</w:t>
            </w:r>
          </w:p>
        </w:tc>
        <w:tc>
          <w:tcPr>
            <w:tcW w:w="32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207.3</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315.3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365.0</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359.0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Fuel inventory and supplies</w:t>
            </w:r>
          </w:p>
        </w:tc>
        <w:tc>
          <w:tcPr>
            <w:tcW w:w="32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724.1</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672.9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9.3</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2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385.5</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368.0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41.0</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47.8</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47.0</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44.5</w:t>
            </w: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1,798.3</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1,842.0</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22,329.0</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22,136.5</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138.9</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140.7</w:t>
            </w:r>
          </w:p>
        </w:tc>
      </w:tr>
      <w:tr>
        <w:trPr>
          <w:trHeight w:val="206"/>
        </w:trPr>
        <w:tc>
          <w:tcPr>
            <w:tcW w:w="84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1,840.0</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1,846.3</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Nuclear decommissioning trust fund</w:t>
            </w:r>
          </w:p>
        </w:tc>
        <w:tc>
          <w:tcPr>
            <w:tcW w:w="32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689.5</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653.3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2,336.6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2,336.6</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553.6</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534.5</w:t>
            </w: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5,419.7</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5,370.7</w:t>
            </w:r>
          </w:p>
        </w:tc>
      </w:tr>
      <w:tr>
        <w:trPr>
          <w:trHeight w:val="217"/>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29,685.9</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29,489.9</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w w:val="97"/>
              </w:rPr>
              <w:t>March 31</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0"/>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jc w:val="right"/>
              <w:ind w:right="379"/>
              <w:spacing w:after="0"/>
              <w:rPr>
                <w:sz w:val="20"/>
                <w:szCs w:val="20"/>
                <w:color w:val="auto"/>
              </w:rPr>
            </w:pPr>
            <w:r>
              <w:rPr>
                <w:rFonts w:ascii="Arial" w:cs="Arial" w:eastAsia="Arial" w:hAnsi="Arial"/>
                <w:sz w:val="14"/>
                <w:szCs w:val="14"/>
                <w:color w:val="auto"/>
                <w:w w:val="99"/>
              </w:rPr>
              <w:t>(millions, except share amounts)</w:t>
            </w:r>
          </w:p>
        </w:tc>
        <w:tc>
          <w:tcPr>
            <w:tcW w:w="0" w:type="dxa"/>
            <w:vAlign w:val="bottom"/>
          </w:tcPr>
          <w:p>
            <w:pPr>
              <w:spacing w:after="0"/>
              <w:rPr>
                <w:sz w:val="1"/>
                <w:szCs w:val="1"/>
                <w:color w:val="auto"/>
              </w:rPr>
            </w:pPr>
          </w:p>
        </w:tc>
      </w:tr>
      <w:tr>
        <w:trPr>
          <w:trHeight w:val="219"/>
        </w:trPr>
        <w:tc>
          <w:tcPr>
            <w:tcW w:w="84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139.4</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439.1</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1,748.8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1,332.3</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365.0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359.0</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366.4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600.8</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taxes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261.5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122.1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193.9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39.7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52.7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176.9</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3,466.4</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3,493.8</w:t>
            </w:r>
          </w:p>
        </w:tc>
        <w:tc>
          <w:tcPr>
            <w:tcW w:w="0" w:type="dxa"/>
            <w:vAlign w:val="bottom"/>
          </w:tcPr>
          <w:p>
            <w:pPr>
              <w:spacing w:after="0"/>
              <w:rPr>
                <w:sz w:val="1"/>
                <w:szCs w:val="1"/>
                <w:color w:val="auto"/>
              </w:rPr>
            </w:pPr>
          </w:p>
        </w:tc>
      </w:tr>
      <w:tr>
        <w:trPr>
          <w:trHeight w:val="207"/>
        </w:trPr>
        <w:tc>
          <w:tcPr>
            <w:tcW w:w="84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10,097.2</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9,905.7</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2,027.6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1,996.6</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Unamortized investment tax credits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172.8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174.6</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2,523.7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2,566.8</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liability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481.1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458.4</w:t>
            </w:r>
          </w:p>
        </w:tc>
        <w:tc>
          <w:tcPr>
            <w:tcW w:w="0" w:type="dxa"/>
            <w:vAlign w:val="bottom"/>
          </w:tcPr>
          <w:p>
            <w:pPr>
              <w:spacing w:after="0"/>
              <w:rPr>
                <w:sz w:val="1"/>
                <w:szCs w:val="1"/>
                <w:color w:val="auto"/>
              </w:rPr>
            </w:pP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1,124.1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1,112.8</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291.3</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287.9</w:t>
            </w:r>
          </w:p>
        </w:tc>
        <w:tc>
          <w:tcPr>
            <w:tcW w:w="0" w:type="dxa"/>
            <w:vAlign w:val="bottom"/>
          </w:tcPr>
          <w:p>
            <w:pPr>
              <w:spacing w:after="0"/>
              <w:rPr>
                <w:sz w:val="1"/>
                <w:szCs w:val="1"/>
                <w:color w:val="auto"/>
              </w:rPr>
            </w:pPr>
          </w:p>
        </w:tc>
      </w:tr>
      <w:tr>
        <w:trPr>
          <w:trHeight w:val="207"/>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16,717.8</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16,502.8</w:t>
            </w:r>
          </w:p>
        </w:tc>
        <w:tc>
          <w:tcPr>
            <w:tcW w:w="0" w:type="dxa"/>
            <w:vAlign w:val="bottom"/>
          </w:tcPr>
          <w:p>
            <w:pPr>
              <w:spacing w:after="0"/>
              <w:rPr>
                <w:sz w:val="1"/>
                <w:szCs w:val="1"/>
                <w:color w:val="auto"/>
              </w:rPr>
            </w:pPr>
          </w:p>
        </w:tc>
      </w:tr>
      <w:tr>
        <w:trPr>
          <w:trHeight w:val="19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Evergy, Inc. Shareholders' Equity: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460" w:type="dxa"/>
            <w:vAlign w:val="bottom"/>
          </w:tcPr>
          <w:p>
            <w:pPr>
              <w:ind w:left="360"/>
              <w:spacing w:after="0" w:line="166" w:lineRule="exact"/>
              <w:rPr>
                <w:sz w:val="20"/>
                <w:szCs w:val="20"/>
                <w:color w:val="auto"/>
              </w:rPr>
            </w:pPr>
            <w:r>
              <w:rPr>
                <w:rFonts w:ascii="Arial" w:cs="Arial" w:eastAsia="Arial" w:hAnsi="Arial"/>
                <w:sz w:val="16"/>
                <w:szCs w:val="16"/>
                <w:color w:val="auto"/>
              </w:rPr>
              <w:t>Common stock - 600,000,000 shares authorized, without par value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7,222.2</w:t>
            </w:r>
          </w:p>
        </w:tc>
        <w:tc>
          <w:tcPr>
            <w:tcW w:w="460" w:type="dxa"/>
            <w:vAlign w:val="bottom"/>
          </w:tcPr>
          <w:p>
            <w:pPr>
              <w:spacing w:after="0"/>
              <w:rPr>
                <w:sz w:val="14"/>
                <w:szCs w:val="14"/>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6"/>
                <w:szCs w:val="16"/>
                <w:color w:val="auto"/>
              </w:rPr>
              <w:t>7,219.7</w:t>
            </w:r>
          </w:p>
        </w:tc>
        <w:tc>
          <w:tcPr>
            <w:tcW w:w="0" w:type="dxa"/>
            <w:vAlign w:val="bottom"/>
          </w:tcPr>
          <w:p>
            <w:pPr>
              <w:spacing w:after="0"/>
              <w:rPr>
                <w:sz w:val="1"/>
                <w:szCs w:val="1"/>
                <w:color w:val="auto"/>
              </w:rPr>
            </w:pPr>
          </w:p>
        </w:tc>
      </w:tr>
      <w:tr>
        <w:trPr>
          <w:trHeight w:val="209"/>
        </w:trPr>
        <w:tc>
          <w:tcPr>
            <w:tcW w:w="8460" w:type="dxa"/>
            <w:vAlign w:val="bottom"/>
          </w:tcPr>
          <w:p>
            <w:pPr>
              <w:ind w:left="360"/>
              <w:spacing w:after="0"/>
              <w:rPr>
                <w:sz w:val="20"/>
                <w:szCs w:val="20"/>
                <w:color w:val="auto"/>
              </w:rPr>
            </w:pPr>
            <w:r>
              <w:rPr>
                <w:rFonts w:ascii="Arial" w:cs="Arial" w:eastAsia="Arial" w:hAnsi="Arial"/>
                <w:sz w:val="16"/>
                <w:szCs w:val="16"/>
                <w:color w:val="auto"/>
              </w:rPr>
              <w:t>229,676,699 and 229,546,105 shares issued, stated 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2,300.0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2,298.5</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(33.2)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Evergy, Inc. Shareholders'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9,489.0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9,483.7</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12.7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9,501.7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9,493.3</w:t>
            </w:r>
          </w:p>
        </w:tc>
        <w:tc>
          <w:tcPr>
            <w:tcW w:w="0" w:type="dxa"/>
            <w:vAlign w:val="bottom"/>
          </w:tcPr>
          <w:p>
            <w:pPr>
              <w:spacing w:after="0"/>
              <w:rPr>
                <w:sz w:val="1"/>
                <w:szCs w:val="1"/>
                <w:color w:val="auto"/>
              </w:rPr>
            </w:pPr>
          </w:p>
        </w:tc>
      </w:tr>
      <w:tr>
        <w:trPr>
          <w:trHeight w:val="217"/>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29,685.9</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29,489.9</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r>
      <w:tr>
        <w:trPr>
          <w:trHeight w:val="182"/>
        </w:trPr>
        <w:tc>
          <w:tcPr>
            <w:tcW w:w="8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20" w:type="dxa"/>
            <w:vAlign w:val="bottom"/>
            <w:gridSpan w:val="4"/>
          </w:tcPr>
          <w:p>
            <w:pPr>
              <w:jc w:val="right"/>
              <w:ind w:right="219"/>
              <w:spacing w:after="0"/>
              <w:rPr>
                <w:sz w:val="20"/>
                <w:szCs w:val="20"/>
                <w:color w:val="auto"/>
              </w:rPr>
            </w:pPr>
            <w:r>
              <w:rPr>
                <w:rFonts w:ascii="Arial" w:cs="Arial" w:eastAsia="Arial" w:hAnsi="Arial"/>
                <w:sz w:val="14"/>
                <w:szCs w:val="14"/>
                <w:color w:val="auto"/>
                <w:w w:val="97"/>
              </w:rPr>
              <w:t>(millions, except per share amounts)</w:t>
            </w:r>
          </w:p>
        </w:tc>
      </w:tr>
      <w:tr>
        <w:trPr>
          <w:trHeight w:val="20"/>
        </w:trPr>
        <w:tc>
          <w:tcPr>
            <w:tcW w:w="8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1,296.8</w:t>
            </w:r>
          </w:p>
        </w:tc>
        <w:tc>
          <w:tcPr>
            <w:tcW w:w="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1,223.9</w:t>
            </w:r>
          </w:p>
        </w:tc>
      </w:tr>
      <w:tr>
        <w:trPr>
          <w:trHeight w:val="193"/>
        </w:trPr>
        <w:tc>
          <w:tcPr>
            <w:tcW w:w="82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354.2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81.2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78.7</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263.4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229.0</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102.4</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r>
      <w:tr>
        <w:trPr>
          <w:trHeight w:val="207"/>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1,017.5</w:t>
            </w: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970.8</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 (loss)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w:t>
            </w: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07"/>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Expense, Net</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123.1</w:t>
            </w:r>
          </w:p>
        </w:tc>
        <w:tc>
          <w:tcPr>
            <w:tcW w:w="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156.2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135.0</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INC.</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142.6</w:t>
            </w: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r>
      <w:tr>
        <w:trPr>
          <w:trHeight w:val="166"/>
        </w:trPr>
        <w:tc>
          <w:tcPr>
            <w:tcW w:w="8260" w:type="dxa"/>
            <w:vAlign w:val="bottom"/>
          </w:tcPr>
          <w:p>
            <w:pPr>
              <w:ind w:left="20"/>
              <w:spacing w:after="0" w:line="166" w:lineRule="exact"/>
              <w:rPr>
                <w:sz w:val="20"/>
                <w:szCs w:val="20"/>
                <w:color w:val="auto"/>
              </w:rPr>
            </w:pPr>
            <w:r>
              <w:rPr>
                <w:rFonts w:ascii="Arial" w:cs="Arial" w:eastAsia="Arial" w:hAnsi="Arial"/>
                <w:sz w:val="16"/>
                <w:szCs w:val="16"/>
                <w:color w:val="auto"/>
              </w:rPr>
              <w:t>BASIC AND DILUTED EARNINGS PER AVERAGE COMMON SHARE OUTSTANDING ATTRIBUTABLE TO</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9"/>
        </w:trPr>
        <w:tc>
          <w:tcPr>
            <w:tcW w:w="8260" w:type="dxa"/>
            <w:vAlign w:val="bottom"/>
          </w:tcPr>
          <w:p>
            <w:pPr>
              <w:ind w:left="180"/>
              <w:spacing w:after="0"/>
              <w:rPr>
                <w:sz w:val="20"/>
                <w:szCs w:val="20"/>
                <w:color w:val="auto"/>
              </w:rPr>
            </w:pPr>
            <w:r>
              <w:rPr>
                <w:rFonts w:ascii="Arial" w:cs="Arial" w:eastAsia="Arial" w:hAnsi="Arial"/>
                <w:sz w:val="16"/>
                <w:szCs w:val="16"/>
                <w:color w:val="auto"/>
              </w:rPr>
              <w:t>EVERGY, INC. (see Note 1)</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earnings per common share</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4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0.62</w:t>
            </w:r>
          </w:p>
        </w:tc>
        <w:tc>
          <w:tcPr>
            <w:tcW w:w="2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0.53</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COMMON SHARES OUTSTANDING</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Basic</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229.8</w:t>
            </w:r>
          </w:p>
        </w:tc>
      </w:tr>
      <w:tr>
        <w:trPr>
          <w:trHeight w:val="226"/>
        </w:trPr>
        <w:tc>
          <w:tcPr>
            <w:tcW w:w="8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230.3</w:t>
            </w: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Derivative hedging activity</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7"/>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Derivative hedging activity, net of tax</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147.0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127.0</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7"/>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 ATTRIBUTABLE TO EVERGY, INC.</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143.9</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145.7</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263.4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15.1</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7.0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4.8</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2.7</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(8.6)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93.5</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(6.0)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0.3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(48.0)</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(197.8)</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107.8</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108.7</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0.4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362.9</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265.1</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(527.7)</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(524.7)</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7.6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42.1</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(496.9)</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(531.3)</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Short-term debt, net</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214.2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(267.1)</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Term Loan Facility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Collateralized short-term borrowings, net</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6.0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long-term debt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393.7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Retirements of long-term debt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(300.0)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(32.5)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(140.7)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(4.1)</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10"/>
        </w:trPr>
        <w:tc>
          <w:tcPr>
            <w:tcW w:w="8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137.2</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262.2</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3.2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25.2</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r>
      <w:tr>
        <w:trPr>
          <w:trHeight w:val="219"/>
        </w:trPr>
        <w:tc>
          <w:tcPr>
            <w:tcW w:w="8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28.4</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12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Common stock</w:t>
            </w:r>
          </w:p>
        </w:tc>
        <w:tc>
          <w:tcPr>
            <w:tcW w:w="180" w:type="dxa"/>
            <w:vAlign w:val="bottom"/>
          </w:tcPr>
          <w:p>
            <w:pPr>
              <w:spacing w:after="0"/>
              <w:rPr>
                <w:sz w:val="12"/>
                <w:szCs w:val="12"/>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Common</w:t>
            </w:r>
          </w:p>
        </w:tc>
        <w:tc>
          <w:tcPr>
            <w:tcW w:w="140" w:type="dxa"/>
            <w:vAlign w:val="bottom"/>
          </w:tcPr>
          <w:p>
            <w:pPr>
              <w:spacing w:after="0"/>
              <w:rPr>
                <w:sz w:val="12"/>
                <w:szCs w:val="12"/>
                <w:color w:val="auto"/>
              </w:rPr>
            </w:pPr>
          </w:p>
        </w:tc>
        <w:tc>
          <w:tcPr>
            <w:tcW w:w="8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AOCI</w:t>
            </w:r>
          </w:p>
        </w:tc>
        <w:tc>
          <w:tcPr>
            <w:tcW w:w="120" w:type="dxa"/>
            <w:vAlign w:val="bottom"/>
          </w:tcPr>
          <w:p>
            <w:pPr>
              <w:spacing w:after="0"/>
              <w:rPr>
                <w:sz w:val="14"/>
                <w:szCs w:val="14"/>
                <w:color w:val="auto"/>
              </w:rPr>
            </w:pPr>
          </w:p>
        </w:tc>
        <w:tc>
          <w:tcPr>
            <w:tcW w:w="9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1"/>
              </w:rPr>
              <w:t>controlling</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2"/>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229,299,900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9,241.7</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176,658</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Dividends declared on common stock ($0.5725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Unearned compensation</w:t>
            </w: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March 31, 2022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229,476,558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7,206.4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9,237.5</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229,546,105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9,493.3</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130,594</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Dividends declared on common stock ($0.6125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229,676,699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9,501.7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w w:val="97"/>
              </w:rPr>
              <w:t>March 31</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r>
      <w:tr>
        <w:trPr>
          <w:trHeight w:val="229"/>
        </w:trPr>
        <w:tc>
          <w:tcPr>
            <w:tcW w:w="8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2500" w:type="dxa"/>
            <w:vAlign w:val="bottom"/>
            <w:gridSpan w:val="3"/>
          </w:tcPr>
          <w:p>
            <w:pPr>
              <w:jc w:val="right"/>
              <w:ind w:right="399"/>
              <w:spacing w:after="0"/>
              <w:rPr>
                <w:sz w:val="20"/>
                <w:szCs w:val="20"/>
                <w:color w:val="auto"/>
              </w:rPr>
            </w:pPr>
            <w:r>
              <w:rPr>
                <w:rFonts w:ascii="Arial" w:cs="Arial" w:eastAsia="Arial" w:hAnsi="Arial"/>
                <w:sz w:val="14"/>
                <w:szCs w:val="14"/>
                <w:color w:val="auto"/>
                <w:w w:val="99"/>
              </w:rPr>
              <w:t>(millions, except share amounts)</w:t>
            </w:r>
          </w:p>
        </w:tc>
      </w:tr>
      <w:tr>
        <w:trPr>
          <w:trHeight w:val="219"/>
        </w:trPr>
        <w:tc>
          <w:tcPr>
            <w:tcW w:w="84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9.4</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$12.1 and $16.9, respectively</w:t>
            </w:r>
          </w:p>
        </w:tc>
        <w:tc>
          <w:tcPr>
            <w:tcW w:w="32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153.3</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249.4</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receivables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6.5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2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185.0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185.0</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inventory and supplies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369.8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349.5</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2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135.3</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121.9</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17.9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18.7</w:t>
            </w:r>
          </w:p>
        </w:tc>
      </w:tr>
      <w:tr>
        <w:trPr>
          <w:trHeight w:val="213"/>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31.5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28.8</w:t>
            </w:r>
          </w:p>
        </w:tc>
      </w:tr>
      <w:tr>
        <w:trPr>
          <w:trHeight w:val="212"/>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908.7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969.9</w:t>
            </w:r>
          </w:p>
        </w:tc>
      </w:tr>
      <w:tr>
        <w:trPr>
          <w:trHeight w:val="20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11,181.3</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11,080.8</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138.9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140.7</w:t>
            </w: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589.3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590.0</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Nuclear decommissioning trust fund</w:t>
            </w:r>
          </w:p>
        </w:tc>
        <w:tc>
          <w:tcPr>
            <w:tcW w:w="32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335.1</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318.8</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281.0</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268.1</w:t>
            </w:r>
          </w:p>
        </w:tc>
      </w:tr>
      <w:tr>
        <w:trPr>
          <w:trHeight w:val="20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1,205.4</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1,176.9</w:t>
            </w:r>
          </w:p>
        </w:tc>
      </w:tr>
      <w:tr>
        <w:trPr>
          <w:trHeight w:val="219"/>
        </w:trPr>
        <w:tc>
          <w:tcPr>
            <w:tcW w:w="8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13,434.3</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13,368.3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w w:val="95"/>
              </w:rPr>
              <w:t>March 31</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9"/>
        </w:trPr>
        <w:tc>
          <w:tcPr>
            <w:tcW w:w="8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50.0</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323.0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772.1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185.0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185.0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177.9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247.3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35.3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196.6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125.5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79.0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72.6</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99.7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72.1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21.3</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27.9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39.4</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102.6</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135.0</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1,297.7</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1,749.2</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4,281.4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3,886.9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841.6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844.5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56.3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57.3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1,376.0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1,368.9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246.5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244.7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550.0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543.8</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171.0</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165.6</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7,522.8</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7,111.7</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Evergy Kansas Central, Inc. Shareholder's Equity: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- 1,000 shares authorized, $0.01 par value, 1 share issued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2,737.6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2,737.6</w:t>
            </w:r>
          </w:p>
        </w:tc>
      </w:tr>
      <w:tr>
        <w:trPr>
          <w:trHeight w:val="213"/>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1,863.5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1,760.2</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Evergy Kansas Central, Inc. Shareholder's Equity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4,601.1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4,497.8</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12.7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9.6</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4,613.8</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4,507.4</w:t>
            </w:r>
          </w:p>
        </w:tc>
      </w:tr>
      <w:tr>
        <w:trPr>
          <w:trHeight w:val="217"/>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13,434.3</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13,368.3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Income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r>
      <w:tr>
        <w:trPr>
          <w:trHeight w:val="182"/>
        </w:trPr>
        <w:tc>
          <w:tcPr>
            <w:tcW w:w="8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gridSpan w:val="2"/>
          </w:tcPr>
          <w:p>
            <w:pPr>
              <w:jc w:val="right"/>
              <w:ind w:right="79"/>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5"/>
                <w:szCs w:val="15"/>
                <w:color w:val="auto"/>
              </w:rPr>
            </w:pPr>
          </w:p>
        </w:tc>
      </w:tr>
      <w:tr>
        <w:trPr>
          <w:trHeight w:val="20"/>
        </w:trPr>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678.6</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613.9</w:t>
            </w:r>
          </w:p>
        </w:tc>
      </w:tr>
      <w:tr>
        <w:trPr>
          <w:trHeight w:val="193"/>
        </w:trPr>
        <w:tc>
          <w:tcPr>
            <w:tcW w:w="82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144.4</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81.2</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78.7</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107.6</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124.1</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119.7</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55.7</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r>
      <w:tr>
        <w:trPr>
          <w:trHeight w:val="207"/>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513.0</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486.7</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165.6</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r>
      <w:tr>
        <w:trPr>
          <w:trHeight w:val="193"/>
        </w:trPr>
        <w:tc>
          <w:tcPr>
            <w:tcW w:w="82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 (loss)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1.3</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9.2</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(9.9)</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7"/>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Income (Expense), Net</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0.6</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52.4</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Pr>
          <w:p>
            <w:pPr>
              <w:spacing w:after="0"/>
              <w:rPr>
                <w:sz w:val="17"/>
                <w:szCs w:val="17"/>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113.8</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77.7</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8.4</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106.4</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KANSAS CENTRAL, INC.</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103.3</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60" w:type="dxa"/>
            <w:vAlign w:val="bottom"/>
            <w:gridSpan w:val="2"/>
          </w:tcPr>
          <w:p>
            <w:pPr>
              <w:jc w:val="right"/>
              <w:ind w:right="59"/>
              <w:spacing w:after="0"/>
              <w:rPr>
                <w:sz w:val="20"/>
                <w:szCs w:val="20"/>
                <w:color w:val="auto"/>
              </w:rPr>
            </w:pPr>
            <w:r>
              <w:rPr>
                <w:rFonts w:ascii="Arial" w:cs="Arial" w:eastAsia="Arial" w:hAnsi="Arial"/>
                <w:sz w:val="14"/>
                <w:szCs w:val="14"/>
                <w:color w:val="auto"/>
              </w:rPr>
              <w:t>(millions)</w:t>
            </w: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106.4</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124.1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7.5</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7.0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(0.5)</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83.0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(20.1)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(42.1)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71.1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0.2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0.3</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5.0</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8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317.5</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w:t>
            </w:r>
          </w:p>
        </w:tc>
      </w:tr>
      <w:tr>
        <w:trPr>
          <w:trHeight w:val="209"/>
        </w:trPr>
        <w:tc>
          <w:tcPr>
            <w:tcW w:w="8560" w:type="dxa"/>
            <w:vAlign w:val="bottom"/>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(267.2)</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(2.9)</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(3.8)</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42.1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09"/>
        </w:trPr>
        <w:tc>
          <w:tcPr>
            <w:tcW w:w="8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(228.9)</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w:t>
            </w:r>
          </w:p>
        </w:tc>
      </w:tr>
      <w:tr>
        <w:trPr>
          <w:trHeight w:val="209"/>
        </w:trPr>
        <w:tc>
          <w:tcPr>
            <w:tcW w:w="856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(449.1)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long-term debt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393.7</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0.6</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85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(87.9)</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r>
      <w:tr>
        <w:trPr>
          <w:trHeight w:val="212"/>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0.7</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8.7</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7"/>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9.4</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w w:val="99"/>
              </w:rPr>
              <w:t>Evergy Kansas Central, Inc. Shareholder</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5"/>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Retained</w:t>
            </w: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earnings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5"/>
          </w:tcPr>
          <w:p>
            <w:pPr>
              <w:jc w:val="right"/>
              <w:ind w:right="679"/>
              <w:spacing w:after="0"/>
              <w:rPr>
                <w:sz w:val="20"/>
                <w:szCs w:val="20"/>
                <w:color w:val="auto"/>
              </w:rPr>
            </w:pPr>
            <w:r>
              <w:rPr>
                <w:rFonts w:ascii="Arial" w:cs="Arial" w:eastAsia="Arial" w:hAnsi="Arial"/>
                <w:sz w:val="14"/>
                <w:szCs w:val="14"/>
                <w:color w:val="auto"/>
              </w:rPr>
              <w:t>(millions, except share amounts)</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4,541.5</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4,591.6</w:t>
            </w:r>
          </w:p>
        </w:tc>
        <w:tc>
          <w:tcPr>
            <w:tcW w:w="0" w:type="dxa"/>
            <w:vAlign w:val="bottom"/>
          </w:tcPr>
          <w:p>
            <w:pPr>
              <w:spacing w:after="0"/>
              <w:rPr>
                <w:sz w:val="1"/>
                <w:szCs w:val="1"/>
                <w:color w:val="auto"/>
              </w:rPr>
            </w:pPr>
          </w:p>
        </w:tc>
      </w:tr>
      <w:tr>
        <w:trPr>
          <w:trHeight w:val="257"/>
        </w:trPr>
        <w:tc>
          <w:tcPr>
            <w:tcW w:w="58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1,760.2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4,507.4</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4,613.8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7" w:name="page18"/>
    <w:bookmarkEnd w:id="1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March 31</w:t>
            </w:r>
          </w:p>
        </w:tc>
        <w:tc>
          <w:tcPr>
            <w:tcW w:w="144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9"/>
        </w:trPr>
        <w:tc>
          <w:tcPr>
            <w:tcW w:w="8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r>
      <w:tr>
        <w:trPr>
          <w:trHeight w:val="210"/>
        </w:trPr>
        <w:tc>
          <w:tcPr>
            <w:tcW w:w="8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8"/>
                <w:szCs w:val="18"/>
                <w:color w:val="auto"/>
              </w:rPr>
            </w:pPr>
          </w:p>
        </w:tc>
        <w:tc>
          <w:tcPr>
            <w:tcW w:w="2500" w:type="dxa"/>
            <w:vAlign w:val="bottom"/>
            <w:gridSpan w:val="3"/>
          </w:tcPr>
          <w:p>
            <w:pPr>
              <w:jc w:val="right"/>
              <w:ind w:right="379"/>
              <w:spacing w:after="0"/>
              <w:rPr>
                <w:sz w:val="20"/>
                <w:szCs w:val="20"/>
                <w:color w:val="auto"/>
              </w:rPr>
            </w:pPr>
            <w:r>
              <w:rPr>
                <w:rFonts w:ascii="Arial" w:cs="Arial" w:eastAsia="Arial" w:hAnsi="Arial"/>
                <w:sz w:val="14"/>
                <w:szCs w:val="14"/>
                <w:color w:val="auto"/>
              </w:rPr>
              <w:t>(millions, except share amounts)</w:t>
            </w:r>
          </w:p>
        </w:tc>
      </w:tr>
      <w:tr>
        <w:trPr>
          <w:trHeight w:val="219"/>
        </w:trPr>
        <w:tc>
          <w:tcPr>
            <w:tcW w:w="838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3.8</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Receivables, net of allowance for credit losses of $7.0 and $9.3, respectively</w:t>
            </w:r>
          </w:p>
        </w:tc>
        <w:tc>
          <w:tcPr>
            <w:tcW w:w="3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30.2</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37.8</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Related party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124.4</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170.4</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Accounts receivable pledged as collateral</w:t>
            </w:r>
          </w:p>
        </w:tc>
        <w:tc>
          <w:tcPr>
            <w:tcW w:w="3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130.0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124.0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Fuel inventory and supplies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258.1</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240.6</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Income taxes receivable</w:t>
            </w:r>
          </w:p>
        </w:tc>
        <w:tc>
          <w:tcPr>
            <w:tcW w:w="3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3.7</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0.2</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70.8</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42.3</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17.5</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22.4</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11.7</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11.0</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650.2</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651.8</w:t>
            </w:r>
          </w:p>
        </w:tc>
      </w:tr>
      <w:tr>
        <w:trPr>
          <w:trHeight w:val="212"/>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7,897.8</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7,844.2</w:t>
            </w:r>
          </w:p>
        </w:tc>
      </w:tr>
      <w:tr>
        <w:trPr>
          <w:trHeight w:val="206"/>
        </w:trPr>
        <w:tc>
          <w:tcPr>
            <w:tcW w:w="8380" w:type="dxa"/>
            <w:vAlign w:val="bottom"/>
          </w:tcPr>
          <w:p>
            <w:pPr>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337.6</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331.5</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Nuclear decommissioning trust fund</w:t>
            </w:r>
          </w:p>
        </w:tc>
        <w:tc>
          <w:tcPr>
            <w:tcW w:w="3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354.4</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334.5</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84.4</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87.2</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776.4</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753.2</w:t>
            </w:r>
          </w:p>
        </w:tc>
      </w:tr>
      <w:tr>
        <w:trPr>
          <w:trHeight w:val="219"/>
        </w:trPr>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9,324.4</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9,249.2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w w:val="95"/>
              </w:rPr>
              <w:t>March 31</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9"/>
        </w:trPr>
        <w:tc>
          <w:tcPr>
            <w:tcW w:w="8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79.5</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379.5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173.3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111.0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130.0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124.0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159.0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252.3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0.5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74.1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40.5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27.5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64.6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55.3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24.9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41.7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60.3</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49.2</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810.6</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1,099.4</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2,845.4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2,547.1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743.9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720.9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114.0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114.7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845.9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872.8</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217.2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196.6</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431.7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427.1</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82.7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84.3</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5,280.8</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4,963.5</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Common stock - 1,000 shares authorized, without par value, 1 share issued, stated value</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1,563.1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1,563.1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1,666.0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1,619.2</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3.9</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4.0</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3,233.0</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3,186.3</w:t>
            </w: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9,324.4</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9,249.2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r>
      <w:tr>
        <w:trPr>
          <w:trHeight w:val="182"/>
        </w:trPr>
        <w:tc>
          <w:tcPr>
            <w:tcW w:w="8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gridSpan w:val="2"/>
          </w:tcPr>
          <w:p>
            <w:pPr>
              <w:jc w:val="right"/>
              <w:ind w:right="79"/>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5"/>
                <w:szCs w:val="15"/>
                <w:color w:val="auto"/>
              </w:rPr>
            </w:pPr>
          </w:p>
        </w:tc>
      </w:tr>
      <w:tr>
        <w:trPr>
          <w:trHeight w:val="20"/>
        </w:trPr>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406.4</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422.5</w:t>
            </w:r>
          </w:p>
        </w:tc>
      </w:tr>
      <w:tr>
        <w:trPr>
          <w:trHeight w:val="206"/>
        </w:trPr>
        <w:tc>
          <w:tcPr>
            <w:tcW w:w="82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115.4</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Operating and maintenance</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65.3</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102.4</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Taxes other than income tax</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33.5</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r>
      <w:tr>
        <w:trPr>
          <w:trHeight w:val="212"/>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316.6</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326.9</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500" w:type="dxa"/>
            <w:vAlign w:val="bottom"/>
          </w:tcPr>
          <w:p>
            <w:pPr>
              <w:spacing w:after="0"/>
              <w:rPr>
                <w:sz w:val="17"/>
                <w:szCs w:val="17"/>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89.8</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Investment earnings</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0.7</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2.8</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(9.0)</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12"/>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Other Expense, Net</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(5.5)</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30.6</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53.7</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6.9</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46.8</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46.8</w:t>
            </w:r>
          </w:p>
        </w:tc>
        <w:tc>
          <w:tcPr>
            <w:tcW w:w="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hedging activity</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Derivative hedging activity, net of tax</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(0.1)</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comprehensive loss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(0.1)</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46.7</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60" w:type="dxa"/>
            <w:vAlign w:val="bottom"/>
            <w:gridSpan w:val="2"/>
          </w:tcPr>
          <w:p>
            <w:pPr>
              <w:jc w:val="right"/>
              <w:ind w:right="59"/>
              <w:spacing w:after="0"/>
              <w:rPr>
                <w:sz w:val="20"/>
                <w:szCs w:val="20"/>
                <w:color w:val="auto"/>
              </w:rPr>
            </w:pPr>
            <w:r>
              <w:rPr>
                <w:rFonts w:ascii="Arial" w:cs="Arial" w:eastAsia="Arial" w:hAnsi="Arial"/>
                <w:sz w:val="14"/>
                <w:szCs w:val="14"/>
                <w:color w:val="auto"/>
              </w:rPr>
              <w:t>(millions)</w:t>
            </w: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46.8</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102.4</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7.6</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10.4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(0.5)</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(6.0)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(25.4)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(78.3)</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r>
      <w:tr>
        <w:trPr>
          <w:trHeight w:val="213"/>
        </w:trPr>
        <w:tc>
          <w:tcPr>
            <w:tcW w:w="856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30.1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9"/>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0.7</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7.8</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7"/>
        </w:trPr>
        <w:tc>
          <w:tcPr>
            <w:tcW w:w="85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93.7</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r>
      <w:tr>
        <w:trPr>
          <w:trHeight w:val="212"/>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(189.0)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(172.4)</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(8.2)</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5.7</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money pool lending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1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1.6</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8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(158.9)</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r>
      <w:tr>
        <w:trPr>
          <w:trHeight w:val="209"/>
        </w:trPr>
        <w:tc>
          <w:tcPr>
            <w:tcW w:w="856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360.0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6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6.0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(300.0)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8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65.9</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0"/>
        </w:trPr>
        <w:tc>
          <w:tcPr>
            <w:tcW w:w="856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0.7</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3.8</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5"/>
              </w:rPr>
              <w:t>Common stock</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AOCI - Net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Common Stock</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88"/>
              </w:rPr>
              <w:t>gains (losses) on</w:t>
            </w:r>
          </w:p>
        </w:tc>
        <w:tc>
          <w:tcPr>
            <w:tcW w:w="16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18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earnings</w:t>
            </w: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6"/>
              </w:rPr>
              <w:t>cash flow hedges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20" w:type="dxa"/>
            <w:vAlign w:val="bottom"/>
            <w:gridSpan w:val="5"/>
          </w:tcPr>
          <w:p>
            <w:pPr>
              <w:jc w:val="right"/>
              <w:ind w:right="719"/>
              <w:spacing w:after="0"/>
              <w:rPr>
                <w:sz w:val="20"/>
                <w:szCs w:val="20"/>
                <w:color w:val="auto"/>
              </w:rPr>
            </w:pPr>
            <w:r>
              <w:rPr>
                <w:rFonts w:ascii="Arial" w:cs="Arial" w:eastAsia="Arial" w:hAnsi="Arial"/>
                <w:sz w:val="14"/>
                <w:szCs w:val="14"/>
                <w:color w:val="auto"/>
              </w:rPr>
              <w:t>(millions, except share amounts)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1,453.8</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3,021.2</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6"/>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1,508.4</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3,075.8</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1,619.2</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3,186.3</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46.8</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1,666.0</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3,233.0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INC.</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Combined Notes to Unaudited Consolidated Financial Statements</w:t>
      </w:r>
    </w:p>
    <w:p>
      <w:pPr>
        <w:spacing w:after="0" w:line="114"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Organization</w:t>
      </w:r>
    </w:p>
    <w:p>
      <w:pPr>
        <w:spacing w:after="0" w:line="22" w:lineRule="exact"/>
        <w:rPr>
          <w:sz w:val="20"/>
          <w:szCs w:val="20"/>
          <w:color w:val="auto"/>
        </w:rPr>
      </w:pPr>
    </w:p>
    <w:p>
      <w:pPr>
        <w:ind w:right="420"/>
        <w:spacing w:after="0" w:line="258"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78" w:lineRule="exact"/>
        <w:rPr>
          <w:sz w:val="20"/>
          <w:szCs w:val="20"/>
          <w:color w:val="auto"/>
        </w:rPr>
      </w:pPr>
    </w:p>
    <w:p>
      <w:pPr>
        <w:ind w:left="660" w:right="100" w:hanging="328"/>
        <w:spacing w:after="0" w:line="26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64" w:lineRule="exact"/>
        <w:rPr>
          <w:rFonts w:ascii="Arial" w:cs="Arial" w:eastAsia="Arial" w:hAnsi="Arial"/>
          <w:sz w:val="20"/>
          <w:szCs w:val="20"/>
          <w:color w:val="auto"/>
        </w:rPr>
      </w:pPr>
    </w:p>
    <w:p>
      <w:pPr>
        <w:ind w:left="660" w:right="340" w:hanging="328"/>
        <w:spacing w:after="0" w:line="27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Metro, Inc. (Evergy Metro) is an integrated, regulated electric utility that provides electricity to customers in the states of Missouri and Kansas.</w:t>
      </w:r>
    </w:p>
    <w:p>
      <w:pPr>
        <w:spacing w:after="0" w:line="55" w:lineRule="exact"/>
        <w:rPr>
          <w:rFonts w:ascii="Arial" w:cs="Arial" w:eastAsia="Arial" w:hAnsi="Arial"/>
          <w:sz w:val="20"/>
          <w:szCs w:val="20"/>
          <w:color w:val="auto"/>
        </w:rPr>
      </w:pPr>
    </w:p>
    <w:p>
      <w:pPr>
        <w:ind w:left="660" w:hanging="328"/>
        <w:spacing w:after="0" w:line="27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Missouri West, Inc. (Evergy Missouri West) is an integrated, regulated electric utility that provides electricity to customers in the state of Missouri.</w:t>
      </w:r>
    </w:p>
    <w:p>
      <w:pPr>
        <w:spacing w:after="0" w:line="55" w:lineRule="exact"/>
        <w:rPr>
          <w:rFonts w:ascii="Arial" w:cs="Arial" w:eastAsia="Arial" w:hAnsi="Arial"/>
          <w:sz w:val="20"/>
          <w:szCs w:val="20"/>
          <w:color w:val="auto"/>
        </w:rPr>
      </w:pPr>
    </w:p>
    <w:p>
      <w:pPr>
        <w:ind w:left="660" w:right="20" w:hanging="328"/>
        <w:spacing w:after="0" w:line="25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211"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1.7 million customers in the states of Kansas and Missouri.</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2022 Form 10-K.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6"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color w:val="auto"/>
        </w:rPr>
        <w:t>Each of Evergy's, Evergy Kansas Central's and Evergy Metro's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Inventory and Supplies</w:t>
      </w:r>
    </w:p>
    <w:p>
      <w:pPr>
        <w:spacing w:after="0" w:line="26" w:lineRule="exact"/>
        <w:rPr>
          <w:sz w:val="20"/>
          <w:szCs w:val="20"/>
          <w:color w:val="auto"/>
        </w:rPr>
      </w:pPr>
    </w:p>
    <w:p>
      <w:pPr>
        <w:ind w:right="740"/>
        <w:spacing w:after="0" w:line="253" w:lineRule="auto"/>
        <w:rPr>
          <w:sz w:val="20"/>
          <w:szCs w:val="20"/>
          <w:color w:val="auto"/>
        </w:rPr>
      </w:pPr>
      <w:r>
        <w:rPr>
          <w:rFonts w:ascii="Arial" w:cs="Arial" w:eastAsia="Arial" w:hAnsi="Arial"/>
          <w:sz w:val="20"/>
          <w:szCs w:val="20"/>
          <w:color w:val="auto"/>
        </w:rPr>
        <w:t>The Evergy Companies record fuel inventory and supplies at average cost. The following table separately states the balances for fuel inventory and supplies.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71"/>
              <w:spacing w:after="0" w:line="202" w:lineRule="exact"/>
              <w:rPr>
                <w:sz w:val="20"/>
                <w:szCs w:val="20"/>
                <w:color w:val="auto"/>
              </w:rPr>
            </w:pPr>
            <w:r>
              <w:rPr>
                <w:rFonts w:ascii="Arial" w:cs="Arial" w:eastAsia="Arial" w:hAnsi="Arial"/>
                <w:sz w:val="18"/>
                <w:szCs w:val="18"/>
                <w:b w:val="1"/>
                <w:bCs w:val="1"/>
                <w:color w:val="auto"/>
              </w:rPr>
              <w:t>March 31</w:t>
            </w: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w w:val="98"/>
              </w:rPr>
              <w:t>December 31</w:t>
            </w:r>
          </w:p>
        </w:tc>
      </w:tr>
      <w:tr>
        <w:trPr>
          <w:trHeight w:val="239"/>
        </w:trPr>
        <w:tc>
          <w:tcPr>
            <w:tcW w:w="7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9"/>
                <w:szCs w:val="19"/>
                <w:color w:val="auto"/>
              </w:rPr>
            </w:pPr>
          </w:p>
        </w:tc>
        <w:tc>
          <w:tcPr>
            <w:tcW w:w="202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224.3</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499.8</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724.1</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111.1</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258.7</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369.8</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78.9</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179.2</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r>
      <w:tr>
        <w:trPr>
          <w:trHeight w:val="230"/>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258.1</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property, plant and equipment of Evergy, Evergy Kansas Central and Evergy Metro.</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March 31, 2023</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6"/>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3"/>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32,372.1</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15,472.7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12,456.5</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(12,389.3)</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(5,901.6)</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(5,157.6)</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20,707.1</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10,295.4</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7,298.9</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1,458.3</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804.3</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516.9</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162.8</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80.8</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82.0</w:t>
            </w:r>
          </w:p>
        </w:tc>
      </w:tr>
      <w:tr>
        <w:trPr>
          <w:trHeight w:val="229"/>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22,329.0</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11,181.3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7,897.8</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2022</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32,129.3</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15,376.9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12,343.3</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(12,304.9)</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(5,922.9)</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(5,065.3)</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20,548.7</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10,178.3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7,278.0</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1,421.2</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819.5</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482.6</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165.8</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82.2</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83.6</w:t>
            </w:r>
          </w:p>
        </w:tc>
      </w:tr>
      <w:tr>
        <w:trPr>
          <w:trHeight w:val="230"/>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22,136.5</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11,080.8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7,844.2</w:t>
            </w:r>
          </w:p>
        </w:tc>
      </w:tr>
    </w:tbl>
    <w:p>
      <w:pPr>
        <w:spacing w:after="0" w:line="8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As of March 31, 2023 and December 31, 2022, represents the planned retirement of Evergy Kansas Central analog meters prior to the end of their remaining useful lives.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6"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For the three months ended March 31, 2022, Evergy's investment earnings (loss) included a pre-tax loss of $14.2 million related to Evergy's equity investment in an early-stage energy solutions company.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detail of other expense for each of the Evergy Companies.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4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460" w:type="dxa"/>
            <w:vAlign w:val="bottom"/>
          </w:tcPr>
          <w:p>
            <w:pPr>
              <w:spacing w:after="0"/>
              <w:rPr>
                <w:sz w:val="19"/>
                <w:szCs w:val="19"/>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6"/>
                <w:szCs w:val="16"/>
                <w:color w:val="auto"/>
              </w:rPr>
              <w:t>(millions)</w:t>
            </w:r>
          </w:p>
        </w:tc>
        <w:tc>
          <w:tcPr>
            <w:tcW w:w="940" w:type="dxa"/>
            <w:vAlign w:val="bottom"/>
          </w:tcPr>
          <w:p>
            <w:pPr>
              <w:spacing w:after="0"/>
              <w:rPr>
                <w:sz w:val="19"/>
                <w:szCs w:val="19"/>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(6.5)</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4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6"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To compute basic earnings per share (EPS), Evergy divides net income attributable to Evergy, Inc. by the weighted average number of common shares outstanding. Diluted EPS includes the effect of issuable common shares resulting from restricted share units (RSUs), restricted stock and a warrant. Evergy computes the dilutive effects of potential issuances of common shares using the treasury stock method or the contingently issuable share method, as applicable.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Evergy's basic and diluted EPS.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340" w:type="dxa"/>
            <w:vAlign w:val="bottom"/>
          </w:tcPr>
          <w:p>
            <w:pPr>
              <w:spacing w:after="0"/>
              <w:rPr>
                <w:sz w:val="19"/>
                <w:szCs w:val="19"/>
                <w:color w:val="auto"/>
              </w:rPr>
            </w:pPr>
          </w:p>
        </w:tc>
        <w:tc>
          <w:tcPr>
            <w:tcW w:w="2840" w:type="dxa"/>
            <w:vAlign w:val="bottom"/>
            <w:gridSpan w:val="3"/>
          </w:tcPr>
          <w:p>
            <w:pPr>
              <w:jc w:val="right"/>
              <w:ind w:right="330"/>
              <w:spacing w:after="0"/>
              <w:rPr>
                <w:sz w:val="20"/>
                <w:szCs w:val="20"/>
                <w:color w:val="auto"/>
              </w:rPr>
            </w:pPr>
            <w:r>
              <w:rPr>
                <w:rFonts w:ascii="Arial" w:cs="Arial" w:eastAsia="Arial" w:hAnsi="Arial"/>
                <w:sz w:val="16"/>
                <w:szCs w:val="16"/>
                <w:color w:val="auto"/>
                <w:w w:val="93"/>
              </w:rPr>
              <w:t>(millions, except per share amounts)</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142.6</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230.0</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effect of dilutive securities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average number of common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230.3</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r>
      <w:tr>
        <w:trPr>
          <w:trHeight w:val="230"/>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Basic and Diluted EPS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0.62</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r>
    </w:tbl>
    <w:p>
      <w:pPr>
        <w:spacing w:after="0" w:line="267" w:lineRule="exact"/>
        <w:rPr>
          <w:sz w:val="20"/>
          <w:szCs w:val="20"/>
          <w:color w:val="auto"/>
        </w:rPr>
      </w:pPr>
    </w:p>
    <w:p>
      <w:pPr>
        <w:ind w:right="140"/>
        <w:spacing w:after="0" w:line="274" w:lineRule="auto"/>
        <w:rPr>
          <w:sz w:val="20"/>
          <w:szCs w:val="20"/>
          <w:color w:val="auto"/>
        </w:rPr>
      </w:pPr>
      <w:r>
        <w:rPr>
          <w:rFonts w:ascii="Arial" w:cs="Arial" w:eastAsia="Arial" w:hAnsi="Arial"/>
          <w:sz w:val="20"/>
          <w:szCs w:val="20"/>
          <w:color w:val="auto"/>
        </w:rPr>
        <w:t>Anti-dilutive securities excluded from the computation of diluted EPS for the three months ended March 31, 2023 and 2022 were 3,950,000 common shares issuable pursuant to a warrant.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Declared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In May 2023, Evergy's Board of Directors (Evergy Board) declared a quarterly dividend of $0.6125 per share on Evergy's common stock.</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The common dividend is payable on June 20, 2023, to shareholders of record as of May 19, 2023.</w:t>
      </w:r>
    </w:p>
    <w:p>
      <w:pPr>
        <w:spacing w:after="0" w:line="208" w:lineRule="exact"/>
        <w:rPr>
          <w:sz w:val="20"/>
          <w:szCs w:val="20"/>
          <w:color w:val="auto"/>
        </w:rPr>
      </w:pPr>
    </w:p>
    <w:p>
      <w:pPr>
        <w:ind w:right="280"/>
        <w:spacing w:after="0" w:line="274" w:lineRule="auto"/>
        <w:rPr>
          <w:sz w:val="20"/>
          <w:szCs w:val="20"/>
          <w:color w:val="auto"/>
        </w:rPr>
      </w:pPr>
      <w:r>
        <w:rPr>
          <w:rFonts w:ascii="Arial" w:cs="Arial" w:eastAsia="Arial" w:hAnsi="Arial"/>
          <w:sz w:val="20"/>
          <w:szCs w:val="20"/>
          <w:color w:val="auto"/>
        </w:rPr>
        <w:t>In May 2023, Evergy Metro's Board of Directors declared a cash dividend to Evergy of up to $150.0 million, payable on June 16, 2023, or such other date as determined necessary, proper, or advisable.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8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2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1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133.0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18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2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transactions:</w:t>
            </w:r>
          </w:p>
        </w:tc>
        <w:tc>
          <w:tcPr>
            <w:tcW w:w="18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2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112.1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financing transactions:</w:t>
            </w:r>
          </w:p>
        </w:tc>
        <w:tc>
          <w:tcPr>
            <w:tcW w:w="18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6"/>
        </w:trPr>
        <w:tc>
          <w:tcPr>
            <w:tcW w:w="7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Issuance of stock for compensation and reinvested dividends</w:t>
            </w:r>
          </w:p>
        </w:tc>
        <w:tc>
          <w:tcPr>
            <w:tcW w:w="1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8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56.3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7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54.8</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20"/>
                <w:szCs w:val="20"/>
                <w:color w:val="auto"/>
              </w:rPr>
            </w:pPr>
          </w:p>
        </w:tc>
      </w:tr>
      <w:tr>
        <w:trPr>
          <w:trHeight w:val="453"/>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9"/>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r>
      <w:tr>
        <w:trPr>
          <w:trHeight w:val="22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31.1</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9"/>
                <w:szCs w:val="19"/>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41.0</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 w:type="dxa"/>
            <w:vAlign w:val="bottom"/>
            <w:tcBorders>
              <w:bottom w:val="single" w:sz="8" w:color="auto"/>
            </w:tcBorders>
          </w:tcPr>
          <w:p>
            <w:pPr>
              <w:spacing w:after="0"/>
              <w:rPr>
                <w:sz w:val="20"/>
                <w:szCs w:val="20"/>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Renewable Generation Investment</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In August 2022, Evergy Missouri West entered into an agreement with a renewable energy development company to purchase for</w:t>
      </w:r>
    </w:p>
    <w:p>
      <w:pPr>
        <w:ind w:right="40"/>
        <w:spacing w:after="0" w:line="242" w:lineRule="auto"/>
        <w:rPr>
          <w:sz w:val="20"/>
          <w:szCs w:val="20"/>
          <w:color w:val="auto"/>
        </w:rPr>
      </w:pPr>
      <w:r>
        <w:rPr>
          <w:rFonts w:ascii="Arial" w:cs="Arial" w:eastAsia="Arial" w:hAnsi="Arial"/>
          <w:sz w:val="18"/>
          <w:szCs w:val="18"/>
          <w:color w:val="auto"/>
        </w:rPr>
        <w:t>approximately $250 million an operational wind farm located in the state of Oklahoma with a generating capacity of approximately 199 MW. Pursuant to the agreement, Evergy Missouri West is permitted to assign its right to purchase the wind farm to another entity, including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other Evergy affiliated companies.</w:t>
      </w:r>
    </w:p>
    <w:p>
      <w:pPr>
        <w:spacing w:after="0" w:line="213"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Evergy Missouri West's purchase is subject to regulatory approvals and closing conditions, including the granting of a Certificate of Convenience and Necessity (CCN) by the Public Service Commission of the State of Missouri (MPSC). In April 2023, the MPSC issued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final order granting the CCN pursuant to certain conditions related to the sharing of operational costs between ratepayers and shareholders.</w:t>
      </w:r>
    </w:p>
    <w:p>
      <w:pPr>
        <w:spacing w:after="0" w:line="236"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Evergy Missouri West is currently evaluating the assignment of its right to purchase the wind farm to Evergy Kansas Central, which has included the purchase of the wind farm in its rate case application to the State Corporation Commission of the State of Kansas (KCC) which</w:t>
      </w:r>
    </w:p>
    <w:p>
      <w:pPr>
        <w:spacing w:after="0" w:line="2" w:lineRule="exact"/>
        <w:rPr>
          <w:sz w:val="20"/>
          <w:szCs w:val="20"/>
          <w:color w:val="auto"/>
        </w:rPr>
      </w:pPr>
    </w:p>
    <w:p>
      <w:pPr>
        <w:ind w:right="320"/>
        <w:spacing w:after="0" w:line="234" w:lineRule="auto"/>
        <w:rPr>
          <w:sz w:val="20"/>
          <w:szCs w:val="20"/>
          <w:color w:val="auto"/>
        </w:rPr>
      </w:pPr>
      <w:r>
        <w:rPr>
          <w:rFonts w:ascii="Arial" w:cs="Arial" w:eastAsia="Arial" w:hAnsi="Arial"/>
          <w:sz w:val="20"/>
          <w:szCs w:val="20"/>
          <w:color w:val="auto"/>
        </w:rPr>
        <w:t>was filed in April 2023. See Note 4 for additional information on Evergy Kansas Central's rate case proceeding. The purchase of the wind farm is expected to close in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REVENUE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Evergy's, Evergy Kansas Central's and Evergy Metro's revenues disaggregated by customer class are summarized in the following tables.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19"/>
                <w:szCs w:val="19"/>
                <w:color w:val="auto"/>
              </w:rPr>
            </w:pPr>
          </w:p>
        </w:tc>
        <w:tc>
          <w:tcPr>
            <w:tcW w:w="1580" w:type="dxa"/>
            <w:vAlign w:val="bottom"/>
            <w:gridSpan w:val="2"/>
          </w:tcPr>
          <w:p>
            <w:pPr>
              <w:jc w:val="right"/>
              <w:ind w:right="50"/>
              <w:spacing w:after="0"/>
              <w:rPr>
                <w:sz w:val="20"/>
                <w:szCs w:val="20"/>
                <w:color w:val="auto"/>
              </w:rPr>
            </w:pPr>
            <w:r>
              <w:rPr>
                <w:rFonts w:ascii="Arial" w:cs="Arial" w:eastAsia="Arial" w:hAnsi="Arial"/>
                <w:sz w:val="16"/>
                <w:szCs w:val="16"/>
                <w:color w:val="auto"/>
              </w:rPr>
              <w:t>(millions)</w:t>
            </w:r>
          </w:p>
        </w:tc>
        <w:tc>
          <w:tcPr>
            <w:tcW w:w="980" w:type="dxa"/>
            <w:vAlign w:val="bottom"/>
          </w:tcPr>
          <w:p>
            <w:pPr>
              <w:spacing w:after="0"/>
              <w:rPr>
                <w:sz w:val="19"/>
                <w:szCs w:val="19"/>
                <w:color w:val="auto"/>
              </w:rPr>
            </w:pPr>
          </w:p>
        </w:tc>
      </w:tr>
      <w:tr>
        <w:trPr>
          <w:trHeight w:val="23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458.6</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r>
      <w:tr>
        <w:trPr>
          <w:trHeight w:val="229"/>
        </w:trPr>
        <w:tc>
          <w:tcPr>
            <w:tcW w:w="83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0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430.0</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403.1</w:t>
            </w:r>
          </w:p>
        </w:tc>
      </w:tr>
      <w:tr>
        <w:trPr>
          <w:trHeight w:val="229"/>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159.1</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30"/>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11.3</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1,059.0</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r>
      <w:tr>
        <w:trPr>
          <w:trHeight w:val="230"/>
        </w:trPr>
        <w:tc>
          <w:tcPr>
            <w:tcW w:w="838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30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70.4</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29"/>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105.8</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30"/>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Industrial steam and 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11.7</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1,246.9</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1,167.4</w:t>
            </w:r>
          </w:p>
        </w:tc>
      </w:tr>
      <w:tr>
        <w:trPr>
          <w:trHeight w:val="230"/>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49.9</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1,296.8</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1,223.9</w:t>
            </w:r>
          </w:p>
        </w:tc>
      </w:tr>
      <w:tr>
        <w:trPr>
          <w:trHeight w:val="547"/>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2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19"/>
                <w:szCs w:val="19"/>
                <w:color w:val="auto"/>
              </w:rPr>
            </w:pPr>
          </w:p>
        </w:tc>
        <w:tc>
          <w:tcPr>
            <w:tcW w:w="1580" w:type="dxa"/>
            <w:vAlign w:val="bottom"/>
            <w:gridSpan w:val="2"/>
          </w:tcPr>
          <w:p>
            <w:pPr>
              <w:jc w:val="right"/>
              <w:ind w:right="50"/>
              <w:spacing w:after="0"/>
              <w:rPr>
                <w:sz w:val="20"/>
                <w:szCs w:val="20"/>
                <w:color w:val="auto"/>
              </w:rPr>
            </w:pPr>
            <w:r>
              <w:rPr>
                <w:rFonts w:ascii="Arial" w:cs="Arial" w:eastAsia="Arial" w:hAnsi="Arial"/>
                <w:sz w:val="16"/>
                <w:szCs w:val="16"/>
                <w:color w:val="auto"/>
              </w:rPr>
              <w:t>(millions)</w:t>
            </w:r>
          </w:p>
        </w:tc>
        <w:tc>
          <w:tcPr>
            <w:tcW w:w="980" w:type="dxa"/>
            <w:vAlign w:val="bottom"/>
          </w:tcPr>
          <w:p>
            <w:pPr>
              <w:spacing w:after="0"/>
              <w:rPr>
                <w:sz w:val="19"/>
                <w:szCs w:val="19"/>
                <w:color w:val="auto"/>
              </w:rPr>
            </w:pPr>
          </w:p>
        </w:tc>
      </w:tr>
      <w:tr>
        <w:trPr>
          <w:trHeight w:val="229"/>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192.1</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r>
      <w:tr>
        <w:trPr>
          <w:trHeight w:val="230"/>
        </w:trPr>
        <w:tc>
          <w:tcPr>
            <w:tcW w:w="83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0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178.1</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165.2</w:t>
            </w:r>
          </w:p>
        </w:tc>
      </w:tr>
      <w:tr>
        <w:trPr>
          <w:trHeight w:val="229"/>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108.5</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30"/>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4.3</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483.0</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r>
      <w:tr>
        <w:trPr>
          <w:trHeight w:val="230"/>
        </w:trPr>
        <w:tc>
          <w:tcPr>
            <w:tcW w:w="838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30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67.6</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29"/>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100.6</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652.9</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r>
      <w:tr>
        <w:trPr>
          <w:trHeight w:val="230"/>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25.7</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678.6</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19"/>
                <w:szCs w:val="19"/>
                <w:color w:val="auto"/>
              </w:rPr>
            </w:pPr>
          </w:p>
        </w:tc>
        <w:tc>
          <w:tcPr>
            <w:tcW w:w="1580" w:type="dxa"/>
            <w:vAlign w:val="bottom"/>
            <w:gridSpan w:val="2"/>
          </w:tcPr>
          <w:p>
            <w:pPr>
              <w:jc w:val="right"/>
              <w:ind w:right="50"/>
              <w:spacing w:after="0"/>
              <w:rPr>
                <w:sz w:val="20"/>
                <w:szCs w:val="20"/>
                <w:color w:val="auto"/>
              </w:rPr>
            </w:pPr>
            <w:r>
              <w:rPr>
                <w:rFonts w:ascii="Arial" w:cs="Arial" w:eastAsia="Arial" w:hAnsi="Arial"/>
                <w:sz w:val="16"/>
                <w:szCs w:val="16"/>
                <w:color w:val="auto"/>
              </w:rPr>
              <w:t>(millions)</w:t>
            </w:r>
          </w:p>
        </w:tc>
        <w:tc>
          <w:tcPr>
            <w:tcW w:w="980" w:type="dxa"/>
            <w:vAlign w:val="bottom"/>
          </w:tcPr>
          <w:p>
            <w:pPr>
              <w:spacing w:after="0"/>
              <w:rPr>
                <w:sz w:val="19"/>
                <w:szCs w:val="19"/>
                <w:color w:val="auto"/>
              </w:rPr>
            </w:pPr>
          </w:p>
        </w:tc>
      </w:tr>
      <w:tr>
        <w:trPr>
          <w:trHeight w:val="229"/>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158.0</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29"/>
        </w:trPr>
        <w:tc>
          <w:tcPr>
            <w:tcW w:w="83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0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175.9</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173.6</w:t>
            </w:r>
          </w:p>
        </w:tc>
      </w:tr>
      <w:tr>
        <w:trPr>
          <w:trHeight w:val="23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28.4</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365.0</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r>
      <w:tr>
        <w:trPr>
          <w:trHeight w:val="229"/>
        </w:trPr>
        <w:tc>
          <w:tcPr>
            <w:tcW w:w="838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30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11.4</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382.6</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r>
      <w:tr>
        <w:trPr>
          <w:trHeight w:val="230"/>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23.8</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406.4</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RECEIVABLES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receivables are detailed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28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March 31</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2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9"/>
                <w:szCs w:val="1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3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82.1</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143.4</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29"/>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3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(22.9)</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207.3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3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40.1</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125.3</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3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153.3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3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30.4</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3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4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30.2</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1067"/>
        </w:trPr>
        <w:tc>
          <w:tcPr>
            <w:tcW w:w="4280" w:type="dxa"/>
            <w:vAlign w:val="bottom"/>
          </w:tcPr>
          <w:p>
            <w:pPr>
              <w:spacing w:after="0"/>
              <w:rPr>
                <w:sz w:val="24"/>
                <w:szCs w:val="24"/>
                <w:color w:val="auto"/>
              </w:rPr>
            </w:pPr>
          </w:p>
        </w:tc>
        <w:tc>
          <w:tcPr>
            <w:tcW w:w="3280" w:type="dxa"/>
            <w:vAlign w:val="bottom"/>
          </w:tcPr>
          <w:p>
            <w:pPr>
              <w:jc w:val="right"/>
              <w:ind w:right="175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400"/>
        <w:spacing w:after="0" w:line="299" w:lineRule="auto"/>
        <w:rPr>
          <w:sz w:val="20"/>
          <w:szCs w:val="20"/>
          <w:color w:val="auto"/>
        </w:rPr>
      </w:pPr>
      <w:r>
        <w:rPr>
          <w:rFonts w:ascii="Arial" w:cs="Arial" w:eastAsia="Arial" w:hAnsi="Arial"/>
          <w:sz w:val="18"/>
          <w:szCs w:val="18"/>
          <w:color w:val="auto"/>
        </w:rPr>
        <w:t>The Evergy Companies' other receivables at March 31, 2023 and December 31, 2022,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40" w:type="dxa"/>
            <w:vAlign w:val="bottom"/>
            <w:tcBorders>
              <w:top w:val="single" w:sz="8" w:color="auto"/>
            </w:tcBorders>
          </w:tcPr>
          <w:p>
            <w:pPr>
              <w:spacing w:after="0"/>
              <w:rPr>
                <w:sz w:val="21"/>
                <w:szCs w:val="21"/>
                <w:color w:val="auto"/>
              </w:rPr>
            </w:pPr>
          </w:p>
        </w:tc>
        <w:tc>
          <w:tcPr>
            <w:tcW w:w="4240" w:type="dxa"/>
            <w:vAlign w:val="bottom"/>
            <w:tcBorders>
              <w:top w:val="single" w:sz="8" w:color="auto"/>
            </w:tcBorders>
          </w:tcPr>
          <w:p>
            <w:pPr>
              <w:jc w:val="center"/>
              <w:ind w:left="3370"/>
              <w:spacing w:after="0"/>
              <w:rPr>
                <w:sz w:val="20"/>
                <w:szCs w:val="20"/>
                <w:color w:val="auto"/>
              </w:rPr>
            </w:pPr>
            <w:r>
              <w:rPr>
                <w:rFonts w:ascii="Arial" w:cs="Arial" w:eastAsia="Arial" w:hAnsi="Arial"/>
                <w:sz w:val="18"/>
                <w:szCs w:val="18"/>
                <w:b w:val="1"/>
                <w:bCs w:val="1"/>
                <w:color w:val="auto"/>
                <w:w w:val="94"/>
              </w:rPr>
              <w:t>March 31</w:t>
            </w:r>
          </w:p>
        </w:tc>
        <w:tc>
          <w:tcPr>
            <w:tcW w:w="5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7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07"/>
        </w:trPr>
        <w:tc>
          <w:tcPr>
            <w:tcW w:w="47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7"/>
                <w:szCs w:val="17"/>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42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6"/>
              </w:rPr>
              <w:t>48.3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424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w w:val="96"/>
              </w:rPr>
              <w:t>44.3</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37"/>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4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change in the Evergy Companies' allowance for credit losses is summarized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20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6"/>
                <w:szCs w:val="16"/>
                <w:color w:val="auto"/>
              </w:rPr>
              <w:t>(millions)</w:t>
            </w: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31.4</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 (income)</w:t>
            </w:r>
          </w:p>
        </w:tc>
        <w:tc>
          <w:tcPr>
            <w:tcW w:w="120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3.1</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22.9</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16.9</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 (income)</w:t>
            </w:r>
          </w:p>
        </w:tc>
        <w:tc>
          <w:tcPr>
            <w:tcW w:w="120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12.1</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 (income)</w:t>
            </w:r>
          </w:p>
        </w:tc>
        <w:tc>
          <w:tcPr>
            <w:tcW w:w="120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7.0</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Accounts Receivable</w:t>
      </w:r>
    </w:p>
    <w:p>
      <w:pPr>
        <w:spacing w:after="0" w:line="22" w:lineRule="exact"/>
        <w:rPr>
          <w:sz w:val="20"/>
          <w:szCs w:val="20"/>
          <w:color w:val="auto"/>
        </w:rPr>
      </w:pPr>
    </w:p>
    <w:p>
      <w:pPr>
        <w:ind w:right="140"/>
        <w:spacing w:after="0" w:line="333" w:lineRule="auto"/>
        <w:rPr>
          <w:sz w:val="20"/>
          <w:szCs w:val="20"/>
          <w:color w:val="auto"/>
        </w:rPr>
      </w:pPr>
      <w:r>
        <w:rPr>
          <w:rFonts w:ascii="Arial" w:cs="Arial" w:eastAsia="Arial" w:hAnsi="Arial"/>
          <w:sz w:val="16"/>
          <w:szCs w:val="16"/>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top w:val="single" w:sz="8" w:color="auto"/>
            </w:tcBorders>
          </w:tcPr>
          <w:p>
            <w:pPr>
              <w:spacing w:after="0"/>
              <w:rPr>
                <w:sz w:val="21"/>
                <w:szCs w:val="21"/>
                <w:color w:val="auto"/>
              </w:rPr>
            </w:pPr>
          </w:p>
        </w:tc>
        <w:tc>
          <w:tcPr>
            <w:tcW w:w="4180" w:type="dxa"/>
            <w:vAlign w:val="bottom"/>
            <w:tcBorders>
              <w:top w:val="single" w:sz="8" w:color="auto"/>
            </w:tcBorders>
          </w:tcPr>
          <w:p>
            <w:pPr>
              <w:jc w:val="center"/>
              <w:ind w:left="3310"/>
              <w:spacing w:after="0"/>
              <w:rPr>
                <w:sz w:val="20"/>
                <w:szCs w:val="20"/>
                <w:color w:val="auto"/>
              </w:rPr>
            </w:pPr>
            <w:r>
              <w:rPr>
                <w:rFonts w:ascii="Arial" w:cs="Arial" w:eastAsia="Arial" w:hAnsi="Arial"/>
                <w:sz w:val="18"/>
                <w:szCs w:val="18"/>
                <w:b w:val="1"/>
                <w:bCs w:val="1"/>
                <w:color w:val="auto"/>
                <w:w w:val="94"/>
              </w:rPr>
              <w:t>March 31</w:t>
            </w:r>
          </w:p>
        </w:tc>
        <w:tc>
          <w:tcPr>
            <w:tcW w:w="5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December 31</w:t>
            </w:r>
          </w:p>
        </w:tc>
      </w:tr>
      <w:tr>
        <w:trPr>
          <w:trHeight w:val="234"/>
        </w:trPr>
        <w:tc>
          <w:tcPr>
            <w:tcW w:w="460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06"/>
        </w:trPr>
        <w:tc>
          <w:tcPr>
            <w:tcW w:w="46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460" w:type="dxa"/>
            <w:vAlign w:val="bottom"/>
          </w:tcPr>
          <w:p>
            <w:pPr>
              <w:spacing w:after="0"/>
              <w:rPr>
                <w:sz w:val="17"/>
                <w:szCs w:val="17"/>
                <w:color w:val="auto"/>
              </w:rPr>
            </w:pPr>
          </w:p>
        </w:tc>
      </w:tr>
      <w:tr>
        <w:trPr>
          <w:trHeight w:val="23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41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365.0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418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88"/>
              </w:rPr>
              <w:t>185.0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185.0</w:t>
            </w:r>
          </w:p>
        </w:tc>
      </w:tr>
      <w:tr>
        <w:trPr>
          <w:trHeight w:val="236"/>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4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88"/>
              </w:rPr>
              <w:t>130.0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r>
    </w:tbl>
    <w:p>
      <w:pPr>
        <w:spacing w:after="0" w:line="280" w:lineRule="exact"/>
        <w:rPr>
          <w:sz w:val="20"/>
          <w:szCs w:val="20"/>
          <w:color w:val="auto"/>
        </w:rPr>
      </w:pPr>
    </w:p>
    <w:p>
      <w:pPr>
        <w:ind w:right="280"/>
        <w:spacing w:after="0" w:line="274" w:lineRule="auto"/>
        <w:rPr>
          <w:sz w:val="20"/>
          <w:szCs w:val="20"/>
          <w:color w:val="auto"/>
        </w:rPr>
      </w:pPr>
      <w:r>
        <w:rPr>
          <w:rFonts w:ascii="Arial" w:cs="Arial" w:eastAsia="Arial" w:hAnsi="Arial"/>
          <w:sz w:val="20"/>
          <w:szCs w:val="20"/>
          <w:color w:val="auto"/>
        </w:rPr>
        <w:t>Each receivable sale facility expires in 2024. Evergy Kansas Central's facility allows for $185.0 million in aggregate outstanding principal amount of borrowings from mid-October through mid-June and then $200.0 million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from mid-June through mid-October. Evergy Metro's facility allows for $130.0 million in aggregate outstanding principal amount of borrowings at any time. Evergy Missouri West's facility allows for $50.0 million in aggregate outstanding principal amount of borrowings from mid-November through mid-June and then $65.0 million from mid-June through mid-November.</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RATE MATTERS AND REGULATION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KCC Proceedings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Central's and Evergy Metro's 2023 Rate Case Proceeding</w:t>
      </w:r>
    </w:p>
    <w:p>
      <w:pPr>
        <w:spacing w:after="0" w:line="13"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In April 2023, Evergy Kansas Central and Evergy Metro filed applications with the Kansas Corporation Commission (KCC) to request increases to their retail revenues of approximately $204 million and $14 million, respectively. Evergy Kansas Central's request reflects a return on equity of 10.25% (with a capital structure composed of 52% equity) and increases related to the recovery of infrastructure investments made to improve reliability and enhance customer service, the inclusion of Evergy Kansas Central's non-regulated 8% of Jeffrey Energy Center (JEC) in rate base and the management of the previously established end to a corporate-owned life insurance program. Evergy Kansas Central is also requesting, upon the closing of the transaction, the inclusion of the cost of an approximately $250 million operational wind farm located in the state of Oklahoma with a generating capacity of approximately 199 MW. The cost of this wind farm is not included in Evergy Kansas Central's approximately $204 million increase to retail revenue requested in the case but if approved by the KCC, the cost of this wind farm would result in an additional $24.4 million increase to Evergy Kansas Central's retail revenues. Evergy Metro's request reflects a return on equity of 10.25% (with a capital structure composed of 52% equity) and increases related to recovery of infrastructure investments made to improve reliability and enhance customer service. Requests for increases in retail revenues in both proceedings are partially offset by significant customer savings and cost reductions. New rates are expected to be effective in December 2023.</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2023 Transmission Delivery Charge (TDC)</w:t>
      </w:r>
    </w:p>
    <w:p>
      <w:pPr>
        <w:spacing w:after="0" w:line="1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April 2023, the KCC issued an order adjusting Evergy Kansas Central's retail prices to include updated transmission costs as reflected in the Federal Energy Regulatory Commission (FERC) transmission formula rate (TFR). The new prices are effective in May 2023 and include the adjustments to the 2023 TFR described under "Evergy Kansas Central TFR Formal Challenge" within this Note 4. The new prices are expected to decrease Evergy Kansas Central's annual retail revenues by $22.3 million when compared to 2022.</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2023 TDC</w:t>
      </w:r>
    </w:p>
    <w:p>
      <w:pPr>
        <w:spacing w:after="0" w:line="16"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In April 2023, the KCC issued an order adjusting Evergy Metro's retail prices to include updated transmission costs as reflected in the FERC TFR. The new prices are effective in May 2023 and are expected to increase Evergy Metro's annual retail revenues by $4.0 million when compared to 2022.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Earnings Review and Sharing Plan (ERSP)</w:t>
      </w:r>
    </w:p>
    <w:p>
      <w:pPr>
        <w:spacing w:after="0" w:line="20"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As part of their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 return on equity of 9.3% to the extent the excess earnings exceed the amount of annual bill credits that Evergy Kansas Central and Evergy Metro agreed to provide in connection with the merger that resulted in the formation of Evergy.</w:t>
      </w:r>
    </w:p>
    <w:p>
      <w:pPr>
        <w:spacing w:after="0" w:line="204"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color w:val="auto"/>
        </w:rPr>
        <w:t>Evergy Kansas Central estimates its 2022 annual earnings did not result in a refund obligation. As of December 31, 2022, Evergy Metro estimated that its 2022 annual earnings resulted in a $16.7 million refund obligation, which was recorded in the fourth quarter of 2022. Evergy Kansas Central and Evergy Metro filed their 2022 ERSP calculations with the KCC in March 2023. As part of these filings, Evergy Metro filed for a lower refund obligation for 2022 of approximately $6 million (compared with its $16.7 million refund obligation estimate) as a result of certain intercompany billings to Evergy Kansas Central. The final refund obligations for 2022 will be decided by the KCC and could vary from the current estimates.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MPSC Proceedings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February 2021 Winter Weather Event Securitization</w:t>
      </w:r>
    </w:p>
    <w:p>
      <w:pPr>
        <w:spacing w:after="0" w:line="8" w:lineRule="exact"/>
        <w:rPr>
          <w:sz w:val="20"/>
          <w:szCs w:val="20"/>
          <w:color w:val="auto"/>
        </w:rPr>
      </w:pPr>
    </w:p>
    <w:p>
      <w:pPr>
        <w:ind w:right="140"/>
        <w:spacing w:after="0" w:line="313" w:lineRule="auto"/>
        <w:rPr>
          <w:sz w:val="20"/>
          <w:szCs w:val="20"/>
          <w:color w:val="auto"/>
        </w:rPr>
      </w:pPr>
      <w:r>
        <w:rPr>
          <w:rFonts w:ascii="Arial" w:cs="Arial" w:eastAsia="Arial" w:hAnsi="Arial"/>
          <w:sz w:val="18"/>
          <w:szCs w:val="18"/>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w:t>
      </w:r>
    </w:p>
    <w:p>
      <w:pPr>
        <w:spacing w:after="0" w:line="133"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November 2022, the MPSC issued a revised financing order authorizing Evergy Missouri West to issue securitized bonds to recover its extraordinary fuel and purchased power costs incurred as part of the February 2021 winter weather event. As part of the order, the MPSC found that Evergy Missouri West's costs were prudently incurred, that it should only be allowed to recover 95% of its extraordinary fuel and purchased power costs consistent with the 5% sharing provision of its fuel recovery mechanism, that it should be allowed to recover carrying costs incurred since February 2021 at Evergy Missouri West's long-term debt rate of 5.06% and approved a 15 year repayment period for the bonds with a 17 year legal maturity. As of March 31, 2023 and December 31, 2022, the value of Evergy Missouri West's February 2021 winter weather event regulatory asset was $313.0 million and $309.0 million, respectively. Evergy Missouri West will continue to record carrying charges on its February 2021 winter weather event regulatory asset until it issues the securitized bonds.</w:t>
      </w:r>
    </w:p>
    <w:p>
      <w:pPr>
        <w:spacing w:after="0" w:line="160" w:lineRule="exact"/>
        <w:rPr>
          <w:sz w:val="20"/>
          <w:szCs w:val="20"/>
          <w:color w:val="auto"/>
        </w:rPr>
      </w:pPr>
    </w:p>
    <w:p>
      <w:pPr>
        <w:ind w:right="240"/>
        <w:spacing w:after="0" w:line="271" w:lineRule="auto"/>
        <w:rPr>
          <w:sz w:val="20"/>
          <w:szCs w:val="20"/>
          <w:color w:val="auto"/>
        </w:rPr>
      </w:pPr>
      <w:r>
        <w:rPr>
          <w:rFonts w:ascii="Arial" w:cs="Arial" w:eastAsia="Arial" w:hAnsi="Arial"/>
          <w:sz w:val="19"/>
          <w:szCs w:val="19"/>
          <w:color w:val="auto"/>
        </w:rPr>
        <w:t>In January 2023, the Office of the Public Counsel (OPC) filed an appeal with the Missouri Court of Appeals, Western District, challenging the financing order regarding the treatment of income tax deductions, carrying costs and discount rates related to the financing of the extraordinary fuel and purchased power costs incurred as part of the February 2021 winter weather event. A final nonappealable financing order is required prior to the issuance of securitized bonds. A decision by the Missouri Court of Appeals, Western District, is currently expected in the second half of 2023, though the timeline for the decision is uncertain.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FERC Proceedings</w:t>
      </w:r>
    </w:p>
    <w:p>
      <w:pPr>
        <w:spacing w:after="0" w:line="26"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 Annual Update</w:t>
      </w:r>
    </w:p>
    <w:p>
      <w:pPr>
        <w:spacing w:after="0" w:line="20" w:lineRule="exact"/>
        <w:rPr>
          <w:sz w:val="20"/>
          <w:szCs w:val="20"/>
          <w:color w:val="auto"/>
        </w:rPr>
      </w:pPr>
    </w:p>
    <w:p>
      <w:pPr>
        <w:ind w:right="1100"/>
        <w:spacing w:after="0" w:line="253" w:lineRule="auto"/>
        <w:rPr>
          <w:sz w:val="20"/>
          <w:szCs w:val="20"/>
          <w:color w:val="auto"/>
        </w:rPr>
      </w:pPr>
      <w:r>
        <w:rPr>
          <w:rFonts w:ascii="Arial" w:cs="Arial" w:eastAsia="Arial" w:hAnsi="Arial"/>
          <w:sz w:val="20"/>
          <w:szCs w:val="20"/>
          <w:color w:val="auto"/>
        </w:rPr>
        <w:t>In the most recent two years, the updated TFR was expected to adjust Evergy Kansas Central's annual transmission revenues by approximately:</w:t>
      </w:r>
    </w:p>
    <w:p>
      <w:pPr>
        <w:spacing w:after="0" w:line="88"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$21.7 million decrease effective in March 2023;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$33.2 million increase effective in January 2022.</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See "Evergy Kansas Central TFR Formal Challenge" within this Note 4 for more information regarding the March 2023 adjustment.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 Formal Challenge</w:t>
      </w:r>
    </w:p>
    <w:p>
      <w:pPr>
        <w:spacing w:after="0" w:line="16"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In March 2022, certain Evergy Kansas Central TFR customers submitted a formal challenge regarding the implementation of Evergy Kansas Central's TFR, specifically with regards to how Evergy Kansas Central's capital structure was calculated as part of determining the Annual Transmission Revenue Requirement (ATRR). As part of this challenge, the customers requested that Evergy Kansas Central make refunds for over-collections in rate years 2018, 2019, 2020, 2021 and 2022 as a result of the calculation of its capital structure included in the TFR. Evergy Kansas Central disputed that any refunds for 2018 - 2022 were required as Evergy Kansas Central was following its approved TFR formula.</w:t>
      </w:r>
    </w:p>
    <w:p>
      <w:pPr>
        <w:spacing w:after="0" w:line="205"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color w:val="auto"/>
        </w:rPr>
        <w:t>In December 2022, FERC issued an order upholding in part, and denying in part, the formal challenge of Evergy Kansas Central's TFR by certain customers. As a result of this order, Evergy and Evergy Kansas Central recorded a $32.8 million regulatory liability on their consolidated balance sheets as of December 31, 2022 for the estimated refund of TFR revenue over-collections related to the calculation of Evergy Kansas Central's capital structure for rate years 2018 - 2022. In March 2023, Evergy Kansas Central refiled its annual update to include the refund of the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2020, 2021 and 2022 over-collections as part of its 2023 TFR effective in March 2023. In February 2023, certain Evergy Kansas Central TFR customers submitted a formal challenge requesting the refund of over-collections related to the 2018 and 2019 over-collections. A decision from FERC regarding this challenge is expected later in 2023.</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TFR Annual Update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the most recent two years, the updated TFR was expected to adjust Evergy Metro's annual transmission revenues by approximately:</w:t>
      </w:r>
    </w:p>
    <w:p>
      <w:pPr>
        <w:spacing w:after="0" w:line="128" w:lineRule="exact"/>
        <w:rPr>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$8.6 million increase effective in January 2023; and</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$18.1 million increase effective in January 2022.</w:t>
      </w:r>
    </w:p>
    <w:p>
      <w:pPr>
        <w:spacing w:after="0" w:line="209" w:lineRule="exact"/>
        <w:rPr>
          <w:rFonts w:ascii="Arial" w:cs="Arial" w:eastAsia="Arial" w:hAnsi="Arial"/>
          <w:sz w:val="20"/>
          <w:szCs w:val="20"/>
          <w:color w:val="auto"/>
        </w:rPr>
      </w:pPr>
    </w:p>
    <w:p>
      <w:pPr>
        <w:ind w:left="200" w:hanging="192"/>
        <w:spacing w:after="0"/>
        <w:tabs>
          <w:tab w:leader="none" w:pos="2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PENSION PLANS AND POST-RETIREMENT BENEFITS</w:t>
      </w:r>
    </w:p>
    <w:p>
      <w:pPr>
        <w:spacing w:after="0" w:line="127"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 Generating Station's (Wolf Creek) defined benefit plans, consisting of Evergy Kansas South's and Evergy Metro's respective 47% ownership shares.</w:t>
      </w:r>
    </w:p>
    <w:p>
      <w:pPr>
        <w:spacing w:after="0" w:line="201"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66" w:lineRule="exact"/>
        <w:rPr>
          <w:sz w:val="20"/>
          <w:szCs w:val="20"/>
          <w:color w:val="auto"/>
        </w:rPr>
      </w:pPr>
    </w:p>
    <w:p>
      <w:pPr>
        <w:ind w:right="200"/>
        <w:spacing w:after="0" w:line="255" w:lineRule="auto"/>
        <w:rPr>
          <w:sz w:val="20"/>
          <w:szCs w:val="20"/>
          <w:color w:val="auto"/>
        </w:rPr>
      </w:pPr>
      <w:r>
        <w:rPr>
          <w:rFonts w:ascii="Arial" w:cs="Arial" w:eastAsia="Arial" w:hAnsi="Arial"/>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For the three months ended March 31, 2023, Evergy, Evergy Kansas Central and Evergy Metro recorded pension settlement benefits (costs) of ($15.9) million, $0.4 million and ($16.3) million, respectively. These settlement charges were the result of accelerated distributions as a result of employee retirements for certain plan participants. Evergy, Evergy Kansas Central and Evergy Metro deferred substantially all of the charges to regulatory assets or regulatory liabilities and expect to recover these amounts over future periods pursuant to regulatory agreements. For the three months ended March 31, 2022, Evergy, Evergy Kansas Central and Evergy Metro recorded no pension settlement charges.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color w:val="auto"/>
        </w:rPr>
        <w:t>The following tables provide the components of net periodic benefit costs prior to the effects of capitalization and sharing with joint owners of power plants.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8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w w:val="93"/>
              </w:rPr>
              <w:t>Evergy</w:t>
            </w:r>
          </w:p>
        </w:tc>
        <w:tc>
          <w:tcPr>
            <w:tcW w:w="200" w:type="dxa"/>
            <w:vAlign w:val="bottom"/>
          </w:tcPr>
          <w:p>
            <w:pPr>
              <w:spacing w:after="0"/>
              <w:rPr>
                <w:sz w:val="16"/>
                <w:szCs w:val="16"/>
                <w:color w:val="auto"/>
              </w:rPr>
            </w:pPr>
          </w:p>
        </w:tc>
        <w:tc>
          <w:tcPr>
            <w:tcW w:w="980" w:type="dxa"/>
            <w:vAlign w:val="bottom"/>
            <w:vMerge w:val="restart"/>
          </w:tcPr>
          <w:p>
            <w:pPr>
              <w:jc w:val="center"/>
              <w:ind w:right="151"/>
              <w:spacing w:after="0"/>
              <w:rPr>
                <w:sz w:val="20"/>
                <w:szCs w:val="20"/>
                <w:color w:val="auto"/>
              </w:rPr>
            </w:pPr>
            <w:r>
              <w:rPr>
                <w:rFonts w:ascii="Arial" w:cs="Arial" w:eastAsia="Arial" w:hAnsi="Arial"/>
                <w:sz w:val="18"/>
                <w:szCs w:val="18"/>
                <w:b w:val="1"/>
                <w:bCs w:val="1"/>
                <w:color w:val="auto"/>
                <w:w w:val="89"/>
              </w:rPr>
              <w:t>Evergy</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89"/>
              </w:rPr>
              <w:t>Evergy</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2023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5"/>
                <w:szCs w:val="15"/>
                <w:color w:val="auto"/>
              </w:rPr>
            </w:pPr>
          </w:p>
        </w:tc>
        <w:tc>
          <w:tcPr>
            <w:tcW w:w="1040" w:type="dxa"/>
            <w:vAlign w:val="bottom"/>
          </w:tcPr>
          <w:p>
            <w:pPr>
              <w:jc w:val="center"/>
              <w:ind w:right="190"/>
              <w:spacing w:after="0" w:line="181" w:lineRule="exact"/>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89"/>
              </w:rPr>
              <w:t>Evergy</w:t>
            </w:r>
          </w:p>
        </w:tc>
        <w:tc>
          <w:tcPr>
            <w:tcW w:w="260" w:type="dxa"/>
            <w:vAlign w:val="bottom"/>
          </w:tcPr>
          <w:p>
            <w:pPr>
              <w:spacing w:after="0"/>
              <w:rPr>
                <w:sz w:val="15"/>
                <w:szCs w:val="15"/>
                <w:color w:val="auto"/>
              </w:rPr>
            </w:pPr>
          </w:p>
        </w:tc>
        <w:tc>
          <w:tcPr>
            <w:tcW w:w="9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6"/>
              </w:rPr>
              <w:t>Central</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7"/>
              </w:rPr>
              <w:t>Metro</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benefits (costs)</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39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periodic benefit costs before regulatory</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25.9</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Intercompany allocations</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periodic benefit costs (income)</w:t>
            </w:r>
          </w:p>
        </w:tc>
        <w:tc>
          <w:tcPr>
            <w:tcW w:w="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11.4</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89"/>
              </w:rPr>
              <w:t>Post-Retirement Benefits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15"/>
                <w:szCs w:val="15"/>
                <w:color w:val="auto"/>
              </w:rPr>
            </w:pPr>
          </w:p>
        </w:tc>
        <w:tc>
          <w:tcPr>
            <w:tcW w:w="980" w:type="dxa"/>
            <w:vAlign w:val="bottom"/>
            <w:vMerge w:val="restart"/>
          </w:tcPr>
          <w:p>
            <w:pPr>
              <w:jc w:val="center"/>
              <w:ind w:right="191"/>
              <w:spacing w:after="0"/>
              <w:rPr>
                <w:sz w:val="20"/>
                <w:szCs w:val="20"/>
                <w:color w:val="auto"/>
              </w:rPr>
            </w:pPr>
            <w:r>
              <w:rPr>
                <w:rFonts w:ascii="Arial" w:cs="Arial" w:eastAsia="Arial" w:hAnsi="Arial"/>
                <w:sz w:val="18"/>
                <w:szCs w:val="18"/>
                <w:b w:val="1"/>
                <w:bCs w:val="1"/>
                <w:color w:val="auto"/>
                <w:w w:val="89"/>
              </w:rPr>
              <w:t>Evergy</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Evergy</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7"/>
              </w:rPr>
              <w:t>Metro</w:t>
            </w: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6"/>
              </w:rPr>
              <w:t>Evergy</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9.7</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55"/>
        </w:trPr>
        <w:tc>
          <w:tcPr>
            <w:tcW w:w="394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17.7</w:t>
            </w: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190" w:lineRule="exact"/>
        <w:rPr>
          <w:sz w:val="20"/>
          <w:szCs w:val="20"/>
          <w:color w:val="auto"/>
        </w:rPr>
      </w:pPr>
    </w:p>
    <w:p>
      <w:pPr>
        <w:ind w:right="80"/>
        <w:spacing w:after="0" w:line="288" w:lineRule="auto"/>
        <w:rPr>
          <w:sz w:val="20"/>
          <w:szCs w:val="20"/>
          <w:color w:val="auto"/>
        </w:rPr>
      </w:pPr>
      <w:r>
        <w:rPr>
          <w:rFonts w:ascii="Arial" w:cs="Arial" w:eastAsia="Arial" w:hAnsi="Arial"/>
          <w:sz w:val="18"/>
          <w:szCs w:val="18"/>
          <w:color w:val="auto"/>
        </w:rPr>
        <w:t>For the three months ended March 31, 2023, Evergy, Evergy Kansas Central and Evergy Metro made pension contributions of $16.4 million, $11.8 million and $4.6 million, respectively. Evergy expects to make additional pension contributions of $22.0 million in 2023 to satisfy the Employee Retirement Income Security Act of 1974, as amended (ERISA) funding requirements and KCC and MPSC rate orders, of which $14.4 million is expected to be paid by Evergy Kansas Central and $7.6 million is expected to be paid by Evergy Metro.</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For the three months ended March 31, 2023, Evergy, Evergy Kansas Central and Evergy Metro made post-retirement benefit contributions of $0.2 million, $0.1 million and $0.1 million, respectively. Evergy, Evergy Kansas Central and Evergy Metro expect to make additional contributions in 2023 of $1.6 million, $0.5 million and $1.1 million, respectively, to the post-retirement benefit plans.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SHORT-TERM BORROWINGS AND SHORT-TERM BANK LINES OF CREDIT</w:t>
      </w:r>
    </w:p>
    <w:p>
      <w:pPr>
        <w:spacing w:after="0" w:line="114" w:lineRule="exact"/>
        <w:rPr>
          <w:sz w:val="20"/>
          <w:szCs w:val="20"/>
          <w:color w:val="auto"/>
        </w:rPr>
      </w:pPr>
    </w:p>
    <w:p>
      <w:pPr>
        <w:ind w:right="300"/>
        <w:spacing w:after="0" w:line="274" w:lineRule="auto"/>
        <w:rPr>
          <w:sz w:val="20"/>
          <w:szCs w:val="20"/>
          <w:color w:val="auto"/>
        </w:rPr>
      </w:pPr>
      <w:r>
        <w:rPr>
          <w:rFonts w:ascii="Arial" w:cs="Arial" w:eastAsia="Arial" w:hAnsi="Arial"/>
          <w:sz w:val="20"/>
          <w:szCs w:val="20"/>
          <w:color w:val="auto"/>
        </w:rPr>
        <w:t>Evergy's $2.5 billion master credit facility expires in 2026. Evergy, Evergy Kansas Central, Evergy Metro and Evergy Missouri West have borrowing capacity under the master credit facility with specific sublimits for each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borrower. These sublimits can be unilaterally adjusted by Evergy for each borrower provided the sublimits remain within minimum and maximum sublimits as specified in the facility. The applicable interest rates and commitment fees of the facility are subject to upward or downward adjustments, within certain limitations, if Evergy achieves, or fails to achieve, certain sustainability-linked targets based on two key performance indicator metrics: (i) Non-Emitting Generation Capacity and (ii) Diverse Supplier Spend (as defined in the facility).</w:t>
      </w:r>
    </w:p>
    <w:p>
      <w:pPr>
        <w:spacing w:after="0" w:line="150"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March 31, 2023, Evergy, Evergy Kansas Central, Evergy Metro and Evergy Missouri West were in compliance with this covenant.</w:t>
      </w:r>
    </w:p>
    <w:p>
      <w:pPr>
        <w:spacing w:after="0" w:line="182" w:lineRule="exact"/>
        <w:rPr>
          <w:sz w:val="20"/>
          <w:szCs w:val="20"/>
          <w:color w:val="auto"/>
        </w:rPr>
      </w:pPr>
    </w:p>
    <w:p>
      <w:pPr>
        <w:ind w:right="460"/>
        <w:spacing w:after="0" w:line="274" w:lineRule="auto"/>
        <w:rPr>
          <w:sz w:val="20"/>
          <w:szCs w:val="20"/>
          <w:color w:val="auto"/>
        </w:rPr>
      </w:pPr>
      <w:r>
        <w:rPr>
          <w:rFonts w:ascii="Arial" w:cs="Arial" w:eastAsia="Arial" w:hAnsi="Arial"/>
          <w:sz w:val="20"/>
          <w:szCs w:val="20"/>
          <w:color w:val="auto"/>
        </w:rPr>
        <w:t>The following table summarizes the committed credit facilities (excluding receivable sale facilities discussed in Note 3) available to the Evergy Companies as of March 31, 2023 and December 31, 2022.</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2"/>
              </w:rPr>
              <w:t>Master Credit</w:t>
            </w:r>
          </w:p>
        </w:tc>
        <w:tc>
          <w:tcPr>
            <w:tcW w:w="160" w:type="dxa"/>
            <w:vAlign w:val="bottom"/>
          </w:tcPr>
          <w:p>
            <w:pPr>
              <w:spacing w:after="0"/>
              <w:rPr>
                <w:sz w:val="13"/>
                <w:szCs w:val="13"/>
                <w:color w:val="auto"/>
              </w:rPr>
            </w:pPr>
          </w:p>
        </w:tc>
        <w:tc>
          <w:tcPr>
            <w:tcW w:w="11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Cash</w:t>
            </w: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Available</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08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0"/>
              </w:rPr>
              <w:t>Interest Rate on Short-</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Facility</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Paper</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Letters of Credit</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Borrowings</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20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right="131"/>
              <w:spacing w:after="0"/>
              <w:rPr>
                <w:sz w:val="20"/>
                <w:szCs w:val="20"/>
                <w:color w:val="auto"/>
              </w:rPr>
            </w:pPr>
            <w:r>
              <w:rPr>
                <w:rFonts w:ascii="Arial" w:cs="Arial" w:eastAsia="Arial" w:hAnsi="Arial"/>
                <w:sz w:val="16"/>
                <w:szCs w:val="16"/>
                <w:color w:val="auto"/>
                <w:w w:val="99"/>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5.41%</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477.0</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5.46%</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Evergy Metro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5.51%</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2080" w:type="dxa"/>
            <w:vAlign w:val="bottom"/>
            <w:tcBorders>
              <w:bottom w:val="single" w:sz="8" w:color="CCEEFF"/>
            </w:tcBorders>
          </w:tcPr>
          <w:p>
            <w:pPr>
              <w:jc w:val="center"/>
              <w:ind w:left="110"/>
              <w:spacing w:after="0"/>
              <w:rPr>
                <w:sz w:val="20"/>
                <w:szCs w:val="20"/>
                <w:color w:val="auto"/>
              </w:rPr>
            </w:pPr>
            <w:r>
              <w:rPr>
                <w:rFonts w:ascii="Arial" w:cs="Arial" w:eastAsia="Arial" w:hAnsi="Arial"/>
                <w:sz w:val="18"/>
                <w:szCs w:val="18"/>
                <w:color w:val="auto"/>
                <w:w w:val="93"/>
              </w:rPr>
              <w:t>5.42%</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Evergy </w:t>
            </w:r>
            <w:r>
              <w:rPr>
                <w:rFonts w:ascii="Arial" w:cs="Arial" w:eastAsia="Arial" w:hAnsi="Arial"/>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449.3</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4.91%</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239.0</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5.02%</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4.84%</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0" w:right="420" w:hanging="172"/>
        <w:spacing w:after="0" w:line="248" w:lineRule="auto"/>
        <w:tabs>
          <w:tab w:leader="none" w:pos="175"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As of March 31, 2023, $297.7 million of Evergy Metro's commercial paper balances were classified as long-term debt on Evergy's and Evergy Metro's consolidated balance sheets. See Note 7 for additional information.</w:t>
      </w:r>
    </w:p>
    <w:p>
      <w:pPr>
        <w:spacing w:after="0" w:line="185"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In February 2023, Evergy, Inc. amended a $500.0 million unsecured Term Loan Credit Agreement (Term Loan Facility) that originally expired in February 2023 to extend the expiration date to February 2024. As a result of the amendment, Evergy, Inc. demonstrated its intent and ability to refinance the Term Loan Facility and reflected this $500.0 million borrowing within long-term debt, net, on Evergy's consolidated balance sheet as of December 31, 2022. As of March 31, 2023, Evergy had borrowed $500.0 million under the Term Loan Facility that is reflected within notes payable and commercial paper on Evergy's consolidated balance sheet. Evergy's borrowings under the Term Loan Facility were used for, among other things, working capital, capital expenditures and general corporate purposes.</w:t>
      </w:r>
    </w:p>
    <w:p>
      <w:pPr>
        <w:spacing w:after="0" w:line="172" w:lineRule="exact"/>
        <w:rPr>
          <w:sz w:val="20"/>
          <w:szCs w:val="20"/>
          <w:color w:val="auto"/>
        </w:rPr>
      </w:pPr>
    </w:p>
    <w:p>
      <w:pPr>
        <w:ind w:right="180"/>
        <w:spacing w:after="0" w:line="251" w:lineRule="auto"/>
        <w:rPr>
          <w:sz w:val="20"/>
          <w:szCs w:val="20"/>
          <w:color w:val="auto"/>
        </w:rPr>
      </w:pPr>
      <w:r>
        <w:rPr>
          <w:rFonts w:ascii="Arial" w:cs="Arial" w:eastAsia="Arial" w:hAnsi="Arial"/>
          <w:sz w:val="20"/>
          <w:szCs w:val="20"/>
          <w:color w:val="auto"/>
        </w:rPr>
        <w:t>The weighted average interest rate for borrowings under the Term Loan Facility as of March 31, 2023, was 5.93%. The Term Loan Facility contains customary covenants, including one that sets the ratio of maximum allowed total indebtedness to total capitalization of not greater than 0.65 to 1.00, for Evergy and its subsidiaries on a consolidated basis. As of March 31, 2023, Evergy was in compliance with this covenant.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Bonds</w:t>
      </w:r>
    </w:p>
    <w:p>
      <w:pPr>
        <w:spacing w:after="0" w:line="22"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In March 2023, Evergy Kansas Central issued, at a discount, $400.0 million of 5.70% First Mortgage Bonds (FMBs), maturing in 2053. The proceeds of the issuance were used to repay commercial paper borrowings and for general corporate purposes.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April 2023, Evergy Metro issued, at a discount, $300.0 million of 4.95% Mortgage Bonds, maturing April 2033. The proceeds of the issuance were used to repay Evergy Metro's commercial paper borrowings which were incurred to repay the $300.0 million principal amount of Evergy Metro's 3.15% Senior Notes that matured in March 2023. As a result of this issuance, Evergy and Evergy Metro demonstrated their intent and ability to refinance the commercial paper and reflected the net proceeds of $297.7 million for this borrowing within long-term debt, net, on Evergy's and Evergy Metro's consolidated balance sheets as of March 31, 2023.</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In March 2023, Evergy Metro repaid its $300.0 million of 3.15% Senior Notes at maturity.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DERIVATIVE INSTRUMENTS</w:t>
      </w:r>
    </w:p>
    <w:p>
      <w:pPr>
        <w:spacing w:after="0" w:line="114"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color w:val="auto"/>
        </w:rPr>
        <w:t>The Evergy Companies engage in the wholesale and retail sale of electricity as part of their regulated electric operations, in addition to limited non-regulated energy marketing activities.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spacing w:after="0" w:line="186"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w:t>
      </w:r>
    </w:p>
    <w:p>
      <w:pPr>
        <w:spacing w:after="0" w:line="193" w:lineRule="exact"/>
        <w:rPr>
          <w:sz w:val="20"/>
          <w:szCs w:val="20"/>
          <w:color w:val="auto"/>
        </w:rPr>
      </w:pPr>
    </w:p>
    <w:p>
      <w:pPr>
        <w:jc w:val="both"/>
        <w:ind w:right="340"/>
        <w:spacing w:after="0" w:line="257" w:lineRule="auto"/>
        <w:rPr>
          <w:sz w:val="20"/>
          <w:szCs w:val="20"/>
          <w:color w:val="auto"/>
        </w:rPr>
      </w:pPr>
      <w:r>
        <w:rPr>
          <w:rFonts w:ascii="Arial" w:cs="Arial" w:eastAsia="Arial" w:hAnsi="Arial"/>
          <w:sz w:val="20"/>
          <w:szCs w:val="20"/>
          <w:color w:val="auto"/>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primarily as either economic hedges or trading contracts (non-hedging derivatives) which are recorded as assets or liabilities on the consolidated balance sheets at fair value. See Note 9 for additional information on the Evergy Companies' methods for assessing the fair value of derivative instruments. Changes in the fair value of non-hedging derivatives that are related to the Evergy Companies' regulated operations are deferred to a regulatory asset or regulatory liability when determined to be probable of future recovery or refund from customers. Recovery of the actual costs incurred by regulated activities will not impact earnings but will impact cash flows due to the timing of the recovery mechanism. Cash flows for all derivative instruments are classified as operating activities on the Evergy Companies' statements of cash flows, with the exception of cash flows for interest rate swap agreements accounted for as cash flows hedges of forecasted debt transactions, which are recorded as financing activities. Changes in the fair value of non-hedging derivatives that are not related to the Evergy Companies' regulated operations are recorded in operating revenues on the Evergy Companies'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340"/>
        <w:spacing w:after="0" w:line="274" w:lineRule="auto"/>
        <w:rPr>
          <w:sz w:val="20"/>
          <w:szCs w:val="20"/>
          <w:color w:val="auto"/>
        </w:rPr>
      </w:pPr>
      <w:r>
        <w:rPr>
          <w:rFonts w:ascii="Arial" w:cs="Arial" w:eastAsia="Arial" w:hAnsi="Arial"/>
          <w:sz w:val="20"/>
          <w:szCs w:val="20"/>
          <w:color w:val="auto"/>
        </w:rPr>
        <w:t>The Evergy Companies offset fair value amounts recognized for derivative instruments under master netting arrangements, which include rights to reclaim cash collateral (a receivable), or the obligation to return cash collateral (a payable).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gross notional contract amount by commodity type for derivative instruments is summarized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00" w:type="dxa"/>
            <w:vAlign w:val="bottom"/>
            <w:tcBorders>
              <w:top w:val="single" w:sz="8" w:color="auto"/>
            </w:tcBorders>
          </w:tcPr>
          <w:p>
            <w:pPr>
              <w:spacing w:after="0"/>
              <w:rPr>
                <w:sz w:val="21"/>
                <w:szCs w:val="21"/>
                <w:color w:val="auto"/>
              </w:rPr>
            </w:pPr>
          </w:p>
        </w:tc>
        <w:tc>
          <w:tcPr>
            <w:tcW w:w="448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March 31</w:t>
            </w: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December 31</w:t>
            </w:r>
          </w:p>
        </w:tc>
      </w:tr>
      <w:tr>
        <w:trPr>
          <w:trHeight w:val="234"/>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Non-hedging derivatives</w:t>
            </w:r>
          </w:p>
        </w:tc>
        <w:tc>
          <w:tcPr>
            <w:tcW w:w="4480" w:type="dxa"/>
            <w:vAlign w:val="bottom"/>
            <w:tcBorders>
              <w:bottom w:val="single" w:sz="8" w:color="auto"/>
            </w:tcBorders>
          </w:tcPr>
          <w:p>
            <w:pPr>
              <w:jc w:val="center"/>
              <w:ind w:left="1270"/>
              <w:spacing w:after="0"/>
              <w:rPr>
                <w:sz w:val="20"/>
                <w:szCs w:val="20"/>
                <w:color w:val="auto"/>
              </w:rPr>
            </w:pPr>
            <w:r>
              <w:rPr>
                <w:rFonts w:ascii="Arial" w:cs="Arial" w:eastAsia="Arial" w:hAnsi="Arial"/>
                <w:sz w:val="18"/>
                <w:szCs w:val="18"/>
                <w:b w:val="1"/>
                <w:bCs w:val="1"/>
                <w:color w:val="auto"/>
                <w:w w:val="90"/>
              </w:rPr>
              <w:t>Notional volume unit of measure</w:t>
            </w:r>
          </w:p>
        </w:tc>
        <w:tc>
          <w:tcPr>
            <w:tcW w:w="1880" w:type="dxa"/>
            <w:vAlign w:val="bottom"/>
            <w:tcBorders>
              <w:bottom w:val="single" w:sz="8" w:color="auto"/>
            </w:tcBorders>
          </w:tcPr>
          <w:p>
            <w:pPr>
              <w:jc w:val="right"/>
              <w:ind w:right="931"/>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2"/>
        </w:trPr>
        <w:tc>
          <w:tcPr>
            <w:tcW w:w="3600" w:type="dxa"/>
            <w:vAlign w:val="bottom"/>
          </w:tcPr>
          <w:p>
            <w:pPr>
              <w:ind w:left="140"/>
              <w:spacing w:after="0"/>
              <w:rPr>
                <w:sz w:val="20"/>
                <w:szCs w:val="20"/>
                <w:color w:val="auto"/>
              </w:rPr>
            </w:pPr>
            <w:r>
              <w:rPr>
                <w:rFonts w:ascii="Arial" w:cs="Arial" w:eastAsia="Arial" w:hAnsi="Arial"/>
                <w:sz w:val="18"/>
                <w:szCs w:val="18"/>
                <w:b w:val="1"/>
                <w:bCs w:val="1"/>
                <w:color w:val="auto"/>
              </w:rPr>
              <w:t>Evergy</w:t>
            </w:r>
          </w:p>
        </w:tc>
        <w:tc>
          <w:tcPr>
            <w:tcW w:w="44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(millions)</w:t>
            </w:r>
          </w:p>
        </w:tc>
        <w:tc>
          <w:tcPr>
            <w:tcW w:w="1280" w:type="dxa"/>
            <w:vAlign w:val="bottom"/>
          </w:tcPr>
          <w:p>
            <w:pPr>
              <w:spacing w:after="0"/>
              <w:rPr>
                <w:sz w:val="19"/>
                <w:szCs w:val="19"/>
                <w:color w:val="auto"/>
              </w:rPr>
            </w:pPr>
          </w:p>
        </w:tc>
      </w:tr>
      <w:tr>
        <w:trPr>
          <w:trHeight w:val="230"/>
        </w:trPr>
        <w:tc>
          <w:tcPr>
            <w:tcW w:w="3600" w:type="dxa"/>
            <w:vAlign w:val="bottom"/>
          </w:tcPr>
          <w:p>
            <w:pPr>
              <w:jc w:val="center"/>
              <w:ind w:right="1470"/>
              <w:spacing w:after="0"/>
              <w:rPr>
                <w:sz w:val="20"/>
                <w:szCs w:val="20"/>
                <w:color w:val="auto"/>
              </w:rPr>
            </w:pPr>
            <w:r>
              <w:rPr>
                <w:rFonts w:ascii="Arial" w:cs="Arial" w:eastAsia="Arial" w:hAnsi="Arial"/>
                <w:sz w:val="18"/>
                <w:szCs w:val="18"/>
                <w:color w:val="auto"/>
                <w:w w:val="92"/>
              </w:rPr>
              <w:t>Commodity contracts</w:t>
            </w:r>
          </w:p>
        </w:tc>
        <w:tc>
          <w:tcPr>
            <w:tcW w:w="4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w:t>
            </w:r>
          </w:p>
        </w:tc>
        <w:tc>
          <w:tcPr>
            <w:tcW w:w="4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4"/>
              </w:rPr>
              <w:t>MWhs</w:t>
            </w:r>
          </w:p>
        </w:tc>
        <w:tc>
          <w:tcPr>
            <w:tcW w:w="188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26.0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9"/>
        </w:trPr>
        <w:tc>
          <w:tcPr>
            <w:tcW w:w="3600" w:type="dxa"/>
            <w:vAlign w:val="bottom"/>
          </w:tcPr>
          <w:p>
            <w:pPr>
              <w:ind w:left="360"/>
              <w:spacing w:after="0"/>
              <w:rPr>
                <w:sz w:val="20"/>
                <w:szCs w:val="20"/>
                <w:color w:val="auto"/>
              </w:rPr>
            </w:pPr>
            <w:r>
              <w:rPr>
                <w:rFonts w:ascii="Arial" w:cs="Arial" w:eastAsia="Arial" w:hAnsi="Arial"/>
                <w:sz w:val="18"/>
                <w:szCs w:val="18"/>
                <w:color w:val="auto"/>
              </w:rPr>
              <w:t>Natural gas</w:t>
            </w:r>
          </w:p>
        </w:tc>
        <w:tc>
          <w:tcPr>
            <w:tcW w:w="4480" w:type="dxa"/>
            <w:vAlign w:val="bottom"/>
          </w:tcPr>
          <w:p>
            <w:pPr>
              <w:jc w:val="center"/>
              <w:ind w:left="1290"/>
              <w:spacing w:after="0"/>
              <w:rPr>
                <w:sz w:val="20"/>
                <w:szCs w:val="20"/>
                <w:color w:val="auto"/>
              </w:rPr>
            </w:pPr>
            <w:r>
              <w:rPr>
                <w:rFonts w:ascii="Arial" w:cs="Arial" w:eastAsia="Arial" w:hAnsi="Arial"/>
                <w:sz w:val="18"/>
                <w:szCs w:val="18"/>
                <w:color w:val="auto"/>
              </w:rPr>
              <w:t>MMBtu</w:t>
            </w:r>
          </w:p>
        </w:tc>
        <w:tc>
          <w:tcPr>
            <w:tcW w:w="1880" w:type="dxa"/>
            <w:vAlign w:val="bottom"/>
          </w:tcPr>
          <w:p>
            <w:pPr>
              <w:jc w:val="right"/>
              <w:ind w:right="431"/>
              <w:spacing w:after="0"/>
              <w:rPr>
                <w:sz w:val="20"/>
                <w:szCs w:val="20"/>
                <w:color w:val="auto"/>
              </w:rPr>
            </w:pPr>
            <w:r>
              <w:rPr>
                <w:rFonts w:ascii="Arial" w:cs="Arial" w:eastAsia="Arial" w:hAnsi="Arial"/>
                <w:sz w:val="18"/>
                <w:szCs w:val="18"/>
                <w:color w:val="auto"/>
              </w:rPr>
              <w:t>367.6</w:t>
            </w:r>
          </w:p>
        </w:tc>
        <w:tc>
          <w:tcPr>
            <w:tcW w:w="1280" w:type="dxa"/>
            <w:vAlign w:val="bottom"/>
          </w:tcPr>
          <w:p>
            <w:pPr>
              <w:jc w:val="right"/>
              <w:spacing w:after="0"/>
              <w:rPr>
                <w:sz w:val="20"/>
                <w:szCs w:val="20"/>
                <w:color w:val="auto"/>
              </w:rPr>
            </w:pPr>
            <w:r>
              <w:rPr>
                <w:rFonts w:ascii="Arial" w:cs="Arial" w:eastAsia="Arial" w:hAnsi="Arial"/>
                <w:sz w:val="18"/>
                <w:szCs w:val="18"/>
                <w:color w:val="auto"/>
              </w:rPr>
              <w:t>772.7</w:t>
            </w:r>
          </w:p>
        </w:tc>
      </w:tr>
      <w:tr>
        <w:trPr>
          <w:trHeight w:val="230"/>
        </w:trPr>
        <w:tc>
          <w:tcPr>
            <w:tcW w:w="3600" w:type="dxa"/>
            <w:vAlign w:val="bottom"/>
            <w:shd w:val="clear" w:color="auto" w:fill="CCEEFF"/>
          </w:tcPr>
          <w:p>
            <w:pPr>
              <w:jc w:val="center"/>
              <w:ind w:right="1450"/>
              <w:spacing w:after="0"/>
              <w:rPr>
                <w:sz w:val="20"/>
                <w:szCs w:val="20"/>
                <w:color w:val="auto"/>
              </w:rPr>
            </w:pPr>
            <w:r>
              <w:rPr>
                <w:rFonts w:ascii="Arial" w:cs="Arial" w:eastAsia="Arial" w:hAnsi="Arial"/>
                <w:sz w:val="18"/>
                <w:szCs w:val="18"/>
                <w:b w:val="1"/>
                <w:bCs w:val="1"/>
                <w:color w:val="auto"/>
                <w:w w:val="90"/>
              </w:rPr>
              <w:t>Evergy Kansas Central</w:t>
            </w:r>
          </w:p>
        </w:tc>
        <w:tc>
          <w:tcPr>
            <w:tcW w:w="44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600" w:type="dxa"/>
            <w:vAlign w:val="bottom"/>
          </w:tcPr>
          <w:p>
            <w:pPr>
              <w:jc w:val="center"/>
              <w:ind w:right="1470"/>
              <w:spacing w:after="0"/>
              <w:rPr>
                <w:sz w:val="20"/>
                <w:szCs w:val="20"/>
                <w:color w:val="auto"/>
              </w:rPr>
            </w:pPr>
            <w:r>
              <w:rPr>
                <w:rFonts w:ascii="Arial" w:cs="Arial" w:eastAsia="Arial" w:hAnsi="Arial"/>
                <w:sz w:val="18"/>
                <w:szCs w:val="18"/>
                <w:color w:val="auto"/>
                <w:w w:val="92"/>
              </w:rPr>
              <w:t>Commodity contracts</w:t>
            </w:r>
          </w:p>
        </w:tc>
        <w:tc>
          <w:tcPr>
            <w:tcW w:w="4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w:t>
            </w:r>
          </w:p>
        </w:tc>
        <w:tc>
          <w:tcPr>
            <w:tcW w:w="448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4"/>
              </w:rPr>
              <w:t>MWhs</w:t>
            </w:r>
          </w:p>
        </w:tc>
        <w:tc>
          <w:tcPr>
            <w:tcW w:w="188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15.7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3600" w:type="dxa"/>
            <w:vAlign w:val="bottom"/>
          </w:tcPr>
          <w:p>
            <w:pPr>
              <w:ind w:left="360"/>
              <w:spacing w:after="0"/>
              <w:rPr>
                <w:sz w:val="20"/>
                <w:szCs w:val="20"/>
                <w:color w:val="auto"/>
              </w:rPr>
            </w:pPr>
            <w:r>
              <w:rPr>
                <w:rFonts w:ascii="Arial" w:cs="Arial" w:eastAsia="Arial" w:hAnsi="Arial"/>
                <w:sz w:val="18"/>
                <w:szCs w:val="18"/>
                <w:color w:val="auto"/>
              </w:rPr>
              <w:t>Natural gas</w:t>
            </w:r>
          </w:p>
        </w:tc>
        <w:tc>
          <w:tcPr>
            <w:tcW w:w="4480" w:type="dxa"/>
            <w:vAlign w:val="bottom"/>
          </w:tcPr>
          <w:p>
            <w:pPr>
              <w:jc w:val="center"/>
              <w:ind w:left="1290"/>
              <w:spacing w:after="0"/>
              <w:rPr>
                <w:sz w:val="20"/>
                <w:szCs w:val="20"/>
                <w:color w:val="auto"/>
              </w:rPr>
            </w:pPr>
            <w:r>
              <w:rPr>
                <w:rFonts w:ascii="Arial" w:cs="Arial" w:eastAsia="Arial" w:hAnsi="Arial"/>
                <w:sz w:val="18"/>
                <w:szCs w:val="18"/>
                <w:color w:val="auto"/>
              </w:rPr>
              <w:t>MMBtu</w:t>
            </w:r>
          </w:p>
        </w:tc>
        <w:tc>
          <w:tcPr>
            <w:tcW w:w="1880" w:type="dxa"/>
            <w:vAlign w:val="bottom"/>
          </w:tcPr>
          <w:p>
            <w:pPr>
              <w:jc w:val="right"/>
              <w:ind w:right="431"/>
              <w:spacing w:after="0"/>
              <w:rPr>
                <w:sz w:val="20"/>
                <w:szCs w:val="20"/>
                <w:color w:val="auto"/>
              </w:rPr>
            </w:pPr>
            <w:r>
              <w:rPr>
                <w:rFonts w:ascii="Arial" w:cs="Arial" w:eastAsia="Arial" w:hAnsi="Arial"/>
                <w:sz w:val="18"/>
                <w:szCs w:val="18"/>
                <w:color w:val="auto"/>
              </w:rPr>
              <w:t>361.2</w:t>
            </w:r>
          </w:p>
        </w:tc>
        <w:tc>
          <w:tcPr>
            <w:tcW w:w="1280" w:type="dxa"/>
            <w:vAlign w:val="bottom"/>
          </w:tcPr>
          <w:p>
            <w:pPr>
              <w:jc w:val="right"/>
              <w:spacing w:after="0"/>
              <w:rPr>
                <w:sz w:val="20"/>
                <w:szCs w:val="20"/>
                <w:color w:val="auto"/>
              </w:rPr>
            </w:pPr>
            <w:r>
              <w:rPr>
                <w:rFonts w:ascii="Arial" w:cs="Arial" w:eastAsia="Arial" w:hAnsi="Arial"/>
                <w:sz w:val="18"/>
                <w:szCs w:val="18"/>
                <w:color w:val="auto"/>
              </w:rPr>
              <w:t>769.6</w:t>
            </w:r>
          </w:p>
        </w:tc>
      </w:tr>
      <w:tr>
        <w:trPr>
          <w:trHeight w:val="229"/>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Evergy Metro</w:t>
            </w:r>
          </w:p>
        </w:tc>
        <w:tc>
          <w:tcPr>
            <w:tcW w:w="44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600" w:type="dxa"/>
            <w:vAlign w:val="bottom"/>
          </w:tcPr>
          <w:p>
            <w:pPr>
              <w:jc w:val="center"/>
              <w:ind w:right="1470"/>
              <w:spacing w:after="0"/>
              <w:rPr>
                <w:sz w:val="20"/>
                <w:szCs w:val="20"/>
                <w:color w:val="auto"/>
              </w:rPr>
            </w:pPr>
            <w:r>
              <w:rPr>
                <w:rFonts w:ascii="Arial" w:cs="Arial" w:eastAsia="Arial" w:hAnsi="Arial"/>
                <w:sz w:val="18"/>
                <w:szCs w:val="18"/>
                <w:color w:val="auto"/>
                <w:w w:val="92"/>
              </w:rPr>
              <w:t>Commodity contracts</w:t>
            </w:r>
          </w:p>
        </w:tc>
        <w:tc>
          <w:tcPr>
            <w:tcW w:w="4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36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Power</w:t>
            </w:r>
          </w:p>
        </w:tc>
        <w:tc>
          <w:tcPr>
            <w:tcW w:w="4480" w:type="dxa"/>
            <w:vAlign w:val="bottom"/>
            <w:tcBorders>
              <w:bottom w:val="single" w:sz="8" w:color="auto"/>
            </w:tcBorders>
            <w:shd w:val="clear" w:color="auto" w:fill="CCEEFF"/>
          </w:tcPr>
          <w:p>
            <w:pPr>
              <w:jc w:val="center"/>
              <w:ind w:left="1270"/>
              <w:spacing w:after="0"/>
              <w:rPr>
                <w:sz w:val="20"/>
                <w:szCs w:val="20"/>
                <w:color w:val="auto"/>
              </w:rPr>
            </w:pPr>
            <w:r>
              <w:rPr>
                <w:rFonts w:ascii="Arial" w:cs="Arial" w:eastAsia="Arial" w:hAnsi="Arial"/>
                <w:sz w:val="18"/>
                <w:szCs w:val="18"/>
                <w:color w:val="auto"/>
                <w:w w:val="94"/>
              </w:rPr>
              <w:t>MWhs</w:t>
            </w:r>
          </w:p>
        </w:tc>
        <w:tc>
          <w:tcPr>
            <w:tcW w:w="188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7.3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bl>
    <w:p>
      <w:pPr>
        <w:spacing w:after="0" w:line="267"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The fair values of Evergy's open derivative positions and balance sheet classifications are summarized in the following tables. The fair values below are gross values before netting agreements and netting of cash collateral.</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December 31</w:t>
            </w:r>
          </w:p>
        </w:tc>
      </w:tr>
      <w:tr>
        <w:trPr>
          <w:trHeight w:val="234"/>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w:t>
            </w:r>
          </w:p>
        </w:tc>
        <w:tc>
          <w:tcPr>
            <w:tcW w:w="4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Balance sheet location</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assets - 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31.3</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Arial" w:cs="Arial" w:eastAsia="Arial" w:hAnsi="Arial"/>
                <w:sz w:val="18"/>
                <w:szCs w:val="18"/>
                <w:color w:val="auto"/>
              </w:rPr>
              <w:t>Other assets - long-term</w:t>
            </w:r>
          </w:p>
        </w:tc>
        <w:tc>
          <w:tcPr>
            <w:tcW w:w="240" w:type="dxa"/>
            <w:vAlign w:val="bottom"/>
          </w:tcPr>
          <w:p>
            <w:pPr>
              <w:spacing w:after="0"/>
              <w:rPr>
                <w:sz w:val="19"/>
                <w:szCs w:val="19"/>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45.4</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assets - current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112.0</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Arial" w:cs="Arial" w:eastAsia="Arial" w:hAnsi="Arial"/>
                <w:sz w:val="18"/>
                <w:szCs w:val="18"/>
                <w:color w:val="auto"/>
              </w:rPr>
              <w:t>Other assets - long-term</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189.8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liabilities - 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Arial" w:cs="Arial" w:eastAsia="Arial" w:hAnsi="Arial"/>
                <w:sz w:val="18"/>
                <w:szCs w:val="18"/>
                <w:color w:val="auto"/>
              </w:rPr>
              <w:t>Other liabilities - long-term</w:t>
            </w:r>
          </w:p>
        </w:tc>
        <w:tc>
          <w:tcPr>
            <w:tcW w:w="240" w:type="dxa"/>
            <w:vAlign w:val="bottom"/>
          </w:tcPr>
          <w:p>
            <w:pPr>
              <w:spacing w:after="0"/>
              <w:rPr>
                <w:sz w:val="19"/>
                <w:szCs w:val="19"/>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42.1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liabilities - current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107.1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Arial" w:cs="Arial" w:eastAsia="Arial" w:hAnsi="Arial"/>
                <w:sz w:val="18"/>
                <w:szCs w:val="18"/>
                <w:color w:val="auto"/>
              </w:rPr>
              <w:t>Other liabilities - long-term</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176.2</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r>
      <w:tr>
        <w:trPr>
          <w:trHeight w:val="850"/>
        </w:trPr>
        <w:tc>
          <w:tcPr>
            <w:tcW w:w="3480" w:type="dxa"/>
            <w:vAlign w:val="bottom"/>
          </w:tcPr>
          <w:p>
            <w:pPr>
              <w:spacing w:after="0"/>
              <w:rPr>
                <w:sz w:val="24"/>
                <w:szCs w:val="24"/>
                <w:color w:val="auto"/>
              </w:rPr>
            </w:pPr>
          </w:p>
        </w:tc>
        <w:tc>
          <w:tcPr>
            <w:tcW w:w="4520" w:type="dxa"/>
            <w:vAlign w:val="bottom"/>
          </w:tcPr>
          <w:p>
            <w:pPr>
              <w:ind w:left="206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December 31</w:t>
            </w:r>
          </w:p>
        </w:tc>
      </w:tr>
      <w:tr>
        <w:trPr>
          <w:trHeight w:val="234"/>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4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Balance sheet location</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assets - 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Arial" w:cs="Arial" w:eastAsia="Arial" w:hAnsi="Arial"/>
                <w:sz w:val="18"/>
                <w:szCs w:val="18"/>
                <w:color w:val="auto"/>
              </w:rPr>
              <w:t>Other assets - long-term</w:t>
            </w:r>
          </w:p>
        </w:tc>
        <w:tc>
          <w:tcPr>
            <w:tcW w:w="240" w:type="dxa"/>
            <w:vAlign w:val="bottom"/>
          </w:tcPr>
          <w:p>
            <w:pPr>
              <w:spacing w:after="0"/>
              <w:rPr>
                <w:sz w:val="19"/>
                <w:szCs w:val="19"/>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45.4</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assets - current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112.0</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Arial" w:cs="Arial" w:eastAsia="Arial" w:hAnsi="Arial"/>
                <w:sz w:val="18"/>
                <w:szCs w:val="18"/>
                <w:color w:val="auto"/>
              </w:rPr>
              <w:t>Other assets - long-term</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186.2</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liabilities - current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30"/>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Arial" w:cs="Arial" w:eastAsia="Arial" w:hAnsi="Arial"/>
                <w:sz w:val="18"/>
                <w:szCs w:val="18"/>
                <w:color w:val="auto"/>
              </w:rPr>
              <w:t>Other liabilities - long-term</w:t>
            </w:r>
          </w:p>
        </w:tc>
        <w:tc>
          <w:tcPr>
            <w:tcW w:w="240" w:type="dxa"/>
            <w:vAlign w:val="bottom"/>
          </w:tcPr>
          <w:p>
            <w:pPr>
              <w:spacing w:after="0"/>
              <w:rPr>
                <w:sz w:val="19"/>
                <w:szCs w:val="19"/>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42.1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liabilities - current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104.4</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Arial" w:cs="Arial" w:eastAsia="Arial" w:hAnsi="Arial"/>
                <w:sz w:val="18"/>
                <w:szCs w:val="18"/>
                <w:color w:val="auto"/>
              </w:rPr>
              <w:t>Other liabilities - long-term</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164.5</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December 31</w:t>
            </w:r>
          </w:p>
        </w:tc>
      </w:tr>
      <w:tr>
        <w:trPr>
          <w:trHeight w:val="234"/>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Metro</w:t>
            </w:r>
          </w:p>
        </w:tc>
        <w:tc>
          <w:tcPr>
            <w:tcW w:w="4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Balance sheet location</w:t>
            </w: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4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w:t>
            </w:r>
          </w:p>
        </w:tc>
        <w:tc>
          <w:tcPr>
            <w:tcW w:w="45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Other assets - current</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2.2</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Total derivative assets</w:t>
            </w:r>
          </w:p>
        </w:tc>
        <w:tc>
          <w:tcPr>
            <w:tcW w:w="4520" w:type="dxa"/>
            <w:vAlign w:val="bottom"/>
          </w:tcPr>
          <w:p>
            <w:pPr>
              <w:spacing w:after="0"/>
              <w:rPr>
                <w:sz w:val="19"/>
                <w:szCs w:val="19"/>
                <w:color w:val="auto"/>
              </w:rPr>
            </w:pP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w w:val="95"/>
              </w:rPr>
              <w:t>2.2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w:t>
            </w:r>
          </w:p>
        </w:tc>
        <w:tc>
          <w:tcPr>
            <w:tcW w:w="4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Power</w:t>
            </w:r>
          </w:p>
        </w:tc>
        <w:tc>
          <w:tcPr>
            <w:tcW w:w="4520" w:type="dxa"/>
            <w:vAlign w:val="bottom"/>
            <w:tcBorders>
              <w:bottom w:val="single" w:sz="8" w:color="CCEEFF"/>
            </w:tcBorders>
          </w:tcPr>
          <w:p>
            <w:pPr>
              <w:ind w:left="1580"/>
              <w:spacing w:after="0"/>
              <w:rPr>
                <w:sz w:val="20"/>
                <w:szCs w:val="20"/>
                <w:color w:val="auto"/>
              </w:rPr>
            </w:pPr>
            <w:r>
              <w:rPr>
                <w:rFonts w:ascii="Arial" w:cs="Arial" w:eastAsia="Arial" w:hAnsi="Arial"/>
                <w:sz w:val="18"/>
                <w:szCs w:val="18"/>
                <w:color w:val="auto"/>
              </w:rPr>
              <w:t>Other liabilities - current</w:t>
            </w: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5"/>
              </w:rPr>
              <w:t>5.8</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5.8</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280" w:lineRule="exact"/>
        <w:rPr>
          <w:sz w:val="20"/>
          <w:szCs w:val="20"/>
          <w:color w:val="auto"/>
        </w:rPr>
      </w:pPr>
    </w:p>
    <w:p>
      <w:pPr>
        <w:jc w:val="both"/>
        <w:ind w:right="160"/>
        <w:spacing w:after="0" w:line="264" w:lineRule="auto"/>
        <w:rPr>
          <w:sz w:val="20"/>
          <w:szCs w:val="20"/>
          <w:color w:val="auto"/>
        </w:rPr>
      </w:pPr>
      <w:r>
        <w:rPr>
          <w:rFonts w:ascii="Arial" w:cs="Arial" w:eastAsia="Arial" w:hAnsi="Arial"/>
          <w:sz w:val="20"/>
          <w:szCs w:val="20"/>
          <w:color w:val="auto"/>
        </w:rPr>
        <w:t>The following tables present the line items on the Evergy Companies' consolidated balance sheets where derivative assets and liabilities are reported. The gross amounts offset in the tables below show the effect of master netting arrangements and include collateral posted to offset the net position.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center"/>
              <w:ind w:right="91"/>
              <w:spacing w:after="0" w:line="202" w:lineRule="exact"/>
              <w:rPr>
                <w:sz w:val="20"/>
                <w:szCs w:val="20"/>
                <w:color w:val="auto"/>
              </w:rPr>
            </w:pPr>
            <w:r>
              <w:rPr>
                <w:rFonts w:ascii="Arial" w:cs="Arial" w:eastAsia="Arial" w:hAnsi="Arial"/>
                <w:sz w:val="18"/>
                <w:szCs w:val="18"/>
                <w:b w:val="1"/>
                <w:bCs w:val="1"/>
                <w:color w:val="auto"/>
                <w:w w:val="88"/>
              </w:rPr>
              <w:t>Evergy Kansas</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4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March 31, 2023</w:t>
            </w: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Evergy</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Evergy Metro</w:t>
            </w:r>
          </w:p>
        </w:tc>
      </w:tr>
      <w:tr>
        <w:trPr>
          <w:trHeight w:val="222"/>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Derivative Assets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right="91"/>
              <w:spacing w:after="0"/>
              <w:rPr>
                <w:sz w:val="20"/>
                <w:szCs w:val="20"/>
                <w:color w:val="auto"/>
              </w:rPr>
            </w:pPr>
            <w:r>
              <w:rPr>
                <w:rFonts w:ascii="Arial" w:cs="Arial" w:eastAsia="Arial" w:hAnsi="Arial"/>
                <w:sz w:val="16"/>
                <w:szCs w:val="16"/>
                <w:color w:val="auto"/>
                <w:w w:val="96"/>
              </w:rPr>
              <w:t>(millions)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amounts presented in other assets - 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w:t>
            </w: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23"/>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amounts presented in other assets - long-term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300" w:type="dxa"/>
            <w:vAlign w:val="bottom"/>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133.0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amounts presented in other liabilities - current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0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r>
      <w:tr>
        <w:trPr>
          <w:trHeight w:val="223"/>
        </w:trPr>
        <w:tc>
          <w:tcPr>
            <w:tcW w:w="6300" w:type="dxa"/>
            <w:vAlign w:val="bottom"/>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amounts presented in other liabilities - long-term</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center"/>
              <w:ind w:right="91"/>
              <w:spacing w:after="0" w:line="202" w:lineRule="exact"/>
              <w:rPr>
                <w:sz w:val="20"/>
                <w:szCs w:val="20"/>
                <w:color w:val="auto"/>
              </w:rPr>
            </w:pPr>
            <w:r>
              <w:rPr>
                <w:rFonts w:ascii="Arial" w:cs="Arial" w:eastAsia="Arial" w:hAnsi="Arial"/>
                <w:sz w:val="18"/>
                <w:szCs w:val="18"/>
                <w:b w:val="1"/>
                <w:bCs w:val="1"/>
                <w:color w:val="auto"/>
                <w:w w:val="88"/>
              </w:rPr>
              <w:t>Evergy Kansas</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4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2022</w:t>
            </w: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Evergy</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Evergy Metro</w:t>
            </w:r>
          </w:p>
        </w:tc>
      </w:tr>
      <w:tr>
        <w:trPr>
          <w:trHeight w:val="222"/>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Derivative Assets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right="91"/>
              <w:spacing w:after="0"/>
              <w:rPr>
                <w:sz w:val="20"/>
                <w:szCs w:val="20"/>
                <w:color w:val="auto"/>
              </w:rPr>
            </w:pPr>
            <w:r>
              <w:rPr>
                <w:rFonts w:ascii="Arial" w:cs="Arial" w:eastAsia="Arial" w:hAnsi="Arial"/>
                <w:sz w:val="16"/>
                <w:szCs w:val="16"/>
                <w:color w:val="auto"/>
                <w:w w:val="96"/>
              </w:rPr>
              <w:t>(millions)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amounts presented in other assets - 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w:t>
            </w: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23"/>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amounts presented in other assets - long-term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300" w:type="dxa"/>
            <w:vAlign w:val="bottom"/>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259.8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amounts presented in other liabilities - current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0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r>
      <w:tr>
        <w:trPr>
          <w:trHeight w:val="223"/>
        </w:trPr>
        <w:tc>
          <w:tcPr>
            <w:tcW w:w="6300" w:type="dxa"/>
            <w:vAlign w:val="bottom"/>
          </w:tcPr>
          <w:p>
            <w:pPr>
              <w:ind w:left="240"/>
              <w:spacing w:after="0"/>
              <w:rPr>
                <w:sz w:val="20"/>
                <w:szCs w:val="20"/>
                <w:color w:val="auto"/>
              </w:rPr>
            </w:pPr>
            <w:r>
              <w:rPr>
                <w:rFonts w:ascii="Arial" w:cs="Arial" w:eastAsia="Arial" w:hAnsi="Arial"/>
                <w:sz w:val="18"/>
                <w:szCs w:val="18"/>
                <w:color w:val="auto"/>
              </w:rPr>
              <w:t>Gross amounts recognized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amounts presented in other liabilities - long-term</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94"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following table summarizes the amounts of gain (loss) recognized in income for the change in fair value of derivatives not designated as hedging instruments for the Evergy Companies.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51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of gain (loss)</w:t>
            </w:r>
          </w:p>
        </w:tc>
        <w:tc>
          <w:tcPr>
            <w:tcW w:w="51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Contract type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3"/>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19"/>
                <w:szCs w:val="19"/>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51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Commodity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3060" w:type="dxa"/>
            <w:vAlign w:val="bottom"/>
          </w:tcPr>
          <w:p>
            <w:pPr>
              <w:ind w:left="240"/>
              <w:spacing w:after="0"/>
              <w:rPr>
                <w:sz w:val="20"/>
                <w:szCs w:val="20"/>
                <w:color w:val="auto"/>
              </w:rPr>
            </w:pPr>
            <w:r>
              <w:rPr>
                <w:rFonts w:ascii="Arial" w:cs="Arial" w:eastAsia="Arial" w:hAnsi="Arial"/>
                <w:sz w:val="18"/>
                <w:szCs w:val="18"/>
                <w:color w:val="auto"/>
              </w:rPr>
              <w:t>Total</w:t>
            </w:r>
          </w:p>
        </w:tc>
        <w:tc>
          <w:tcPr>
            <w:tcW w:w="5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5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revenues</w:t>
            </w:r>
          </w:p>
        </w:tc>
        <w:tc>
          <w:tcPr>
            <w:tcW w:w="516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Commodity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30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1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bl>
    <w:p>
      <w:pPr>
        <w:spacing w:after="0" w:line="2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March 31, 2023, if counterparty groups completely failed to perform on contracts, Evergy's and Evergy Kansas Central's maximum exposure related to derivative assets was $50.3 million. As of March 31, 2023, the potential loss after the consideration of applicable master netting arrangements and collateral received for Evergy and Evergy Kansas Central was $37.5 million.</w:t>
      </w:r>
    </w:p>
    <w:p>
      <w:pPr>
        <w:spacing w:after="0" w:line="174"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Certain of the Evergy Companies' derivative instruments contain collateral provisions that are tied to the Evergy Companies' credit ratings and may require the posting of collateral for various reasons, including if the Evergy Companies' credit ratings were to fall below investment grade. Substantially all of these derivative instruments relate to Evergy Kansas Central's non-regulated energy marketing activities. The aggregate fair value of all derivative instruments with credit-risk-related contingent features that were in a liability position as of March 31, 2023, was $39.9 million for which Evergy and Evergy Kansas Central have posted collateral of $3.9 million in the normal course of business. If the credit-risk-related contingent features underlying these agreements were triggered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840"/>
        <w:spacing w:after="0" w:line="274" w:lineRule="auto"/>
        <w:rPr>
          <w:sz w:val="20"/>
          <w:szCs w:val="20"/>
          <w:color w:val="auto"/>
        </w:rPr>
      </w:pPr>
      <w:r>
        <w:rPr>
          <w:rFonts w:ascii="Arial" w:cs="Arial" w:eastAsia="Arial" w:hAnsi="Arial"/>
          <w:sz w:val="20"/>
          <w:szCs w:val="20"/>
          <w:color w:val="auto"/>
        </w:rPr>
        <w:t>as of March 31, 2023, Evergy and Evergy Kansas Central could be required to post an additional $33.4 million of collateral to their counterparties.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Values of Financial Instruments</w:t>
      </w:r>
    </w:p>
    <w:p>
      <w:pPr>
        <w:spacing w:after="0" w:line="22"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spacing w:after="0" w:line="173"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w:t>
      </w:r>
    </w:p>
    <w:p>
      <w:pPr>
        <w:spacing w:after="0" w:line="193" w:lineRule="exact"/>
        <w:rPr>
          <w:sz w:val="20"/>
          <w:szCs w:val="20"/>
          <w:color w:val="auto"/>
        </w:rPr>
      </w:pPr>
    </w:p>
    <w:p>
      <w:pPr>
        <w:ind w:right="400"/>
        <w:spacing w:after="0" w:line="255" w:lineRule="auto"/>
        <w:rPr>
          <w:sz w:val="20"/>
          <w:szCs w:val="20"/>
          <w:color w:val="auto"/>
        </w:rPr>
      </w:pPr>
      <w:r>
        <w:rPr>
          <w:rFonts w:ascii="Arial" w:cs="Arial" w:eastAsia="Arial" w:hAnsi="Arial"/>
          <w:sz w:val="20"/>
          <w:szCs w:val="20"/>
          <w:color w:val="auto"/>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spacing w:after="0" w:line="184"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6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Long-Term Debt</w:t>
      </w:r>
    </w:p>
    <w:p>
      <w:pPr>
        <w:spacing w:after="0" w:line="22"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March 31, 2023</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51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3"/>
                <w:szCs w:val="23"/>
                <w:b w:val="1"/>
                <w:bCs w:val="1"/>
                <w:color w:val="auto"/>
                <w:vertAlign w:val="superscript"/>
              </w:rPr>
              <w: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Evergy</w:t>
            </w:r>
            <w:r>
              <w:rPr>
                <w:rFonts w:ascii="Arial" w:cs="Arial" w:eastAsia="Arial" w:hAnsi="Arial"/>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10,236.6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10,344.8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4,331.4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3,936.9</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3,389.4</w:t>
            </w:r>
          </w:p>
        </w:tc>
      </w:tr>
      <w:tr>
        <w:trPr>
          <w:trHeight w:val="236"/>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2,924.9</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2,739.9</w:t>
            </w: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2,926.6</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2,661.7</w:t>
            </w:r>
          </w:p>
        </w:tc>
      </w:tr>
    </w:tbl>
    <w:p>
      <w:pPr>
        <w:spacing w:after="0" w:line="67"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current maturities.</w:t>
      </w:r>
    </w:p>
    <w:p>
      <w:pPr>
        <w:ind w:left="180" w:right="60" w:hanging="172"/>
        <w:spacing w:after="0" w:line="252" w:lineRule="auto"/>
        <w:tabs>
          <w:tab w:leader="none" w:pos="167"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Book value as of March 31, 2023 and December 31, 2022, includes $91.0 million and $92.1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Recurring Fair Value Measurements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the Evergy Companies' balances of financial assets and liabilities measured at fair value on a recurring basis.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1900" w:type="dxa"/>
            <w:vAlign w:val="bottom"/>
            <w:tcBorders>
              <w:top w:val="single" w:sz="8" w:color="auto"/>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March 31, 2023</w:t>
            </w: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7"/>
              </w:rPr>
              <w:t>Netting</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2"/>
              </w:rPr>
              <w:t>Level 2</w:t>
            </w:r>
          </w:p>
        </w:tc>
        <w:tc>
          <w:tcPr>
            <w:tcW w:w="3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Level 3</w:t>
            </w: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NAV</w:t>
            </w:r>
          </w:p>
        </w:tc>
      </w:tr>
      <w:tr>
        <w:trPr>
          <w:trHeight w:val="207"/>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6"/>
                <w:szCs w:val="16"/>
                <w:color w:val="auto"/>
              </w:rPr>
              <w:t>Assets</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3780" w:type="dxa"/>
            <w:vAlign w:val="bottom"/>
          </w:tcPr>
          <w:p>
            <w:pPr>
              <w:ind w:left="14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108.1</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378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67.3</w:t>
            </w:r>
          </w:p>
        </w:tc>
        <w:tc>
          <w:tcPr>
            <w:tcW w:w="3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67.3</w:t>
            </w:r>
          </w:p>
        </w:tc>
        <w:tc>
          <w:tcPr>
            <w:tcW w:w="30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52.9</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26.1</w:t>
            </w:r>
          </w:p>
        </w:tc>
        <w:tc>
          <w:tcPr>
            <w:tcW w:w="3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30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16.6</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33.5</w:t>
            </w:r>
          </w:p>
        </w:tc>
        <w:tc>
          <w:tcPr>
            <w:tcW w:w="3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19"/>
        </w:trPr>
        <w:tc>
          <w:tcPr>
            <w:tcW w:w="3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18.3</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13"/>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5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0.4</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335.1</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271.4</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w:t>
            </w:r>
          </w:p>
        </w:tc>
      </w:tr>
      <w:tr>
        <w:trPr>
          <w:trHeight w:val="193"/>
        </w:trPr>
        <w:tc>
          <w:tcPr>
            <w:tcW w:w="3780" w:type="dxa"/>
            <w:vAlign w:val="bottom"/>
          </w:tcPr>
          <w:p>
            <w:pPr>
              <w:ind w:left="140"/>
              <w:spacing w:after="0"/>
              <w:rPr>
                <w:sz w:val="20"/>
                <w:szCs w:val="20"/>
                <w:color w:val="auto"/>
              </w:rPr>
            </w:pPr>
            <w:r>
              <w:rPr>
                <w:rFonts w:ascii="Arial" w:cs="Arial" w:eastAsia="Arial" w:hAnsi="Arial"/>
                <w:sz w:val="16"/>
                <w:szCs w:val="16"/>
                <w:color w:val="auto"/>
              </w:rPr>
              <w:t>Rabbi trust</w:t>
            </w: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3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5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rabbi trust</w:t>
            </w:r>
          </w:p>
        </w:tc>
        <w:tc>
          <w:tcPr>
            <w:tcW w:w="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24.4</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780" w:type="dxa"/>
            <w:vAlign w:val="bottom"/>
          </w:tcPr>
          <w:p>
            <w:pPr>
              <w:ind w:left="140"/>
              <w:spacing w:after="0" w:line="19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Power</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48.1</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36.5</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15.6</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5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10.9</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111.9</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assets</w:t>
            </w:r>
          </w:p>
        </w:tc>
        <w:tc>
          <w:tcPr>
            <w:tcW w:w="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59.0</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132.9</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37.7</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15.6</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5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418.5</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428.7</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37.7</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15.6</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r>
      <w:tr>
        <w:trPr>
          <w:trHeight w:val="19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378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5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104.4</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liabilities</w:t>
            </w:r>
          </w:p>
        </w:tc>
        <w:tc>
          <w:tcPr>
            <w:tcW w:w="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45.6</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116.8</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42.5</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7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0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Assets</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37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378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260.6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260.6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3780" w:type="dxa"/>
            <w:vAlign w:val="bottom"/>
          </w:tcPr>
          <w:p>
            <w:pPr>
              <w:ind w:left="360"/>
              <w:spacing w:after="0"/>
              <w:rPr>
                <w:sz w:val="20"/>
                <w:szCs w:val="20"/>
                <w:color w:val="auto"/>
              </w:rPr>
            </w:pPr>
            <w:r>
              <w:rPr>
                <w:rFonts w:ascii="Arial" w:cs="Arial" w:eastAsia="Arial" w:hAnsi="Arial"/>
                <w:sz w:val="16"/>
                <w:szCs w:val="16"/>
                <w:color w:val="auto"/>
              </w:rPr>
              <w:t>U.S. Treasury</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44.5</w:t>
            </w:r>
          </w:p>
        </w:tc>
        <w:tc>
          <w:tcPr>
            <w:tcW w:w="3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44.5</w:t>
            </w:r>
          </w:p>
        </w:tc>
        <w:tc>
          <w:tcPr>
            <w:tcW w:w="30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 and local obligations</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Pr>
          <w:p>
            <w:pPr>
              <w:ind w:left="360"/>
              <w:spacing w:after="0"/>
              <w:rPr>
                <w:sz w:val="20"/>
                <w:szCs w:val="20"/>
                <w:color w:val="auto"/>
              </w:rPr>
            </w:pPr>
            <w:r>
              <w:rPr>
                <w:rFonts w:ascii="Arial" w:cs="Arial" w:eastAsia="Arial" w:hAnsi="Arial"/>
                <w:sz w:val="16"/>
                <w:szCs w:val="16"/>
                <w:color w:val="auto"/>
              </w:rPr>
              <w:t>Corporate bonds</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40.4</w:t>
            </w:r>
          </w:p>
        </w:tc>
        <w:tc>
          <w:tcPr>
            <w:tcW w:w="3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40.4</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governments</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5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354.4</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309.6</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44.8</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780" w:type="dxa"/>
            <w:vAlign w:val="bottom"/>
          </w:tcPr>
          <w:p>
            <w:pPr>
              <w:ind w:left="140"/>
              <w:spacing w:after="0" w:line="196"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(c)</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securities</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Pr>
          <w:p>
            <w:pPr>
              <w:ind w:left="220"/>
              <w:spacing w:after="0"/>
              <w:rPr>
                <w:sz w:val="20"/>
                <w:szCs w:val="20"/>
                <w:color w:val="auto"/>
              </w:rPr>
            </w:pPr>
            <w:r>
              <w:rPr>
                <w:rFonts w:ascii="Arial" w:cs="Arial" w:eastAsia="Arial" w:hAnsi="Arial"/>
                <w:sz w:val="16"/>
                <w:szCs w:val="16"/>
                <w:color w:val="auto"/>
              </w:rPr>
              <w:t>Debt securities</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3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4.8</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5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7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self-insured health plan trust</w:t>
            </w:r>
          </w:p>
        </w:tc>
        <w:tc>
          <w:tcPr>
            <w:tcW w:w="5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12.0</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3780" w:type="dxa"/>
            <w:vAlign w:val="bottom"/>
            <w:shd w:val="clear" w:color="auto" w:fill="CCEEFF"/>
          </w:tcPr>
          <w:p>
            <w:pPr>
              <w:ind w:left="140"/>
              <w:spacing w:after="0" w:line="199"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Power</w:t>
            </w:r>
          </w:p>
        </w:tc>
        <w:tc>
          <w:tcPr>
            <w:tcW w:w="5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assets</w:t>
            </w:r>
          </w:p>
        </w:tc>
        <w:tc>
          <w:tcPr>
            <w:tcW w:w="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5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366.4</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316.8</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49.6</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378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7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derivative liabilities</w:t>
            </w:r>
          </w:p>
        </w:tc>
        <w:tc>
          <w:tcPr>
            <w:tcW w:w="5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1900" w:type="dxa"/>
            <w:vAlign w:val="bottom"/>
            <w:tcBorders>
              <w:top w:val="single" w:sz="8" w:color="auto"/>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March 31, 2023</w:t>
            </w: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Netting</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Level 1</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Level 2</w:t>
            </w:r>
          </w:p>
        </w:tc>
        <w:tc>
          <w:tcPr>
            <w:tcW w:w="3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Level 3</w:t>
            </w: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NAV</w:t>
            </w:r>
          </w:p>
        </w:tc>
      </w:tr>
      <w:tr>
        <w:trPr>
          <w:trHeight w:val="207"/>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Other Evergy</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6"/>
                <w:szCs w:val="16"/>
                <w:color w:val="auto"/>
              </w:rPr>
              <w:t>Assets</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3780" w:type="dxa"/>
            <w:vAlign w:val="bottom"/>
          </w:tcPr>
          <w:p>
            <w:pPr>
              <w:ind w:left="180"/>
              <w:spacing w:after="0"/>
              <w:rPr>
                <w:sz w:val="20"/>
                <w:szCs w:val="20"/>
                <w:color w:val="auto"/>
              </w:rPr>
            </w:pPr>
            <w:r>
              <w:rPr>
                <w:rFonts w:ascii="Arial" w:cs="Arial" w:eastAsia="Arial" w:hAnsi="Arial"/>
                <w:sz w:val="16"/>
                <w:szCs w:val="16"/>
                <w:color w:val="auto"/>
              </w:rPr>
              <w:t>Rabbi trusts</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9"/>
        </w:trPr>
        <w:tc>
          <w:tcPr>
            <w:tcW w:w="3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bond fund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7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rabbi trusts</w:t>
            </w:r>
          </w:p>
        </w:tc>
        <w:tc>
          <w:tcPr>
            <w:tcW w:w="54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9.3</w:t>
            </w: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3780" w:type="dxa"/>
            <w:vAlign w:val="bottom"/>
            <w:shd w:val="clear" w:color="auto" w:fill="CCEEFF"/>
          </w:tcPr>
          <w:p>
            <w:pPr>
              <w:ind w:left="140"/>
              <w:spacing w:after="0" w:line="199"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Power</w:t>
            </w:r>
          </w:p>
        </w:tc>
        <w:tc>
          <w:tcPr>
            <w:tcW w:w="5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assets</w:t>
            </w: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5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3780" w:type="dxa"/>
            <w:vAlign w:val="bottom"/>
          </w:tcPr>
          <w:p>
            <w:pPr>
              <w:ind w:left="120"/>
              <w:spacing w:after="0"/>
              <w:rPr>
                <w:sz w:val="20"/>
                <w:szCs w:val="20"/>
                <w:color w:val="auto"/>
              </w:rPr>
            </w:pPr>
            <w:r>
              <w:rPr>
                <w:rFonts w:ascii="Arial" w:cs="Arial" w:eastAsia="Arial" w:hAnsi="Arial"/>
                <w:sz w:val="16"/>
                <w:szCs w:val="16"/>
                <w:color w:val="auto"/>
              </w:rPr>
              <w:t>Derivative instruments</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3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Power</w:t>
            </w: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Natural gas</w:t>
            </w:r>
          </w:p>
        </w:tc>
        <w:tc>
          <w:tcPr>
            <w:tcW w:w="5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liabilities</w:t>
            </w: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7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Assets</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37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689.5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581.0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44.8</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Rabbi trusts</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33.7</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(c)</w:t>
            </w: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8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Power</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48.1</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36.5</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19.2</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Natural gas</w:t>
            </w:r>
          </w:p>
        </w:tc>
        <w:tc>
          <w:tcPr>
            <w:tcW w:w="5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10.9</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(102.2)</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111.9</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derivative assets</w:t>
            </w: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59.0</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(130.8)</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132.9</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37.7</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19.2</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5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794.2</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(130.8)</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754.8</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87.3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19.2</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r>
      <w:tr>
        <w:trPr>
          <w:trHeight w:val="19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378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Power</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47.7</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12.9</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Natural gas</w:t>
            </w:r>
          </w:p>
        </w:tc>
        <w:tc>
          <w:tcPr>
            <w:tcW w:w="5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(102.2)</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104.4</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53.7</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(122.5)</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118.1</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45.2</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12.9</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7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40" w:type="dxa"/>
            <w:vAlign w:val="bottom"/>
            <w:tcBorders>
              <w:top w:val="single" w:sz="8" w:color="auto"/>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2"/>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2"/>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NAV</w:t>
            </w:r>
          </w:p>
        </w:tc>
      </w:tr>
      <w:tr>
        <w:trPr>
          <w:trHeight w:val="207"/>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6"/>
                <w:szCs w:val="16"/>
                <w:color w:val="auto"/>
              </w:rPr>
              <w:t>(millions)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040" w:type="dxa"/>
            <w:vAlign w:val="bottom"/>
          </w:tcPr>
          <w:p>
            <w:pPr>
              <w:ind w:left="18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62.9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62.9</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51.0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25.3</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25.3</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31.8</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0.4</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318.8</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256.0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w:t>
            </w:r>
          </w:p>
        </w:tc>
      </w:tr>
      <w:tr>
        <w:trPr>
          <w:trHeight w:val="193"/>
        </w:trPr>
        <w:tc>
          <w:tcPr>
            <w:tcW w:w="4040" w:type="dxa"/>
            <w:vAlign w:val="bottom"/>
          </w:tcPr>
          <w:p>
            <w:pPr>
              <w:ind w:left="180"/>
              <w:spacing w:after="0"/>
              <w:rPr>
                <w:sz w:val="20"/>
                <w:szCs w:val="20"/>
                <w:color w:val="auto"/>
              </w:rPr>
            </w:pPr>
            <w:r>
              <w:rPr>
                <w:rFonts w:ascii="Arial" w:cs="Arial" w:eastAsia="Arial" w:hAnsi="Arial"/>
                <w:sz w:val="16"/>
                <w:szCs w:val="16"/>
                <w:color w:val="auto"/>
              </w:rPr>
              <w:t>Rabbi trust</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rabbi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24.9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24.9</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42.6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222.5</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268.0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393.6</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548.9</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46.6</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10.3</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r>
      <w:tr>
        <w:trPr>
          <w:trHeight w:val="19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55.9</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216.6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48.0</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(265.8)</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250.6</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56.0</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3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243.4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243.4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U.S. Treasury</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40.7</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40.7</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Agency</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State and local obligations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bonds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39.1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Foreign governments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6.6</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nuclear decommissioning trust</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334.5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291.1</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43.4</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04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(c)</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self-insured health plan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11.2</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derivative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345.7</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296.8</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48.9</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40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Power</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3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2"/>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2"/>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NAV</w:t>
            </w:r>
          </w:p>
        </w:tc>
      </w:tr>
      <w:tr>
        <w:trPr>
          <w:trHeight w:val="207"/>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Other Evergy</w:t>
            </w: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6"/>
                <w:szCs w:val="16"/>
                <w:color w:val="auto"/>
              </w:rPr>
              <w:t>(millions)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tcPr>
          <w:p>
            <w:pPr>
              <w:ind w:left="180"/>
              <w:spacing w:after="0"/>
              <w:rPr>
                <w:sz w:val="20"/>
                <w:szCs w:val="20"/>
                <w:color w:val="auto"/>
              </w:rPr>
            </w:pPr>
            <w:r>
              <w:rPr>
                <w:rFonts w:ascii="Arial" w:cs="Arial" w:eastAsia="Arial" w:hAnsi="Arial"/>
                <w:sz w:val="16"/>
                <w:szCs w:val="16"/>
                <w:color w:val="auto"/>
              </w:rPr>
              <w:t>Rabbi trusts</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bond fund</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rabbi trusts</w:t>
            </w:r>
          </w:p>
        </w:tc>
        <w:tc>
          <w:tcPr>
            <w:tcW w:w="9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9.2</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9.2</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Power</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9.6</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547.1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Rabbi trusts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34.1</w:t>
            </w:r>
          </w:p>
        </w:tc>
        <w:tc>
          <w:tcPr>
            <w:tcW w:w="22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34.1</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(c)</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222.5</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50.3</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(279.5)</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268.0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15.2</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748.9</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(279.5)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854.9</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95.5</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15.2</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r>
      <w:tr>
        <w:trPr>
          <w:trHeight w:val="19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Arial" w:cs="Arial" w:eastAsia="Arial" w:hAnsi="Arial"/>
                <w:sz w:val="16"/>
                <w:szCs w:val="16"/>
                <w:color w:val="auto"/>
              </w:rPr>
              <w:t>Derivative instruments - commodity contracts</w:t>
            </w:r>
            <w:r>
              <w:rPr>
                <w:rFonts w:ascii="Arial" w:cs="Arial" w:eastAsia="Arial" w:hAnsi="Arial"/>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47.4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55.9</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216.6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derivative liabilities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52.5</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(270.4)</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250.8</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59.7</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12.4</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81"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With the exception of investments measured at NAV, fair value is based on quoted market prices of the investments held by the trust and/or valuation models.</w:t>
      </w:r>
    </w:p>
    <w:p>
      <w:pPr>
        <w:ind w:left="180" w:right="20" w:hanging="172"/>
        <w:spacing w:after="0" w:line="255" w:lineRule="auto"/>
        <w:tabs>
          <w:tab w:leader="none" w:pos="168"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ind w:left="180" w:right="420" w:hanging="172"/>
        <w:spacing w:after="0" w:line="235" w:lineRule="auto"/>
        <w:tabs>
          <w:tab w:leader="none" w:pos="175"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740"/>
        <w:spacing w:after="0" w:line="274" w:lineRule="auto"/>
        <w:rPr>
          <w:sz w:val="20"/>
          <w:szCs w:val="20"/>
          <w:color w:val="auto"/>
        </w:rPr>
      </w:pPr>
      <w:r>
        <w:rPr>
          <w:rFonts w:ascii="Arial" w:cs="Arial" w:eastAsia="Arial" w:hAnsi="Arial"/>
          <w:sz w:val="20"/>
          <w:szCs w:val="20"/>
          <w:color w:val="auto"/>
        </w:rPr>
        <w:t>Certain Evergy and Evergy Kansas Central investments included in the table above are measured at NAV as they do not have readily determinable fair values. In certain situations, these investments may have redemption restrictions.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additional information on these Evergy and Evergy Kansas Central 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671"/>
              <w:spacing w:after="0"/>
              <w:rPr>
                <w:sz w:val="20"/>
                <w:szCs w:val="20"/>
                <w:color w:val="auto"/>
              </w:rPr>
            </w:pPr>
            <w:r>
              <w:rPr>
                <w:rFonts w:ascii="Arial" w:cs="Arial" w:eastAsia="Arial" w:hAnsi="Arial"/>
                <w:sz w:val="18"/>
                <w:szCs w:val="18"/>
                <w:b w:val="1"/>
                <w:bCs w:val="1"/>
                <w:color w:val="auto"/>
              </w:rPr>
              <w:t>March 31, 2023</w:t>
            </w:r>
          </w:p>
        </w:tc>
        <w:tc>
          <w:tcPr>
            <w:tcW w:w="380" w:type="dxa"/>
            <w:vAlign w:val="bottom"/>
            <w:tcBorders>
              <w:top w:val="single" w:sz="8" w:color="auto"/>
              <w:bottom w:val="single" w:sz="8" w:color="auto"/>
            </w:tcBorders>
          </w:tcPr>
          <w:p>
            <w:pPr>
              <w:spacing w:after="0"/>
              <w:rPr>
                <w:sz w:val="22"/>
                <w:szCs w:val="22"/>
                <w:color w:val="auto"/>
              </w:rPr>
            </w:pPr>
          </w:p>
        </w:tc>
        <w:tc>
          <w:tcPr>
            <w:tcW w:w="250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December 31, 2022</w:t>
            </w:r>
          </w:p>
        </w:tc>
        <w:tc>
          <w:tcPr>
            <w:tcW w:w="266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March 31, 2023</w:t>
            </w:r>
          </w:p>
        </w:tc>
      </w:tr>
      <w:tr>
        <w:trPr>
          <w:trHeight w:val="218"/>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1"/>
              <w:spacing w:after="0"/>
              <w:rPr>
                <w:sz w:val="20"/>
                <w:szCs w:val="20"/>
                <w:color w:val="auto"/>
              </w:rPr>
            </w:pPr>
            <w:r>
              <w:rPr>
                <w:rFonts w:ascii="Arial" w:cs="Arial" w:eastAsia="Arial" w:hAnsi="Arial"/>
                <w:sz w:val="18"/>
                <w:szCs w:val="18"/>
                <w:b w:val="1"/>
                <w:bCs w:val="1"/>
                <w:color w:val="auto"/>
              </w:rPr>
              <w:t>Unfunded</w:t>
            </w:r>
          </w:p>
        </w:tc>
        <w:tc>
          <w:tcPr>
            <w:tcW w:w="38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8"/>
                <w:szCs w:val="18"/>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Unfunded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Length of</w:t>
            </w:r>
          </w:p>
        </w:tc>
      </w:tr>
      <w:tr>
        <w:trPr>
          <w:trHeight w:val="234"/>
        </w:trPr>
        <w:tc>
          <w:tcPr>
            <w:tcW w:w="3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Commitments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Value</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Commitments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Frequency</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22"/>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equity funds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r>
      <w:tr>
        <w:trPr>
          <w:trHeight w:val="229"/>
        </w:trPr>
        <w:tc>
          <w:tcPr>
            <w:tcW w:w="3040" w:type="dxa"/>
            <w:vAlign w:val="bottom"/>
          </w:tcPr>
          <w:p>
            <w:pPr>
              <w:ind w:left="140"/>
              <w:spacing w:after="0"/>
              <w:rPr>
                <w:sz w:val="20"/>
                <w:szCs w:val="20"/>
                <w:color w:val="auto"/>
              </w:rPr>
            </w:pPr>
            <w:r>
              <w:rPr>
                <w:rFonts w:ascii="Arial" w:cs="Arial" w:eastAsia="Arial" w:hAnsi="Arial"/>
                <w:sz w:val="18"/>
                <w:szCs w:val="18"/>
                <w:color w:val="auto"/>
              </w:rPr>
              <w:t>Alternative investments fund</w:t>
            </w:r>
            <w:r>
              <w:rPr>
                <w:rFonts w:ascii="Arial" w:cs="Arial" w:eastAsia="Arial" w:hAnsi="Arial"/>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Quarterly</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65 days</w:t>
            </w:r>
          </w:p>
        </w:tc>
      </w:tr>
      <w:tr>
        <w:trPr>
          <w:trHeight w:val="229"/>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securities fund</w:t>
            </w:r>
            <w:r>
              <w:rPr>
                <w:rFonts w:ascii="Arial" w:cs="Arial" w:eastAsia="Arial" w:hAnsi="Arial"/>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18.9</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Quarterly</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 days</w:t>
            </w: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Evergy investments at NAV</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62.8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w:t>
            </w:r>
          </w:p>
        </w:tc>
        <w:tc>
          <w:tcPr>
            <w:tcW w:w="1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bl>
    <w:p>
      <w:pPr>
        <w:spacing w:after="0" w:line="71" w:lineRule="exact"/>
        <w:rPr>
          <w:sz w:val="20"/>
          <w:szCs w:val="20"/>
          <w:color w:val="auto"/>
        </w:rPr>
      </w:pPr>
    </w:p>
    <w:p>
      <w:pPr>
        <w:ind w:left="180" w:right="40" w:hanging="172"/>
        <w:spacing w:after="0" w:line="257" w:lineRule="auto"/>
        <w:tabs>
          <w:tab w:leader="none" w:pos="175"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funds occurred in 2016 and 2018, respectively. The fourth fund's term is 15 years, subject to the general partner's right to extend the term for up to three additional one-year periods. The fifth fund's term is 15 years, subject to additional extensions approved by a fund advisory committee to provide for an orderly liquidation of fund investments and dissolution of the fund.</w:t>
      </w:r>
    </w:p>
    <w:p>
      <w:pPr>
        <w:ind w:left="160" w:hanging="152"/>
        <w:spacing w:after="0" w:line="223"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There is a holdback on final redemptions.</w:t>
      </w:r>
    </w:p>
    <w:p>
      <w:pPr>
        <w:spacing w:after="0" w:line="205"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unrealized gains (losses) for the Evergy Companies' nuclear decommissioning trusts and rabbi trusts.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560" w:type="dxa"/>
            <w:vAlign w:val="bottom"/>
          </w:tcPr>
          <w:p>
            <w:pPr>
              <w:spacing w:after="0"/>
              <w:rPr>
                <w:sz w:val="19"/>
                <w:szCs w:val="19"/>
                <w:color w:val="auto"/>
              </w:rPr>
            </w:pPr>
          </w:p>
        </w:tc>
        <w:tc>
          <w:tcPr>
            <w:tcW w:w="1860" w:type="dxa"/>
            <w:vAlign w:val="bottom"/>
            <w:gridSpan w:val="2"/>
          </w:tcPr>
          <w:p>
            <w:pPr>
              <w:jc w:val="right"/>
              <w:ind w:right="110"/>
              <w:spacing w:after="0"/>
              <w:rPr>
                <w:sz w:val="20"/>
                <w:szCs w:val="20"/>
                <w:color w:val="auto"/>
              </w:rPr>
            </w:pPr>
            <w:r>
              <w:rPr>
                <w:rFonts w:ascii="Arial" w:cs="Arial" w:eastAsia="Arial" w:hAnsi="Arial"/>
                <w:sz w:val="16"/>
                <w:szCs w:val="16"/>
                <w:color w:val="auto"/>
              </w:rPr>
              <w:t>(millions)</w:t>
            </w:r>
          </w:p>
        </w:tc>
        <w:tc>
          <w:tcPr>
            <w:tcW w:w="1200" w:type="dxa"/>
            <w:vAlign w:val="bottom"/>
          </w:tcPr>
          <w:p>
            <w:pPr>
              <w:spacing w:after="0"/>
              <w:rPr>
                <w:sz w:val="19"/>
                <w:szCs w:val="19"/>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29.5</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5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trusts - equity securities</w:t>
            </w:r>
          </w:p>
        </w:tc>
        <w:tc>
          <w:tcPr>
            <w:tcW w:w="5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w:t>
            </w: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33.2</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14.1</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 - equity securities</w:t>
            </w:r>
          </w:p>
        </w:tc>
        <w:tc>
          <w:tcPr>
            <w:tcW w:w="5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15.4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15.4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5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17.5</w:t>
            </w: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of their operations are in substantial compliance with current federal, state and local environmental standards.</w:t>
      </w:r>
    </w:p>
    <w:p>
      <w:pPr>
        <w:spacing w:after="0" w:line="167" w:lineRule="exact"/>
        <w:rPr>
          <w:sz w:val="20"/>
          <w:szCs w:val="20"/>
          <w:color w:val="auto"/>
        </w:rPr>
      </w:pPr>
    </w:p>
    <w:p>
      <w:pPr>
        <w:ind w:right="60"/>
        <w:spacing w:after="0" w:line="360" w:lineRule="auto"/>
        <w:rPr>
          <w:sz w:val="20"/>
          <w:szCs w:val="20"/>
          <w:color w:val="auto"/>
        </w:rPr>
      </w:pPr>
      <w:r>
        <w:rPr>
          <w:rFonts w:ascii="Arial" w:cs="Arial" w:eastAsia="Arial" w:hAnsi="Arial"/>
          <w:sz w:val="16"/>
          <w:szCs w:val="16"/>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Clean Air Act - Startup, Shutdown and Malfunction (SSM) Regulation</w:t>
      </w:r>
    </w:p>
    <w:p>
      <w:pPr>
        <w:spacing w:after="0" w:line="20"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In 2015, the Environmental Protection Agency (EPA) issued a final rule addressing how state implementation plans (SIPs) can treat excess emissions during SSM events. This rule was referred to as the 2015 SIP Call Rule. The rule required 36 states to submit SIP revisions by November 2016 to remove certain exemptions and other discretionary enforcement provisions that apply to excess emissions during SSM events. Legal challenges ensued and the case was eventually placed in abeyance. In December 2021, the U.S. Court of Appeals for the D.C. Circuit (D.C. Circuit) restarted the litigation and oral arguments were held in March 2022. An additional case was also taking place in the U.S. District Court for the Northern District of California (District Court of Northern California) and in June 2022, the District Court of Northern California entered a final consent decree establishing deadlines for the EPA to take final action on SIP revisions that were submitted in response to the 2015 SIP Call Rule. Deadlines for 26 states and air districts, including Kansas, Missouri and Oklahoma, are listed in the final consent decree. Final action from the EPA could result in required SIP revisions in Oklahoma, Kansas and Missouri which could have a material impact on the Evergy Companies. If the D.C. Circuit overturns the EPA's 2015 SIP Call Rule, the final consent decree's deadlines will no longer be valid.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Mercury and Air Toxics Standards (MATS)</w:t>
      </w:r>
    </w:p>
    <w:p>
      <w:pPr>
        <w:spacing w:after="0" w:line="2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 April 2023, the EPA released a proposal to tighten certain aspects of the MATS rule. The EPA is proposing to lower the emission limit for particulate matter (PM), require the use of PM continuous emissions monitors (CEMS) and lower the mercury emission limit for lignite coal-fired electric generating units (EGUs). The EPA is also soliciting comment on further strengthening of the PM emission limitation. Due to uncertainty regarding final actions on the MATS rule, the Evergy Companies are unable to accurately assess the impacts of these potential EPA actions on their operations or consolidated financial results, but the cost to comply with the emission limitations as proposed do not appear to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Ozone Interstate Transport State Implementation Plans (ITSIP)</w:t>
      </w:r>
    </w:p>
    <w:p>
      <w:pPr>
        <w:spacing w:after="0" w:line="20"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color w:val="auto"/>
        </w:rPr>
        <w:t>In 2015, the EPA lowered the Ozone National Ambient Air Quality Standards (NAAQS) from 75 ppb to 70 ppb. Impacted states were required to submit ITSIPs in 2018 to comply with the "Good Neighbor Provision" of the Clean Air Act (CAA). The EPA did not act on these ITSIP submissions by the deadline established in the CAA and entered consent decrees establishing deadlines to take final action on various ITSIPs. In February 2022, the EPA published a proposed rule to disapprove of ITSIPs submitted by nineteen states including Missouri and Oklahoma. In April 2022, the EPA published a final approval of the Kansas ITSIP in the Federal Register. MDNR submitted a supplemental ITSIP to the EPA on November 1, 2022. In February 2023, the EPA published a final rule disapproving the ITSIPs submitted by 19 states, including the final disapproval of the Missouri and Oklahoma ITSIPs. In April 2023, the Attorneys General of Missouri and Oklahoma have filed Petitions for Review in the U.S. 8th and 10th Circuit Courts of Appeals, respectively, challenging the EPA disapproval.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Ozone Interstate Transport Federal Implementation Plans (ITFIP)</w:t>
      </w:r>
    </w:p>
    <w:p>
      <w:pPr>
        <w:spacing w:after="0" w:line="16"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color w:val="auto"/>
        </w:rPr>
        <w:t>In April 2022, the EPA published in the Federal Register the proposed ITFIP to resolve outstanding "Good Neighbor" obligations with respect to the 2015 Ozone NAAQS for 26 states including Missouri and Oklahoma. This ITFIP would establish a revised Cross-State Air Pollution Rule (CSAPR) ozone season nitrogen oxide (NOx) emissions trading program for electric generating units (EGUs) beginning in 2023 and would limit ozone season NOx emissions from certain industrial stationary sources beginning in 2026. The proposed rule would also establish a new daily backstop NOx emissions rate limit for applicable coal-fired units larger than 100 MW, as well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as unit-specific NOx emission rate limits for certain industrial emission units and would feature "dynamic" adjustments of emission budgets for EGUs beginning with ozone season 2025. The proposed ITFIP includes reductions to the state ozone season NOx budgets for Missouri and Oklahoma beginning in 2023 with additional reductions in future years. The Evergy Companies provided formal comments as part of the rulemaking process. In March 2023, the EPA issued the final ITFIPs for twenty-three states, including Missouri and Oklahoma. While the Evergy Companies are continuing to evaluate the impacts of the ITFIP, there are uncertainties beginning in 2030 regarding the implementation of dynamic budgeting and reduced banking that could have an impact on their operations and the cost to comply could be material.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Particulate Matter and Ozone National Ambient Air Quality Standards</w:t>
      </w:r>
    </w:p>
    <w:p>
      <w:pPr>
        <w:spacing w:after="0" w:line="20" w:lineRule="exact"/>
        <w:rPr>
          <w:sz w:val="20"/>
          <w:szCs w:val="20"/>
          <w:color w:val="auto"/>
        </w:rPr>
      </w:pPr>
    </w:p>
    <w:p>
      <w:pPr>
        <w:ind w:right="40"/>
        <w:spacing w:after="0" w:line="204" w:lineRule="auto"/>
        <w:rPr>
          <w:sz w:val="20"/>
          <w:szCs w:val="20"/>
          <w:color w:val="auto"/>
        </w:rPr>
      </w:pPr>
      <w:r>
        <w:rPr>
          <w:rFonts w:ascii="Arial" w:cs="Arial" w:eastAsia="Arial" w:hAnsi="Arial"/>
          <w:sz w:val="20"/>
          <w:szCs w:val="20"/>
          <w:color w:val="auto"/>
        </w:rPr>
        <w:t>In January 2023, the EPA proposed strengthening the primary annual PM</w:t>
      </w:r>
      <w:r>
        <w:rPr>
          <w:rFonts w:ascii="Arial" w:cs="Arial" w:eastAsia="Arial" w:hAnsi="Arial"/>
          <w:sz w:val="25"/>
          <w:szCs w:val="25"/>
          <w:color w:val="auto"/>
          <w:vertAlign w:val="subscript"/>
        </w:rPr>
        <w:t>2.5</w:t>
      </w:r>
      <w:r>
        <w:rPr>
          <w:rFonts w:ascii="Arial" w:cs="Arial" w:eastAsia="Arial" w:hAnsi="Arial"/>
          <w:sz w:val="20"/>
          <w:szCs w:val="20"/>
          <w:color w:val="auto"/>
        </w:rPr>
        <w:t xml:space="preserve"> (particulate matter less than 2.5 microns in diameter) NAAQS. The EPA is proposing to lower the primary annual PM</w:t>
      </w:r>
      <w:r>
        <w:rPr>
          <w:rFonts w:ascii="Arial" w:cs="Arial" w:eastAsia="Arial" w:hAnsi="Arial"/>
          <w:sz w:val="25"/>
          <w:szCs w:val="25"/>
          <w:color w:val="auto"/>
          <w:vertAlign w:val="subscript"/>
        </w:rPr>
        <w:t>2.5</w:t>
      </w:r>
      <w:r>
        <w:rPr>
          <w:rFonts w:ascii="Arial" w:cs="Arial" w:eastAsia="Arial" w:hAnsi="Arial"/>
          <w:sz w:val="20"/>
          <w:szCs w:val="20"/>
          <w:color w:val="auto"/>
        </w:rPr>
        <w:t xml:space="preserve"> NAAQS from 12.0 µg/m3 (micrograms per cubic meter) to a level that would be between 9.0 and 10.0 µg/m3. The EPA is proposing to retain the other PM NAAQS at their current levels. The EPA is also in the process of reconsidering its December 2020 decision to retain each of the Ozone NAAQS at the level set in 2015. Due to uncertainty regarding the potential lowering of the ozone and PM</w:t>
      </w:r>
      <w:r>
        <w:rPr>
          <w:rFonts w:ascii="Arial" w:cs="Arial" w:eastAsia="Arial" w:hAnsi="Arial"/>
          <w:sz w:val="25"/>
          <w:szCs w:val="25"/>
          <w:color w:val="auto"/>
          <w:vertAlign w:val="subscript"/>
        </w:rPr>
        <w:t>2.5</w:t>
      </w:r>
      <w:r>
        <w:rPr>
          <w:rFonts w:ascii="Arial" w:cs="Arial" w:eastAsia="Arial" w:hAnsi="Arial"/>
          <w:sz w:val="20"/>
          <w:szCs w:val="20"/>
          <w:color w:val="auto"/>
        </w:rPr>
        <w:t xml:space="preserve"> NAAQS, the Evergy Companies are unable to accurately assess the impacts of these potential EPA actions on their operations or consolidated financial results, but the cost to comply with lower future ozone or PM</w:t>
      </w:r>
      <w:r>
        <w:rPr>
          <w:rFonts w:ascii="Arial" w:cs="Arial" w:eastAsia="Arial" w:hAnsi="Arial"/>
          <w:sz w:val="25"/>
          <w:szCs w:val="25"/>
          <w:color w:val="auto"/>
          <w:vertAlign w:val="subscript"/>
        </w:rPr>
        <w:t>2.5</w:t>
      </w:r>
      <w:r>
        <w:rPr>
          <w:rFonts w:ascii="Arial" w:cs="Arial" w:eastAsia="Arial" w:hAnsi="Arial"/>
          <w:sz w:val="20"/>
          <w:szCs w:val="20"/>
          <w:color w:val="auto"/>
        </w:rPr>
        <w:t xml:space="preserve"> NAAQS could be material.</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Regional Haze Rule</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SIPs every ten years and the first round was due in 2007. For the second ten-year implementation period, the EPA issued a final rule revision in 2017 that allowed states to submit their SIP revisions by July 31, 2021. The Missouri SIP revision does not require any additional reductions from the Evergy Companies' generating units in the state. MDNR submitted the Missouri SIP revision to the EPA in August 2022, however, they failed to do so by the EPA's revised submittal deadline of August 15, 2022. As a result, on August 30,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The Kansas SIP revision was placed on public notice in June 2021 and requested no additional emission reductions by electric utilities based on the significant reductions that were achieved during the first implementation period. The EPA provided comments on the Kansas SIP revision in June 2021 that each state is statutorily required to conduct a "four-factor analysis" on at least two sources within the state to help determine if further emission reductions are necessary. The EPA also stated it would be difficult to approve the Kansas SIP revision if at least two four-factor analyses are not conducted on Kansas emission sources. Kansas Department Health and Environment (KDHE) submitted the Kansas SIP revision in July 2021. If a Kansas generating unit of the Evergy Companies is selected for analysis, the possibility exists that the state or the EPA, through a revised SIP or a FIP, could determine that additional operational or physical modifications are required on the generating unit to further reduce emissions. The overall cost of those modifications could be material to the Evergy Companies. In March 2023, several environmental organizations notified the EPA of their intent to sue for failure of the EPA to timely approve or disapprove of the SIP revisions submitted by Kansas and seven other states.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Greenhouse Gases</w:t>
      </w:r>
    </w:p>
    <w:p>
      <w:pPr>
        <w:spacing w:after="0" w:line="20"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Burning coal and other fossil fuels releases carbon dioxide (CO</w:t>
      </w:r>
      <w:r>
        <w:rPr>
          <w:rFonts w:ascii="Arial" w:cs="Arial" w:eastAsia="Arial" w:hAnsi="Arial"/>
          <w:sz w:val="24"/>
          <w:szCs w:val="24"/>
          <w:color w:val="auto"/>
          <w:vertAlign w:val="subscript"/>
        </w:rPr>
        <w:t>2</w:t>
      </w:r>
      <w:r>
        <w:rPr>
          <w:rFonts w:ascii="Arial" w:cs="Arial" w:eastAsia="Arial" w:hAnsi="Arial"/>
          <w:sz w:val="19"/>
          <w:szCs w:val="19"/>
          <w:color w:val="auto"/>
        </w:rPr>
        <w:t>) and other gases referred to as greenhouse gases (GHG). Various regulations under the CAA limit CO</w:t>
      </w:r>
      <w:r>
        <w:rPr>
          <w:rFonts w:ascii="Arial" w:cs="Arial" w:eastAsia="Arial" w:hAnsi="Arial"/>
          <w:sz w:val="24"/>
          <w:szCs w:val="24"/>
          <w:color w:val="auto"/>
          <w:vertAlign w:val="subscript"/>
        </w:rPr>
        <w:t>2</w:t>
      </w:r>
      <w:r>
        <w:rPr>
          <w:rFonts w:ascii="Arial" w:cs="Arial" w:eastAsia="Arial" w:hAnsi="Arial"/>
          <w:sz w:val="19"/>
          <w:szCs w:val="19"/>
          <w:color w:val="auto"/>
        </w:rPr>
        <w:t xml:space="preserve"> and other GHG emissions, and in addition, other measures are being imposed or offered by individual states, municipalities and regional agreements with the goal of reducing GHG emissions. In January 2023, the EPA announced its intent to propose GHG regulations that would apply to new and existing EGUs by the end of the second quarter 2023.</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760"/>
        <w:spacing w:after="0" w:line="301" w:lineRule="auto"/>
        <w:rPr>
          <w:sz w:val="20"/>
          <w:szCs w:val="20"/>
          <w:color w:val="auto"/>
        </w:rPr>
      </w:pPr>
      <w:r>
        <w:rPr>
          <w:rFonts w:ascii="Arial" w:cs="Arial" w:eastAsia="Arial" w:hAnsi="Arial"/>
          <w:sz w:val="19"/>
          <w:szCs w:val="19"/>
          <w:color w:val="auto"/>
        </w:rPr>
        <w:t>Due to uncertainty regarding the future of the EPA's GHG regulations, the Evergy Companies cannot determine the impacts on their operations or consolidated financial results, but the cost to comply with potential GHG rules could be material.</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w:t>
      </w:r>
    </w:p>
    <w:p>
      <w:pPr>
        <w:spacing w:after="0" w:line="2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The Evergy Companies discharge some of the water used in generation and other operations containing substances deemed to be pollutants. A November 2015 EPA rule applicable to steam-electric power generating plants establishes effluent limitations guidelines (ELG) and standards for wastewater discharges, including limits on the amount of toxic metals and other pollutants that can be discharged. Implementation timelines for this 2015 rule vary from 2018 to 2023. In April 2019, the U.S. Court of Appeals for the 5th Circuit (5th Circuit) issued a ruling that vacated and remanded portions of the original ELG rule. Due to this ruling, the EPA announced a plan in July 2021 to issue a proposed rule in the fall of 2022 to address the vacated limitations for legacy wastewater and landfill leachate. This proposed rule was issued in pre-publication format published in the Federal Register in March 2023. This proposed rulemaking establishes the requirement for zero liquid discharge of flue gas desulfurization (FGD) wastewater and bottom ash transport water as well as additional restrictions on coal combustion residual landfill leachate. Legacy wastewater is addressed in the proposal but referred to state regulators to enforce limitations according to the permit writers' best professional judgement. The Evergy Companies have reviewed the proposed modifications to limitations on FGD wastewater and bottom ash transport water and if the regulation is finalized as proposed, the Evergy Companies do not believe the impact to be material. Modifications for best available technology economically available for the discharge of landfill leachate could be material if the rulemaking is finalized as proposed.</w:t>
      </w:r>
    </w:p>
    <w:p>
      <w:pPr>
        <w:spacing w:after="0" w:line="183"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In August 2021, based on an order issued by the U.S. District Court for the District of Arizona, which vacated and remanded the EPA's 2020 Navigable Waters Protection Rule (NWPR), the EPA and the U.S. Army Corps of Engineers announced that they had halted implementation of the NWPR nationwide, and were interpreting "Waters of the United States" consistent with the regulatory regime that was in place prior to 2015. In December 2021, the EPA and the Department of the Army published a proposed rule that would formally repeal the NWPR and revise the definition of "Waters of the United States." In December 2022, the EPA and the Department of the Army issued a final rule establishing a definition for "Waters of the United States." The final rule was published in the federal register in January 2023 and took effect in March 2023. A case is also pending in the Supreme Court regarding the proper scope of "Waters of the United States" that could affect the final rule. The Evergy Companies are reviewing the final rulemaking and awaiting the Supreme Court's decision. The impact on the Evergy Companies' operations or consolidated financial results are not expected to be material.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Coal Combustion Residuals</w:t>
      </w:r>
    </w:p>
    <w:p>
      <w:pPr>
        <w:spacing w:after="0" w:line="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course of operating their coal generation plants, the Evergy Companies produce coal combustion residuals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In April 2022, the Utility Solid Waste Activities Group (USWAG) and other interested parties filed similar petitions in the D.C. Circuit challenging the EPA's legal positions regarding the CCR rule determinations proposed in January 2022. Some CCR units at Lawrence Energy Center and Sibley Station have moved into corrective action. In January 2022, the EPA issued a "Notice of Potential Violation" to the Tecumseh Energy Center (TEC) suggesting a closed CCR impoundment should enter corrective action. In November 2022, Evergy agreed to a Consent Agreement and Final Order (CAFO) with the EPA Region 7 addressing the alleged potential violation. In the CAFO, Evergy agreed to re-open the TEC CCR impoundment for further assessment of groundwater. As a result of the further assessments, the TEC impoundment entered groundwater corrective actions in March 2023. It is possible that the other CCR units at other generation stations could move into corrective action based on the EPA CCR rule interpretations, enforcement actions, or execution of the Evergy Companies' CCR strategy. The cost to comply with these proposed determinations by the EPA could be material.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color w:val="auto"/>
        </w:rPr>
        <w:t>The Evergy Companies have recorded AROs for their current estimates for the closure of ash disposal ponds and landfills, but the revision of these AROs may be required in the future due to changes in existing CCR regulations, the results of groundwater monitoring of CCR units or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RELATED PARTY TRANSACTIONS AND RELATIONSHIPS</w:t>
      </w:r>
    </w:p>
    <w:p>
      <w:pPr>
        <w:spacing w:after="0" w:line="127"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Jointly-Owned Plants and Shared Services</w:t>
      </w:r>
    </w:p>
    <w:p>
      <w:pPr>
        <w:spacing w:after="0" w:line="22"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JEC and operate its facilities at cost, including Evergy Missouri West's 8% ownership interest in JEC. Employees of Evergy Metro manage La Cygne Station and operate its facilities at cost, including Evergy Kansas Central's 50% interest in La Cygne Station. Employees of Evergy Metro and Evergy Kansas Central also provide one another with shared service support, including costs related to human resources, information technology, accounting and legal services.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operating expenses and capital costs billed for jointly-owned plants and shared services are detailed in the following table.</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6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06"/>
        </w:trPr>
        <w:tc>
          <w:tcPr>
            <w:tcW w:w="6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60" w:type="dxa"/>
            <w:vAlign w:val="bottom"/>
            <w:gridSpan w:val="2"/>
          </w:tcPr>
          <w:p>
            <w:pPr>
              <w:jc w:val="right"/>
              <w:ind w:right="50"/>
              <w:spacing w:after="0"/>
              <w:rPr>
                <w:sz w:val="20"/>
                <w:szCs w:val="20"/>
                <w:color w:val="auto"/>
              </w:rPr>
            </w:pPr>
            <w:r>
              <w:rPr>
                <w:rFonts w:ascii="Arial" w:cs="Arial" w:eastAsia="Arial" w:hAnsi="Arial"/>
                <w:sz w:val="16"/>
                <w:szCs w:val="16"/>
                <w:color w:val="auto"/>
              </w:rPr>
              <w:t>(millions)</w:t>
            </w:r>
          </w:p>
        </w:tc>
        <w:tc>
          <w:tcPr>
            <w:tcW w:w="980" w:type="dxa"/>
            <w:vAlign w:val="bottom"/>
          </w:tcPr>
          <w:p>
            <w:pPr>
              <w:spacing w:after="0"/>
              <w:rPr>
                <w:sz w:val="17"/>
                <w:szCs w:val="17"/>
                <w:color w:val="auto"/>
              </w:rPr>
            </w:pPr>
          </w:p>
        </w:tc>
      </w:tr>
      <w:tr>
        <w:trPr>
          <w:trHeight w:val="23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Missouri West</w:t>
            </w:r>
          </w:p>
        </w:tc>
        <w:tc>
          <w:tcPr>
            <w:tcW w:w="2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Evergy Metro billings to Evergy Missouri West</w:t>
            </w:r>
          </w:p>
        </w:tc>
        <w:tc>
          <w:tcPr>
            <w:tcW w:w="24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26.8</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Metro</w:t>
            </w:r>
          </w:p>
        </w:tc>
        <w:tc>
          <w:tcPr>
            <w:tcW w:w="2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 Metro billings to Evergy Kansas Central</w:t>
            </w:r>
          </w:p>
        </w:tc>
        <w:tc>
          <w:tcPr>
            <w:tcW w:w="2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28.9</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Money Pool</w:t>
      </w:r>
    </w:p>
    <w:p>
      <w:pPr>
        <w:spacing w:after="0" w:line="26"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197" w:lineRule="exact"/>
        <w:rPr>
          <w:sz w:val="20"/>
          <w:szCs w:val="20"/>
          <w:color w:val="auto"/>
        </w:rPr>
      </w:pPr>
    </w:p>
    <w:p>
      <w:pPr>
        <w:jc w:val="both"/>
        <w:ind w:right="240"/>
        <w:spacing w:after="0" w:line="277" w:lineRule="auto"/>
        <w:rPr>
          <w:sz w:val="20"/>
          <w:szCs w:val="20"/>
          <w:color w:val="auto"/>
        </w:rPr>
      </w:pPr>
      <w:r>
        <w:rPr>
          <w:rFonts w:ascii="Arial" w:cs="Arial" w:eastAsia="Arial" w:hAnsi="Arial"/>
          <w:sz w:val="19"/>
          <w:szCs w:val="19"/>
          <w:color w:val="auto"/>
        </w:rPr>
        <w:t>As of March 31, 2023, Evergy Metro had no outstanding receivables or payables under the money pool. As of December 31, 2022, Evergy Metro had a $31.0 million outstanding receivable from Evergy Missouri West under the money pool. As of March 31, 2023 and December 31, 2022, Evergy Kansas Central had no outstanding receivables or payables under the money pool.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Net Receivables and Payables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and Evergy Metro's related party net receivables and payables.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5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60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payable to Evergy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payable to Evergy Metro</w:t>
            </w:r>
          </w:p>
        </w:tc>
        <w:tc>
          <w:tcPr>
            <w:tcW w:w="26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2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57"/>
        </w:trPr>
        <w:tc>
          <w:tcPr>
            <w:tcW w:w="55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26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receivable from Evergy</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17.2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Kansas Central</w:t>
            </w:r>
          </w:p>
        </w:tc>
        <w:tc>
          <w:tcPr>
            <w:tcW w:w="2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22.2</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2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84.5</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Allocation Agreement</w:t>
      </w:r>
    </w:p>
    <w:p>
      <w:pPr>
        <w:spacing w:after="0" w:line="22"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8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4"/>
              </w:rPr>
              <w:t>March 31</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8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 to Evergy</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57"/>
        </w:trPr>
        <w:tc>
          <w:tcPr>
            <w:tcW w:w="52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28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 receivable from Evergy</w:t>
            </w:r>
          </w:p>
        </w:tc>
        <w:tc>
          <w:tcPr>
            <w:tcW w:w="2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TAXES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tax expense are detailed in the following tables.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320" w:type="dxa"/>
            <w:vAlign w:val="bottom"/>
          </w:tcPr>
          <w:p>
            <w:pPr>
              <w:spacing w:after="0"/>
              <w:rPr>
                <w:sz w:val="19"/>
                <w:szCs w:val="19"/>
                <w:color w:val="auto"/>
              </w:rPr>
            </w:pPr>
          </w:p>
        </w:tc>
        <w:tc>
          <w:tcPr>
            <w:tcW w:w="1720" w:type="dxa"/>
            <w:vAlign w:val="bottom"/>
            <w:gridSpan w:val="2"/>
          </w:tcPr>
          <w:p>
            <w:pPr>
              <w:jc w:val="right"/>
              <w:ind w:right="9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19"/>
                <w:szCs w:val="19"/>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4.7</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9.7</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8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12.4</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Evergy Kansas Central</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20.1</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(0.7)</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(10.7)</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8.4</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Evergy Metro</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income taxes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2"/>
          </w:tcPr>
          <w:p>
            <w:pPr>
              <w:jc w:val="right"/>
              <w:ind w:right="17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State</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8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12.4</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State</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8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11.2</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Investment tax credit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81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6.9</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Income Tax Rates</w:t>
      </w:r>
    </w:p>
    <w:p>
      <w:pPr>
        <w:spacing w:after="0" w:line="26" w:lineRule="exact"/>
        <w:rPr>
          <w:sz w:val="20"/>
          <w:szCs w:val="20"/>
          <w:color w:val="auto"/>
        </w:rPr>
      </w:pPr>
    </w:p>
    <w:p>
      <w:pPr>
        <w:ind w:right="640"/>
        <w:spacing w:after="0" w:line="267" w:lineRule="auto"/>
        <w:rPr>
          <w:sz w:val="20"/>
          <w:szCs w:val="20"/>
          <w:color w:val="auto"/>
        </w:rPr>
      </w:pPr>
      <w:r>
        <w:rPr>
          <w:rFonts w:ascii="Arial" w:cs="Arial" w:eastAsia="Arial" w:hAnsi="Arial"/>
          <w:sz w:val="20"/>
          <w:szCs w:val="20"/>
          <w:color w:val="auto"/>
        </w:rPr>
        <w:t>Effective income tax rates reflected in the financial statements and the reasons for their differences from the statutory federal rates are detailed in the following tables.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6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2023</w:t>
            </w: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w:t>
            </w:r>
          </w:p>
        </w:tc>
        <w:tc>
          <w:tcPr>
            <w:tcW w:w="3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21.0 %</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COLI policies</w:t>
            </w:r>
          </w:p>
        </w:tc>
        <w:tc>
          <w:tcPr>
            <w:tcW w:w="3620" w:type="dxa"/>
            <w:vAlign w:val="bottom"/>
          </w:tcPr>
          <w:p>
            <w:pPr>
              <w:jc w:val="right"/>
              <w:ind w:right="490"/>
              <w:spacing w:after="0"/>
              <w:rPr>
                <w:sz w:val="20"/>
                <w:szCs w:val="20"/>
                <w:color w:val="auto"/>
              </w:rPr>
            </w:pPr>
            <w:r>
              <w:rPr>
                <w:rFonts w:ascii="Arial" w:cs="Arial" w:eastAsia="Arial" w:hAnsi="Arial"/>
                <w:sz w:val="18"/>
                <w:szCs w:val="18"/>
                <w:color w:val="auto"/>
              </w:rPr>
              <w:t>(1.4)</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w:t>
            </w:r>
          </w:p>
        </w:tc>
        <w:tc>
          <w:tcPr>
            <w:tcW w:w="3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0.6</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3620" w:type="dxa"/>
            <w:vAlign w:val="bottom"/>
          </w:tcPr>
          <w:p>
            <w:pPr>
              <w:jc w:val="right"/>
              <w:ind w:right="490"/>
              <w:spacing w:after="0"/>
              <w:rPr>
                <w:sz w:val="20"/>
                <w:szCs w:val="20"/>
                <w:color w:val="auto"/>
              </w:rPr>
            </w:pPr>
            <w:r>
              <w:rPr>
                <w:rFonts w:ascii="Arial" w:cs="Arial" w:eastAsia="Arial" w:hAnsi="Arial"/>
                <w:sz w:val="18"/>
                <w:szCs w:val="18"/>
                <w:color w:val="auto"/>
              </w:rPr>
              <w:t>(7.7)</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(6.3)</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credits</w:t>
            </w:r>
          </w:p>
        </w:tc>
        <w:tc>
          <w:tcPr>
            <w:tcW w:w="3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(3.5)</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3620" w:type="dxa"/>
            <w:vAlign w:val="bottom"/>
          </w:tcPr>
          <w:p>
            <w:pPr>
              <w:jc w:val="right"/>
              <w:ind w:right="490"/>
              <w:spacing w:after="0"/>
              <w:rPr>
                <w:sz w:val="20"/>
                <w:szCs w:val="20"/>
                <w:color w:val="auto"/>
              </w:rPr>
            </w:pPr>
            <w:r>
              <w:rPr>
                <w:rFonts w:ascii="Arial" w:cs="Arial" w:eastAsia="Arial" w:hAnsi="Arial"/>
                <w:sz w:val="18"/>
                <w:szCs w:val="18"/>
                <w:color w:val="auto"/>
              </w:rPr>
              <w:t>(0.3)</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3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(0.6)</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3620" w:type="dxa"/>
            <w:vAlign w:val="bottom"/>
          </w:tcPr>
          <w:p>
            <w:pPr>
              <w:jc w:val="right"/>
              <w:ind w:right="490"/>
              <w:spacing w:after="0"/>
              <w:rPr>
                <w:sz w:val="20"/>
                <w:szCs w:val="20"/>
                <w:color w:val="auto"/>
              </w:rPr>
            </w:pPr>
            <w:r>
              <w:rPr>
                <w:rFonts w:ascii="Arial" w:cs="Arial" w:eastAsia="Arial" w:hAnsi="Arial"/>
                <w:sz w:val="18"/>
                <w:szCs w:val="18"/>
                <w:color w:val="auto"/>
              </w:rPr>
              <w:t>(0.6)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3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0.1</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Officer compensation limitation</w:t>
            </w:r>
          </w:p>
        </w:tc>
        <w:tc>
          <w:tcPr>
            <w:tcW w:w="3620" w:type="dxa"/>
            <w:vAlign w:val="bottom"/>
          </w:tcPr>
          <w:p>
            <w:pPr>
              <w:jc w:val="right"/>
              <w:ind w:right="530"/>
              <w:spacing w:after="0"/>
              <w:rPr>
                <w:sz w:val="20"/>
                <w:szCs w:val="20"/>
                <w:color w:val="auto"/>
              </w:rPr>
            </w:pPr>
            <w:r>
              <w:rPr>
                <w:rFonts w:ascii="Arial" w:cs="Arial" w:eastAsia="Arial" w:hAnsi="Arial"/>
                <w:sz w:val="18"/>
                <w:szCs w:val="18"/>
                <w:color w:val="auto"/>
              </w:rPr>
              <w:t>0.2</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30"/>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0.1</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30"/>
        </w:trPr>
        <w:tc>
          <w:tcPr>
            <w:tcW w:w="6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Effective income tax rate</w:t>
            </w:r>
          </w:p>
        </w:tc>
        <w:tc>
          <w:tcPr>
            <w:tcW w:w="3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7.9 %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8.4 %</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Evergy Kansas Central</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6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2023</w:t>
            </w: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w:t>
            </w:r>
          </w:p>
        </w:tc>
        <w:tc>
          <w:tcPr>
            <w:tcW w:w="3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21.0 %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COLI policies</w:t>
            </w:r>
          </w:p>
        </w:tc>
        <w:tc>
          <w:tcPr>
            <w:tcW w:w="3620" w:type="dxa"/>
            <w:vAlign w:val="bottom"/>
          </w:tcPr>
          <w:p>
            <w:pPr>
              <w:ind w:left="2680"/>
              <w:spacing w:after="0"/>
              <w:rPr>
                <w:sz w:val="20"/>
                <w:szCs w:val="20"/>
                <w:color w:val="auto"/>
              </w:rPr>
            </w:pPr>
            <w:r>
              <w:rPr>
                <w:rFonts w:ascii="Arial" w:cs="Arial" w:eastAsia="Arial" w:hAnsi="Arial"/>
                <w:sz w:val="18"/>
                <w:szCs w:val="18"/>
                <w:color w:val="auto"/>
              </w:rPr>
              <w:t>(2.4)</w:t>
            </w:r>
          </w:p>
        </w:tc>
        <w:tc>
          <w:tcPr>
            <w:tcW w:w="1360" w:type="dxa"/>
            <w:vAlign w:val="bottom"/>
          </w:tcPr>
          <w:p>
            <w:pPr>
              <w:ind w:left="8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w:t>
            </w:r>
          </w:p>
        </w:tc>
        <w:tc>
          <w:tcPr>
            <w:tcW w:w="36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0.7</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3620" w:type="dxa"/>
            <w:vAlign w:val="bottom"/>
          </w:tcPr>
          <w:p>
            <w:pPr>
              <w:ind w:left="2680"/>
              <w:spacing w:after="0"/>
              <w:rPr>
                <w:sz w:val="20"/>
                <w:szCs w:val="20"/>
                <w:color w:val="auto"/>
              </w:rPr>
            </w:pPr>
            <w:r>
              <w:rPr>
                <w:rFonts w:ascii="Arial" w:cs="Arial" w:eastAsia="Arial" w:hAnsi="Arial"/>
                <w:sz w:val="18"/>
                <w:szCs w:val="18"/>
                <w:color w:val="auto"/>
              </w:rPr>
              <w:t>(4.0)</w:t>
            </w:r>
          </w:p>
        </w:tc>
        <w:tc>
          <w:tcPr>
            <w:tcW w:w="1360" w:type="dxa"/>
            <w:vAlign w:val="bottom"/>
          </w:tcPr>
          <w:p>
            <w:pPr>
              <w:ind w:left="84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credits</w:t>
            </w:r>
          </w:p>
        </w:tc>
        <w:tc>
          <w:tcPr>
            <w:tcW w:w="362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(6.3)</w:t>
            </w: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3620" w:type="dxa"/>
            <w:vAlign w:val="bottom"/>
          </w:tcPr>
          <w:p>
            <w:pPr>
              <w:ind w:left="2680"/>
              <w:spacing w:after="0"/>
              <w:rPr>
                <w:sz w:val="20"/>
                <w:szCs w:val="20"/>
                <w:color w:val="auto"/>
              </w:rPr>
            </w:pPr>
            <w:r>
              <w:rPr>
                <w:rFonts w:ascii="Arial" w:cs="Arial" w:eastAsia="Arial" w:hAnsi="Arial"/>
                <w:sz w:val="18"/>
                <w:szCs w:val="18"/>
                <w:color w:val="auto"/>
              </w:rPr>
              <w:t>(0.5)</w:t>
            </w:r>
          </w:p>
        </w:tc>
        <w:tc>
          <w:tcPr>
            <w:tcW w:w="1360" w:type="dxa"/>
            <w:vAlign w:val="bottom"/>
          </w:tcPr>
          <w:p>
            <w:pPr>
              <w:ind w:left="84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362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(0.5)</w:t>
            </w: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3620" w:type="dxa"/>
            <w:vAlign w:val="bottom"/>
          </w:tcPr>
          <w:p>
            <w:pPr>
              <w:ind w:left="2680"/>
              <w:spacing w:after="0"/>
              <w:rPr>
                <w:sz w:val="20"/>
                <w:szCs w:val="20"/>
                <w:color w:val="auto"/>
              </w:rPr>
            </w:pPr>
            <w:r>
              <w:rPr>
                <w:rFonts w:ascii="Arial" w:cs="Arial" w:eastAsia="Arial" w:hAnsi="Arial"/>
                <w:sz w:val="18"/>
                <w:szCs w:val="18"/>
                <w:color w:val="auto"/>
              </w:rPr>
              <w:t>(0.4)</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362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36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7.4 %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20" w:type="dxa"/>
            <w:vAlign w:val="bottom"/>
          </w:tcPr>
          <w:p>
            <w:pPr>
              <w:spacing w:after="0"/>
              <w:rPr>
                <w:sz w:val="20"/>
                <w:szCs w:val="20"/>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Evergy Metro</w:t>
            </w:r>
          </w:p>
        </w:tc>
        <w:tc>
          <w:tcPr>
            <w:tcW w:w="3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w:t>
            </w:r>
          </w:p>
        </w:tc>
        <w:tc>
          <w:tcPr>
            <w:tcW w:w="36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2023</w:t>
            </w: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w:t>
            </w:r>
          </w:p>
        </w:tc>
        <w:tc>
          <w:tcPr>
            <w:tcW w:w="362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21.0 %</w:t>
            </w: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9"/>
              </w:rPr>
              <w:t>21.0 %</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COLI policies</w:t>
            </w:r>
          </w:p>
        </w:tc>
        <w:tc>
          <w:tcPr>
            <w:tcW w:w="3620" w:type="dxa"/>
            <w:vAlign w:val="bottom"/>
          </w:tcPr>
          <w:p>
            <w:pPr>
              <w:jc w:val="right"/>
              <w:ind w:right="490"/>
              <w:spacing w:after="0"/>
              <w:rPr>
                <w:sz w:val="20"/>
                <w:szCs w:val="20"/>
                <w:color w:val="auto"/>
              </w:rPr>
            </w:pPr>
            <w:r>
              <w:rPr>
                <w:rFonts w:ascii="Arial" w:cs="Arial" w:eastAsia="Arial" w:hAnsi="Arial"/>
                <w:sz w:val="18"/>
                <w:szCs w:val="18"/>
                <w:color w:val="auto"/>
              </w:rPr>
              <w:t>(0.1)</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3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0.6</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Flow through depreciation for plant-related differences</w:t>
            </w:r>
          </w:p>
        </w:tc>
        <w:tc>
          <w:tcPr>
            <w:tcW w:w="3620" w:type="dxa"/>
            <w:vAlign w:val="bottom"/>
          </w:tcPr>
          <w:p>
            <w:pPr>
              <w:jc w:val="right"/>
              <w:ind w:right="490"/>
              <w:spacing w:after="0"/>
              <w:rPr>
                <w:sz w:val="20"/>
                <w:szCs w:val="20"/>
                <w:color w:val="auto"/>
              </w:rPr>
            </w:pPr>
            <w:r>
              <w:rPr>
                <w:rFonts w:ascii="Arial" w:cs="Arial" w:eastAsia="Arial" w:hAnsi="Arial"/>
                <w:sz w:val="18"/>
                <w:szCs w:val="18"/>
                <w:color w:val="auto"/>
              </w:rPr>
              <w:t>(8.1)</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3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AFUDC equity</w:t>
            </w:r>
          </w:p>
        </w:tc>
        <w:tc>
          <w:tcPr>
            <w:tcW w:w="3620" w:type="dxa"/>
            <w:vAlign w:val="bottom"/>
          </w:tcPr>
          <w:p>
            <w:pPr>
              <w:jc w:val="right"/>
              <w:ind w:right="490"/>
              <w:spacing w:after="0"/>
              <w:rPr>
                <w:sz w:val="20"/>
                <w:szCs w:val="20"/>
                <w:color w:val="auto"/>
              </w:rPr>
            </w:pPr>
            <w:r>
              <w:rPr>
                <w:rFonts w:ascii="Arial" w:cs="Arial" w:eastAsia="Arial" w:hAnsi="Arial"/>
                <w:sz w:val="18"/>
                <w:szCs w:val="18"/>
                <w:color w:val="auto"/>
              </w:rPr>
              <w:t>(0.9)</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federal investment tax credits</w:t>
            </w:r>
          </w:p>
        </w:tc>
        <w:tc>
          <w:tcPr>
            <w:tcW w:w="3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(0.9)</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Stock compensation</w:t>
            </w:r>
          </w:p>
        </w:tc>
        <w:tc>
          <w:tcPr>
            <w:tcW w:w="3620" w:type="dxa"/>
            <w:vAlign w:val="bottom"/>
          </w:tcPr>
          <w:p>
            <w:pPr>
              <w:jc w:val="right"/>
              <w:ind w:right="530"/>
              <w:spacing w:after="0"/>
              <w:rPr>
                <w:sz w:val="20"/>
                <w:szCs w:val="20"/>
                <w:color w:val="auto"/>
              </w:rPr>
            </w:pPr>
            <w:r>
              <w:rPr>
                <w:rFonts w:ascii="Arial" w:cs="Arial" w:eastAsia="Arial" w:hAnsi="Arial"/>
                <w:sz w:val="18"/>
                <w:szCs w:val="18"/>
                <w:color w:val="auto"/>
              </w:rPr>
              <w:t>1.0</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Officer compensation limitation</w:t>
            </w:r>
          </w:p>
        </w:tc>
        <w:tc>
          <w:tcPr>
            <w:tcW w:w="3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0.6</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6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Effective income tax rate</w:t>
            </w:r>
          </w:p>
        </w:tc>
        <w:tc>
          <w:tcPr>
            <w:tcW w:w="3620" w:type="dxa"/>
            <w:vAlign w:val="bottom"/>
            <w:tcBorders>
              <w:bottom w:val="single" w:sz="8" w:color="auto"/>
            </w:tcBorders>
            <w:shd w:val="clear" w:color="auto" w:fill="CCEEFF"/>
          </w:tcPr>
          <w:p>
            <w:pPr>
              <w:ind w:left="2680"/>
              <w:spacing w:after="0"/>
              <w:rPr>
                <w:sz w:val="20"/>
                <w:szCs w:val="20"/>
                <w:color w:val="auto"/>
              </w:rPr>
            </w:pPr>
            <w:r>
              <w:rPr>
                <w:rFonts w:ascii="Arial" w:cs="Arial" w:eastAsia="Arial" w:hAnsi="Arial"/>
                <w:sz w:val="18"/>
                <w:szCs w:val="18"/>
                <w:color w:val="auto"/>
              </w:rPr>
              <w:t>12.9 %</w:t>
            </w:r>
          </w:p>
        </w:tc>
        <w:tc>
          <w:tcPr>
            <w:tcW w:w="13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9"/>
              </w:rPr>
              <w:t>12.4 %</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jc w:val="both"/>
        <w:ind w:right="140"/>
        <w:spacing w:after="0" w:line="255" w:lineRule="auto"/>
        <w:rPr>
          <w:sz w:val="20"/>
          <w:szCs w:val="20"/>
          <w:color w:val="auto"/>
        </w:rPr>
      </w:pPr>
      <w:r>
        <w:rPr>
          <w:rFonts w:ascii="Arial" w:cs="Arial" w:eastAsia="Arial" w:hAnsi="Arial"/>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2022 Form 10-K. None of the registrants make any representation as to information related solely to Evergy, Evergy Kansas Central or Evergy Metro other than itself.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EVERGY,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SUMMARY</w:t>
      </w:r>
    </w:p>
    <w:p>
      <w:pPr>
        <w:spacing w:after="0" w:line="235"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90" w:lineRule="exact"/>
        <w:rPr>
          <w:sz w:val="20"/>
          <w:szCs w:val="20"/>
          <w:color w:val="auto"/>
        </w:rPr>
      </w:pPr>
    </w:p>
    <w:p>
      <w:pPr>
        <w:ind w:left="660" w:right="140" w:hanging="328"/>
        <w:spacing w:after="0" w:line="301"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32" w:lineRule="exact"/>
        <w:rPr>
          <w:rFonts w:ascii="Arial" w:cs="Arial" w:eastAsia="Arial" w:hAnsi="Arial"/>
          <w:sz w:val="19"/>
          <w:szCs w:val="19"/>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Evergy Metro is an integrated, regulated electric utility that provides electricity to customers in the states of Missouri and Kansas.</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Missouri West is an integrated, regulated electric utility that provides electricity to customers in the state of Missouri.</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60" w:right="40" w:hanging="328"/>
        <w:spacing w:after="0" w:line="277" w:lineRule="auto"/>
        <w:tabs>
          <w:tab w:leader="none" w:pos="648" w:val="left"/>
        </w:tabs>
        <w:numPr>
          <w:ilvl w:val="0"/>
          <w:numId w:val="12"/>
        </w:numPr>
        <w:rPr>
          <w:rFonts w:ascii="Arial" w:cs="Arial" w:eastAsia="Arial" w:hAnsi="Arial"/>
          <w:sz w:val="19"/>
          <w:szCs w:val="19"/>
          <w:color w:val="auto"/>
        </w:rPr>
      </w:pPr>
      <w:r>
        <w:rPr>
          <w:rFonts w:ascii="Arial" w:cs="Arial" w:eastAsia="Arial" w:hAnsi="Arial"/>
          <w:sz w:val="19"/>
          <w:szCs w:val="19"/>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75" w:lineRule="exact"/>
        <w:rPr>
          <w:sz w:val="20"/>
          <w:szCs w:val="20"/>
          <w:color w:val="auto"/>
        </w:rPr>
      </w:pPr>
    </w:p>
    <w:p>
      <w:pPr>
        <w:ind w:right="60"/>
        <w:spacing w:after="0" w:line="299" w:lineRule="auto"/>
        <w:rPr>
          <w:sz w:val="20"/>
          <w:szCs w:val="20"/>
          <w:color w:val="auto"/>
        </w:rPr>
      </w:pPr>
      <w:r>
        <w:rPr>
          <w:rFonts w:ascii="Arial" w:cs="Arial" w:eastAsia="Arial" w:hAnsi="Arial"/>
          <w:sz w:val="18"/>
          <w:szCs w:val="18"/>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58" w:lineRule="exact"/>
        <w:rPr>
          <w:sz w:val="20"/>
          <w:szCs w:val="20"/>
          <w:color w:val="auto"/>
        </w:rPr>
      </w:pPr>
    </w:p>
    <w:p>
      <w:pPr>
        <w:ind w:right="240"/>
        <w:spacing w:after="0" w:line="251"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and Evergy Metro 2023 Rate Case Proceeding</w:t>
      </w:r>
    </w:p>
    <w:p>
      <w:pPr>
        <w:spacing w:after="0" w:line="22"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In April 2023, Evergy Kansas Central and Evergy Metro filed an application with the KCC to request an increase to their retail revenues. See Note 4 to the consolidated financial statements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Renewable Generation Investment</w:t>
      </w:r>
    </w:p>
    <w:p>
      <w:pPr>
        <w:spacing w:after="0" w:line="26"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In August 2022, Evergy Missouri West entered into an agreement with a renewable energy development company to purchase for approximately $250 million an operational wind farm located in the state of Oklahoma with a generating capacity of approximately 199 MW. Pursuant to the agreement, Evergy Missouri West is permitted to assign its right to purchase the wind farm to another entity, including to other Evergy affiliated companies.</w:t>
      </w:r>
    </w:p>
    <w:p>
      <w:pPr>
        <w:spacing w:after="0" w:line="18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Evergy Missouri West's purchase is subject to regulatory approvals and closing conditions, including the granting of a CCN by the MPSC. In April 2023, the MPSC issued a final order granting the CCN pursuant to certain conditions related to the sharing of operational costs between ratepayers and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Evergy Missouri West is currently evaluating the assignment of its right to purchase the wind farm to Evergy Kansas Central, which has</w:t>
      </w:r>
    </w:p>
    <w:p>
      <w:pPr>
        <w:spacing w:after="0" w:line="25"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included the purchase of the wind farm in its rate case application to the KCC which was filed in April 2023. See Note 4 to the consolidated financial statements for additional information on Evergy Kansas Central's rate case proceeding. The purchase of the wind farm is expected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close in the second quarter of 2023.</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Proceedings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4 to the consolidated financial statements for information regarding regulatory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Wolf Creek Refueling Outage</w:t>
      </w:r>
    </w:p>
    <w:p>
      <w:pPr>
        <w:spacing w:after="0" w:line="26" w:lineRule="exact"/>
        <w:rPr>
          <w:sz w:val="20"/>
          <w:szCs w:val="20"/>
          <w:color w:val="auto"/>
        </w:rPr>
      </w:pPr>
    </w:p>
    <w:p>
      <w:pPr>
        <w:ind w:right="480"/>
        <w:spacing w:after="0" w:line="253" w:lineRule="auto"/>
        <w:rPr>
          <w:sz w:val="20"/>
          <w:szCs w:val="20"/>
          <w:color w:val="auto"/>
        </w:rPr>
      </w:pPr>
      <w:r>
        <w:rPr>
          <w:rFonts w:ascii="Arial" w:cs="Arial" w:eastAsia="Arial" w:hAnsi="Arial"/>
          <w:sz w:val="20"/>
          <w:szCs w:val="20"/>
          <w:color w:val="auto"/>
        </w:rPr>
        <w:t>Wolf Creek's most recent refueling outage began in October 2022 and the unit returned to service in November 2022. Wolf Creek's next refueling outage is planned to begin in the first quarter of 2024.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Overview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net income and diluted EPS.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6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Change</w:t>
            </w:r>
          </w:p>
        </w:tc>
        <w:tc>
          <w:tcPr>
            <w:tcW w:w="3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207"/>
        </w:trPr>
        <w:tc>
          <w:tcPr>
            <w:tcW w:w="5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340" w:type="dxa"/>
            <w:vAlign w:val="bottom"/>
            <w:gridSpan w:val="5"/>
          </w:tcPr>
          <w:p>
            <w:pPr>
              <w:jc w:val="right"/>
              <w:ind w:right="610"/>
              <w:spacing w:after="0"/>
              <w:rPr>
                <w:sz w:val="20"/>
                <w:szCs w:val="20"/>
                <w:color w:val="auto"/>
              </w:rPr>
            </w:pPr>
            <w:r>
              <w:rPr>
                <w:rFonts w:ascii="Arial" w:cs="Arial" w:eastAsia="Arial" w:hAnsi="Arial"/>
                <w:sz w:val="16"/>
                <w:szCs w:val="16"/>
                <w:color w:val="auto"/>
              </w:rPr>
              <w:t>(millions, except per share amounts)</w:t>
            </w:r>
          </w:p>
        </w:tc>
      </w:tr>
      <w:tr>
        <w:trPr>
          <w:trHeight w:val="232"/>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142.6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3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common share, diluted</w:t>
            </w:r>
          </w:p>
        </w:tc>
        <w:tc>
          <w:tcPr>
            <w:tcW w:w="2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0.62</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0.09</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r>
    </w:tbl>
    <w:p>
      <w:pPr>
        <w:spacing w:after="0" w:line="29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Net income attributable to Evergy, Inc. increased for the three months ended March 31, 2023, compared to the same period in 2022, primarily due to lower operating and maintenance expenses, new Evergy Metro and Evergy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780"/>
        <w:spacing w:after="0" w:line="332" w:lineRule="auto"/>
        <w:rPr>
          <w:sz w:val="20"/>
          <w:szCs w:val="20"/>
          <w:color w:val="auto"/>
        </w:rPr>
      </w:pPr>
      <w:r>
        <w:rPr>
          <w:rFonts w:ascii="Arial" w:cs="Arial" w:eastAsia="Arial" w:hAnsi="Arial"/>
          <w:sz w:val="18"/>
          <w:szCs w:val="18"/>
          <w:color w:val="auto"/>
        </w:rPr>
        <w:t>Missouri West retail rates effective in January 2023 and a realized loss in 2022 from an equity investment; partially offset by higher depreciation expense, higher interest expense and lower retail sales in the first quarter of 2023 driven by warmer winter weather.</w:t>
      </w:r>
    </w:p>
    <w:p>
      <w:pPr>
        <w:spacing w:after="0" w:line="116" w:lineRule="exact"/>
        <w:rPr>
          <w:sz w:val="20"/>
          <w:szCs w:val="20"/>
          <w:color w:val="auto"/>
        </w:rPr>
      </w:pPr>
    </w:p>
    <w:p>
      <w:pPr>
        <w:ind w:right="60"/>
        <w:spacing w:after="0" w:line="274" w:lineRule="auto"/>
        <w:rPr>
          <w:sz w:val="20"/>
          <w:szCs w:val="20"/>
          <w:color w:val="auto"/>
        </w:rPr>
      </w:pPr>
      <w:r>
        <w:rPr>
          <w:rFonts w:ascii="Arial" w:cs="Arial" w:eastAsia="Arial" w:hAnsi="Arial"/>
          <w:sz w:val="20"/>
          <w:szCs w:val="20"/>
          <w:color w:val="auto"/>
        </w:rPr>
        <w:t>Diluted EPS increased for the three months ended March 31, 2023, compared to the same period in 2022, primarily due to the increase in net income attributable to Evergy, Inc. discussed above.</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For additional information regarding the change in net income, refer to the Evergy Results of Operations section within this MD&amp;A.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Utility Gross Margin (non-GAAP)</w:t>
      </w:r>
    </w:p>
    <w:p>
      <w:pPr>
        <w:spacing w:after="0" w:line="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Utility gross margin (non-GAAP) is intended to aid an investor's overall understanding of results. Management believes that utility gross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margin (non-GAAP) provides a meaningful basis for evaluating the Evergy Companies' operations across periods because utility gross</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margin (non-GAAP) excludes the revenue effect of fluctuations in fuel and purchased power costs and SPP network transmission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costs. Utility gross margin (non-GAAP) is used internally to measure performance against budget and in reports for management and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Evergy Board. Utility gross margin (non-GAAP) should be viewed as a supplement to, and not a substitute for, gross margin, which is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most directly comparable financial measure prepared in accordance with GAAP. Gross margin under GAAP is defined as the excess of sales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over cost of goods sold.</w:t>
      </w:r>
    </w:p>
    <w:p>
      <w:pPr>
        <w:spacing w:after="0" w:line="213" w:lineRule="exact"/>
        <w:rPr>
          <w:sz w:val="20"/>
          <w:szCs w:val="20"/>
          <w:color w:val="auto"/>
        </w:rPr>
      </w:pPr>
    </w:p>
    <w:p>
      <w:pPr>
        <w:ind w:right="280"/>
        <w:spacing w:after="0" w:line="255" w:lineRule="auto"/>
        <w:rPr>
          <w:sz w:val="20"/>
          <w:szCs w:val="20"/>
          <w:color w:val="auto"/>
        </w:rPr>
      </w:pPr>
      <w:r>
        <w:rPr>
          <w:rFonts w:ascii="Arial" w:cs="Arial" w:eastAsia="Arial" w:hAnsi="Arial"/>
          <w:sz w:val="20"/>
          <w:szCs w:val="20"/>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Earnings (non-GAAP) and Adjusted EPS (non-GAAP)</w:t>
      </w:r>
    </w:p>
    <w:p>
      <w:pPr>
        <w:spacing w:after="0" w:line="20"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Management believes that adjusted earnings (non-GAAP) and adjusted EPS (non-GAAP) are representative measures of Evergy's recurring earnings, assists in the comparability of results and is consistent with how management reviews performance. Evergy's adjusted earnings (non-GAAP) and adjusted EPS (non-GAAP) for the three months ended March 31, 2022 have been recast, as applicable, to conform to the current year presentation.</w:t>
      </w:r>
    </w:p>
    <w:p>
      <w:pPr>
        <w:spacing w:after="0" w:line="184" w:lineRule="exact"/>
        <w:rPr>
          <w:sz w:val="20"/>
          <w:szCs w:val="20"/>
          <w:color w:val="auto"/>
        </w:rPr>
      </w:pPr>
    </w:p>
    <w:p>
      <w:pPr>
        <w:jc w:val="both"/>
        <w:ind w:right="160"/>
        <w:spacing w:after="0" w:line="264" w:lineRule="auto"/>
        <w:rPr>
          <w:sz w:val="20"/>
          <w:szCs w:val="20"/>
          <w:color w:val="auto"/>
        </w:rPr>
      </w:pPr>
      <w:r>
        <w:rPr>
          <w:rFonts w:ascii="Arial" w:cs="Arial" w:eastAsia="Arial" w:hAnsi="Arial"/>
          <w:sz w:val="20"/>
          <w:szCs w:val="20"/>
          <w:color w:val="auto"/>
        </w:rPr>
        <w:t>Evergy's adjusted earnings (non-GAAP) and adjusted EPS (non-GAAP) for the three months ended March 31, 2023 were $136.1 million or $0.59 per share. For the three months ended March 31, 2022, Evergy's adjusted earnings (non-GAAP) and adjusted EPS (non-GAAP) were $129.9 million or $0.56 per share.</w:t>
      </w:r>
    </w:p>
    <w:p>
      <w:pPr>
        <w:spacing w:after="0" w:line="173" w:lineRule="exact"/>
        <w:rPr>
          <w:sz w:val="20"/>
          <w:szCs w:val="20"/>
          <w:color w:val="auto"/>
        </w:rPr>
      </w:pPr>
    </w:p>
    <w:p>
      <w:pPr>
        <w:ind w:right="180"/>
        <w:spacing w:after="0" w:line="290" w:lineRule="auto"/>
        <w:rPr>
          <w:sz w:val="20"/>
          <w:szCs w:val="20"/>
          <w:color w:val="auto"/>
        </w:rPr>
      </w:pPr>
      <w:r>
        <w:rPr>
          <w:rFonts w:ascii="Arial" w:cs="Arial" w:eastAsia="Arial" w:hAnsi="Arial"/>
          <w:sz w:val="18"/>
          <w:szCs w:val="18"/>
          <w:color w:val="auto"/>
        </w:rPr>
        <w:t>In addition to net income attributable to Evergy, Inc. and diluted EPS, Evergy's management uses adjusted earnings (non-GAAP) and adjusted EPS (non-GAAP) to evaluate earnings and EPS without i.) the costs resulting from non-regulated energy marketing margins from the February 2021 winter weather event; ii.) gains or losses related to equity investments subject to a restriction on sale; iii.) the revenues collected from customers for the return on investment of the retired Sibley Station in 2022 for future refunds to customers; iv.) the mark-to-market impacts of economic hedges related to Evergy Kansas Central's non-regulated 8% ownership share of JEC; and v.) the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720"/>
        <w:spacing w:after="0" w:line="274" w:lineRule="auto"/>
        <w:rPr>
          <w:sz w:val="20"/>
          <w:szCs w:val="20"/>
          <w:color w:val="auto"/>
        </w:rPr>
      </w:pPr>
      <w:r>
        <w:rPr>
          <w:rFonts w:ascii="Arial" w:cs="Arial" w:eastAsia="Arial" w:hAnsi="Arial"/>
          <w:sz w:val="20"/>
          <w:szCs w:val="20"/>
          <w:color w:val="auto"/>
        </w:rPr>
        <w:t>transmission revenues collected from customers in 2022 through Evergy Kansas Central's FERC TFR to be refunded to customers in accordance with a December 2022 FERC order.</w:t>
      </w:r>
    </w:p>
    <w:p>
      <w:pPr>
        <w:spacing w:after="0" w:line="163"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197"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90"/>
              </w:rPr>
              <w:t>Earnings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Earnings</w:t>
            </w:r>
          </w:p>
        </w:tc>
        <w:tc>
          <w:tcPr>
            <w:tcW w:w="240" w:type="dxa"/>
            <w:vAlign w:val="bottom"/>
          </w:tcPr>
          <w:p>
            <w:pPr>
              <w:spacing w:after="0"/>
              <w:rPr>
                <w:sz w:val="16"/>
                <w:szCs w:val="16"/>
                <w:color w:val="auto"/>
              </w:rPr>
            </w:pPr>
          </w:p>
        </w:tc>
        <w:tc>
          <w:tcPr>
            <w:tcW w:w="1020" w:type="dxa"/>
            <w:vAlign w:val="bottom"/>
          </w:tcPr>
          <w:p>
            <w:pPr>
              <w:jc w:val="center"/>
              <w:ind w:right="110"/>
              <w:spacing w:after="0" w:line="184"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6"/>
                <w:szCs w:val="16"/>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6"/>
                <w:szCs w:val="16"/>
                <w:color w:val="auto"/>
              </w:rPr>
            </w:pPr>
          </w:p>
        </w:tc>
        <w:tc>
          <w:tcPr>
            <w:tcW w:w="94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4"/>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Sibley Station return on investment, pre-tax</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6280" w:type="dxa"/>
            <w:vAlign w:val="bottom"/>
          </w:tcPr>
          <w:p>
            <w:pPr>
              <w:ind w:left="360"/>
              <w:spacing w:after="0" w:line="230" w:lineRule="exact"/>
              <w:rPr>
                <w:sz w:val="20"/>
                <w:szCs w:val="20"/>
                <w:color w:val="auto"/>
              </w:rPr>
            </w:pPr>
            <w:r>
              <w:rPr>
                <w:rFonts w:ascii="Arial" w:cs="Arial" w:eastAsia="Arial" w:hAnsi="Arial"/>
                <w:sz w:val="18"/>
                <w:szCs w:val="18"/>
                <w:color w:val="auto"/>
              </w:rPr>
              <w:t>Mark-to-market impact of JEC economic hedges, pre-tax</w:t>
            </w:r>
            <w:r>
              <w:rPr>
                <w:rFonts w:ascii="Arial" w:cs="Arial" w:eastAsia="Arial" w:hAnsi="Arial"/>
                <w:sz w:val="23"/>
                <w:szCs w:val="23"/>
                <w:color w:val="auto"/>
                <w:vertAlign w:val="superscript"/>
              </w:rPr>
              <w:t>(b)</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Non-regulated energy marketing costs related to February 2021 winter weather</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360"/>
              <w:spacing w:after="0" w:line="243" w:lineRule="exact"/>
              <w:rPr>
                <w:sz w:val="20"/>
                <w:szCs w:val="20"/>
                <w:color w:val="auto"/>
              </w:rPr>
            </w:pPr>
            <w:r>
              <w:rPr>
                <w:rFonts w:ascii="Arial" w:cs="Arial" w:eastAsia="Arial" w:hAnsi="Arial"/>
                <w:sz w:val="18"/>
                <w:szCs w:val="18"/>
                <w:color w:val="auto"/>
              </w:rPr>
              <w:t>event, pre-tax</w:t>
            </w:r>
            <w:r>
              <w:rPr>
                <w:rFonts w:ascii="Arial" w:cs="Arial" w:eastAsia="Arial" w:hAnsi="Arial"/>
                <w:sz w:val="23"/>
                <w:szCs w:val="23"/>
                <w:color w:val="auto"/>
                <w:vertAlign w:val="superscript"/>
              </w:rPr>
              <w:t>(c)</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line="230" w:lineRule="exact"/>
              <w:rPr>
                <w:sz w:val="20"/>
                <w:szCs w:val="20"/>
                <w:color w:val="auto"/>
              </w:rPr>
            </w:pPr>
            <w:r>
              <w:rPr>
                <w:rFonts w:ascii="Arial" w:cs="Arial" w:eastAsia="Arial" w:hAnsi="Arial"/>
                <w:sz w:val="18"/>
                <w:szCs w:val="18"/>
                <w:color w:val="auto"/>
              </w:rPr>
              <w:t>Restricted equity investment losses, pre-tax</w:t>
            </w:r>
            <w:r>
              <w:rPr>
                <w:rFonts w:ascii="Arial" w:cs="Arial" w:eastAsia="Arial" w:hAnsi="Arial"/>
                <w:sz w:val="23"/>
                <w:szCs w:val="23"/>
                <w:color w:val="auto"/>
                <w:vertAlign w:val="superscript"/>
              </w:rPr>
              <w:t>(d)</w:t>
            </w: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TFR refund, pre-tax</w:t>
            </w:r>
            <w:r>
              <w:rPr>
                <w:rFonts w:ascii="Arial" w:cs="Arial" w:eastAsia="Arial" w:hAnsi="Arial"/>
                <w:sz w:val="23"/>
                <w:szCs w:val="23"/>
                <w:color w:val="auto"/>
                <w:vertAlign w:val="superscript"/>
              </w:rPr>
              <w:t>(e)</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ind w:left="360"/>
              <w:spacing w:after="0" w:line="230" w:lineRule="exact"/>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23"/>
                <w:szCs w:val="23"/>
                <w:color w:val="auto"/>
                <w:vertAlign w:val="superscript"/>
              </w:rPr>
              <w:t>(f)</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earnings (non-GAAP)</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180" w:hanging="172"/>
        <w:spacing w:after="0" w:line="233" w:lineRule="auto"/>
        <w:tabs>
          <w:tab w:leader="none" w:pos="175"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Reflects revenues collected from customers for the return on investment of the retired Sibley Station in 2022 that are included in operating revenues on the consolidated statements of comprehensive income.</w:t>
      </w:r>
    </w:p>
    <w:p>
      <w:pPr>
        <w:spacing w:after="0" w:line="1" w:lineRule="exact"/>
        <w:rPr>
          <w:rFonts w:ascii="Arial" w:cs="Arial" w:eastAsia="Arial" w:hAnsi="Arial"/>
          <w:sz w:val="20"/>
          <w:szCs w:val="20"/>
          <w:color w:val="auto"/>
          <w:vertAlign w:val="superscript"/>
        </w:rPr>
      </w:pPr>
    </w:p>
    <w:p>
      <w:pPr>
        <w:ind w:left="180" w:right="160" w:hanging="172"/>
        <w:spacing w:after="0" w:line="255" w:lineRule="auto"/>
        <w:tabs>
          <w:tab w:leader="none" w:pos="168"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Reflects mark-to-market gains or losses related to forward contracts for natural gas and electricity entered into as economic hedges against fuel price volatility related to Evergy Kansas Central's non-regulated 8% ownership share of JEC that are included in operating revenues on the consolidated statements of comprehensive income.</w:t>
      </w:r>
    </w:p>
    <w:p>
      <w:pPr>
        <w:ind w:left="180" w:right="140" w:hanging="172"/>
        <w:spacing w:after="0" w:line="220" w:lineRule="auto"/>
        <w:tabs>
          <w:tab w:leader="none" w:pos="175"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Reflects non-regulated energy marketing incentive compensation costs related to the February 2021 winter weather event that are included in operating and maintenance expense on the consolidated statements of comprehensive income.</w:t>
      </w:r>
    </w:p>
    <w:p>
      <w:pPr>
        <w:spacing w:after="0" w:line="1" w:lineRule="exact"/>
        <w:rPr>
          <w:rFonts w:ascii="Arial" w:cs="Arial" w:eastAsia="Arial" w:hAnsi="Arial"/>
          <w:sz w:val="21"/>
          <w:szCs w:val="21"/>
          <w:color w:val="auto"/>
          <w:vertAlign w:val="superscript"/>
        </w:rPr>
      </w:pPr>
    </w:p>
    <w:p>
      <w:pPr>
        <w:ind w:left="180" w:right="620" w:hanging="172"/>
        <w:spacing w:after="0" w:line="234" w:lineRule="auto"/>
        <w:tabs>
          <w:tab w:leader="none" w:pos="168"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Reflects losses related to equity investments which were subject to a restriction on sale that are included in investment earnings on the consolidated statements of comprehensive income.</w:t>
      </w:r>
    </w:p>
    <w:p>
      <w:pPr>
        <w:ind w:left="180" w:right="700" w:hanging="172"/>
        <w:spacing w:after="0" w:line="233" w:lineRule="auto"/>
        <w:tabs>
          <w:tab w:leader="none" w:pos="175"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Reflects transmission revenues collected from customers in 2022 through Evergy Kansas Central's FERC TFR to be refunded to customers in accordance with a December 2022 FERC order that are included in operating revenues on the consolidated statements of comprehensive income.</w:t>
      </w:r>
    </w:p>
    <w:p>
      <w:pPr>
        <w:ind w:left="160" w:hanging="152"/>
        <w:spacing w:after="0" w:line="201" w:lineRule="auto"/>
        <w:tabs>
          <w:tab w:leader="none" w:pos="16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Reflects an income tax effect calculated at a statutory rate of approximately 22%.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10 to the consolidated financial statements for information regarding environmental matters.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RELATED PARTY TRANSACTIONS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See Note 11 to the consolidated financial statements for information regarding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comparative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9"/>
              </w:rPr>
              <w:t>Change</w:t>
            </w:r>
          </w:p>
        </w:tc>
        <w:tc>
          <w:tcPr>
            <w:tcW w:w="3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220"/>
        </w:trPr>
        <w:tc>
          <w:tcPr>
            <w:tcW w:w="7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color w:val="auto"/>
              </w:rPr>
              <w:t>(millions)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354.2</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309.0</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216.3</w:t>
            </w:r>
          </w:p>
        </w:tc>
        <w:tc>
          <w:tcPr>
            <w:tcW w:w="2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252.2</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r>
      <w:tr>
        <w:trPr>
          <w:trHeight w:val="223"/>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26.3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6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125.6</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20.1</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Gross Margin (GAAP) and Utility Gross Margin (non-GAAP)</w:t>
      </w:r>
    </w:p>
    <w:p>
      <w:pPr>
        <w:spacing w:after="0" w:line="26" w:lineRule="exact"/>
        <w:rPr>
          <w:sz w:val="20"/>
          <w:szCs w:val="20"/>
          <w:color w:val="auto"/>
        </w:rPr>
      </w:pPr>
    </w:p>
    <w:p>
      <w:pPr>
        <w:ind w:left="1" w:right="140"/>
        <w:spacing w:after="0" w:line="253" w:lineRule="auto"/>
        <w:rPr>
          <w:sz w:val="20"/>
          <w:szCs w:val="20"/>
          <w:color w:val="auto"/>
        </w:rPr>
      </w:pPr>
      <w:r>
        <w:rPr>
          <w:rFonts w:ascii="Arial" w:cs="Arial" w:eastAsia="Arial" w:hAnsi="Arial"/>
          <w:sz w:val="20"/>
          <w:szCs w:val="20"/>
          <w:color w:val="auto"/>
        </w:rPr>
        <w:t>The following table summarizes Evergy's gross margin (GAAP) and MWhs sold and reconciles Evergy's gross margin (GAAP) to Evergy's utility gross margin (non-GAAP). See "Executive Summary - Non-GAAP Measures", above for additional information regarding gross margin (GAAP) and utility gross margin (non-GAAP).</w:t>
      </w:r>
    </w:p>
    <w:p>
      <w:pPr>
        <w:spacing w:after="0" w:line="99"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40" w:type="dxa"/>
            <w:vAlign w:val="bottom"/>
            <w:tcBorders>
              <w:top w:val="single" w:sz="8" w:color="auto"/>
            </w:tcBorders>
          </w:tcPr>
          <w:p>
            <w:pPr>
              <w:spacing w:after="0"/>
              <w:rPr>
                <w:sz w:val="21"/>
                <w:szCs w:val="2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Arial" w:cs="Arial" w:eastAsia="Arial" w:hAnsi="Arial"/>
                <w:sz w:val="16"/>
                <w:szCs w:val="16"/>
                <w:color w:val="auto"/>
                <w:w w:val="96"/>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3,741</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430.0</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403.1</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4,311</w:t>
            </w:r>
          </w:p>
        </w:tc>
        <w:tc>
          <w:tcPr>
            <w:tcW w:w="1160" w:type="dxa"/>
            <w:vAlign w:val="bottom"/>
          </w:tcPr>
          <w:p>
            <w:pPr>
              <w:jc w:val="center"/>
              <w:ind w:left="371"/>
              <w:spacing w:after="0"/>
              <w:rPr>
                <w:sz w:val="20"/>
                <w:szCs w:val="20"/>
                <w:color w:val="auto"/>
              </w:rPr>
            </w:pPr>
            <w:r>
              <w:rPr>
                <w:rFonts w:ascii="Arial" w:cs="Arial" w:eastAsia="Arial" w:hAnsi="Arial"/>
                <w:sz w:val="18"/>
                <w:szCs w:val="18"/>
                <w:color w:val="auto"/>
                <w:w w:val="89"/>
              </w:rPr>
              <w:t>55</w:t>
            </w:r>
          </w:p>
        </w:tc>
        <w:tc>
          <w:tcPr>
            <w:tcW w:w="840" w:type="dxa"/>
            <w:vAlign w:val="bottom"/>
          </w:tcPr>
          <w:p>
            <w:pPr>
              <w:jc w:val="right"/>
              <w:spacing w:after="0"/>
              <w:rPr>
                <w:sz w:val="20"/>
                <w:szCs w:val="20"/>
                <w:color w:val="auto"/>
              </w:rPr>
            </w:pPr>
            <w:r>
              <w:rPr>
                <w:rFonts w:ascii="Arial" w:cs="Arial" w:eastAsia="Arial" w:hAnsi="Arial"/>
                <w:sz w:val="18"/>
                <w:szCs w:val="18"/>
                <w:color w:val="auto"/>
              </w:rPr>
              <w:t>4,256</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2,064</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31</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1,059.0</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44.8</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10,147</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10,336</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3,548</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(352)</w:t>
            </w:r>
          </w:p>
        </w:tc>
        <w:tc>
          <w:tcPr>
            <w:tcW w:w="84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9"/>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61.6</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99"/>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1,296.8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13,695</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14,236</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(354.2)</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(118.2)</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377.4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118.2</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102.4</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836.2</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spacing w:after="0" w:line="4" w:lineRule="exact"/>
        <w:rPr>
          <w:sz w:val="20"/>
          <w:szCs w:val="20"/>
          <w:color w:val="auto"/>
        </w:rPr>
      </w:pPr>
    </w:p>
    <w:p>
      <w:pPr>
        <w:ind w:left="161" w:right="140" w:hanging="161"/>
        <w:spacing w:after="0" w:line="225" w:lineRule="auto"/>
        <w:tabs>
          <w:tab w:leader="none" w:pos="156"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$98.1 million and $120.8 million for the three months ended March 31, 2023 and 2022, respectively.</w:t>
      </w:r>
    </w:p>
    <w:p>
      <w:pPr>
        <w:spacing w:after="0" w:line="194" w:lineRule="exact"/>
        <w:rPr>
          <w:sz w:val="20"/>
          <w:szCs w:val="20"/>
          <w:color w:val="auto"/>
        </w:rPr>
      </w:pPr>
    </w:p>
    <w:p>
      <w:pPr>
        <w:jc w:val="both"/>
        <w:ind w:left="1" w:right="40"/>
        <w:spacing w:after="0" w:line="257" w:lineRule="auto"/>
        <w:rPr>
          <w:sz w:val="20"/>
          <w:szCs w:val="20"/>
          <w:color w:val="auto"/>
        </w:rPr>
      </w:pPr>
      <w:r>
        <w:rPr>
          <w:rFonts w:ascii="Arial" w:cs="Arial" w:eastAsia="Arial" w:hAnsi="Arial"/>
          <w:sz w:val="20"/>
          <w:szCs w:val="20"/>
          <w:color w:val="auto"/>
        </w:rPr>
        <w:t>Evergy's gross margin (GAAP) increased $3.5 million for the three months ended March 31, 2023, compared to the same period in 2022 and Evergy's utility gross margin (non-GAAP) increased $25.2 million for the three months ended March 31, 2023, compared to the same period in 2022, both measures were driven by:</w:t>
      </w:r>
    </w:p>
    <w:p>
      <w:pPr>
        <w:spacing w:after="0" w:line="85" w:lineRule="exact"/>
        <w:rPr>
          <w:sz w:val="20"/>
          <w:szCs w:val="20"/>
          <w:color w:val="auto"/>
        </w:rPr>
      </w:pPr>
    </w:p>
    <w:p>
      <w:pPr>
        <w:ind w:left="641" w:hanging="308"/>
        <w:spacing w:after="0"/>
        <w:tabs>
          <w:tab w:leader="none" w:pos="641"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$11.8 million increase from new Evergy Metro and Evergy Missouri West retail rates effective in January 2023;</w:t>
      </w:r>
    </w:p>
    <w:p>
      <w:pPr>
        <w:spacing w:after="0" w:line="107" w:lineRule="exact"/>
        <w:rPr>
          <w:rFonts w:ascii="Arial" w:cs="Arial" w:eastAsia="Arial" w:hAnsi="Arial"/>
          <w:sz w:val="20"/>
          <w:szCs w:val="20"/>
          <w:color w:val="auto"/>
        </w:rPr>
      </w:pPr>
    </w:p>
    <w:p>
      <w:pPr>
        <w:ind w:left="661" w:right="540" w:hanging="328"/>
        <w:spacing w:after="0" w:line="387"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$8.4 million increase due to mark-to-market gains related to forward contracts for natural gas and electricity entered into as economic hedges against fuel price volatility related to Evergy Kansas Central's non-regulated 8% ownership share of JEC;</w:t>
      </w:r>
    </w:p>
    <w:p>
      <w:pPr>
        <w:ind w:left="661" w:right="380" w:hanging="328"/>
        <w:spacing w:after="0" w:line="260" w:lineRule="auto"/>
        <w:tabs>
          <w:tab w:leader="none" w:pos="649"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$7.8 million increase in transmission revenue primarily due to updated transmission costs reflected in Evergy Kansas Central's FERC TFR effective in January 2023 and revised in March 2023; and</w:t>
      </w:r>
    </w:p>
    <w:p>
      <w:pPr>
        <w:spacing w:after="0" w:line="82" w:lineRule="exact"/>
        <w:rPr>
          <w:rFonts w:ascii="Arial" w:cs="Arial" w:eastAsia="Arial" w:hAnsi="Arial"/>
          <w:sz w:val="20"/>
          <w:szCs w:val="20"/>
          <w:color w:val="auto"/>
        </w:rPr>
      </w:pPr>
    </w:p>
    <w:p>
      <w:pPr>
        <w:ind w:left="661" w:right="220" w:hanging="328"/>
        <w:spacing w:after="0" w:line="260" w:lineRule="auto"/>
        <w:tabs>
          <w:tab w:leader="none" w:pos="649"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$6.4 million increase in operating revenue related to non-regulated energy marketing activity at Evergy Kansas Central; partially offset by</w:t>
      </w:r>
    </w:p>
    <w:p>
      <w:pPr>
        <w:spacing w:after="0" w:line="82" w:lineRule="exact"/>
        <w:rPr>
          <w:rFonts w:ascii="Arial" w:cs="Arial" w:eastAsia="Arial" w:hAnsi="Arial"/>
          <w:sz w:val="20"/>
          <w:szCs w:val="20"/>
          <w:color w:val="auto"/>
        </w:rPr>
      </w:pPr>
    </w:p>
    <w:p>
      <w:pPr>
        <w:ind w:left="661" w:right="140" w:hanging="328"/>
        <w:spacing w:after="0" w:line="274" w:lineRule="auto"/>
        <w:tabs>
          <w:tab w:leader="none" w:pos="649"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$9.2 million decrease primarily due to lower retail sales driven by warmer winter weather in 2023 (heating degree days decreased by 11%) partially offset by higher weather-normalized residential and commercial demand.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22" w:right="399" w:bottom="1440" w:gutter="0" w:footer="0" w:header="0"/>
        </w:sectPr>
      </w:pPr>
    </w:p>
    <w:bookmarkStart w:id="57" w:name="page58"/>
    <w:bookmarkEnd w:id="5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Additionally, the increase in Evergy's gross margin (GAAP) was also driven by:</w:t>
      </w:r>
    </w:p>
    <w:p>
      <w:pPr>
        <w:spacing w:after="0" w:line="121" w:lineRule="exact"/>
        <w:rPr>
          <w:sz w:val="20"/>
          <w:szCs w:val="20"/>
          <w:color w:val="auto"/>
        </w:rPr>
      </w:pPr>
    </w:p>
    <w:p>
      <w:pPr>
        <w:ind w:left="660" w:right="100" w:hanging="328"/>
        <w:spacing w:after="0" w:line="268" w:lineRule="auto"/>
        <w:tabs>
          <w:tab w:leader="none" w:pos="648" w:val="left"/>
        </w:tabs>
        <w:numPr>
          <w:ilvl w:val="0"/>
          <w:numId w:val="16"/>
        </w:numPr>
        <w:rPr>
          <w:rFonts w:ascii="Arial" w:cs="Arial" w:eastAsia="Arial" w:hAnsi="Arial"/>
          <w:sz w:val="19"/>
          <w:szCs w:val="19"/>
          <w:color w:val="auto"/>
        </w:rPr>
      </w:pPr>
      <w:r>
        <w:rPr>
          <w:rFonts w:ascii="Arial" w:cs="Arial" w:eastAsia="Arial" w:hAnsi="Arial"/>
          <w:sz w:val="19"/>
          <w:szCs w:val="19"/>
          <w:color w:val="auto"/>
        </w:rPr>
        <w:t>a $13.2 million decrease in operating and maintenance expenses which are determined to be directly attributable to revenue producing activities primarily driven by a $5.2 million decrease in plant operating and maintenance expense at fossil-fuel generating units, a $5.0 million decrease in plant operating and maintenance expense at Wolf Creek and a $2.5 million decrease in transmission and distribution operating and maintenance expenses as further described below; partially offset by</w:t>
      </w:r>
    </w:p>
    <w:p>
      <w:pPr>
        <w:spacing w:after="0" w:line="77" w:lineRule="exact"/>
        <w:rPr>
          <w:rFonts w:ascii="Arial" w:cs="Arial" w:eastAsia="Arial" w:hAnsi="Arial"/>
          <w:sz w:val="19"/>
          <w:szCs w:val="19"/>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$34.4 million increase in depreciation and amortization as further described below.</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and Maintenance</w:t>
      </w:r>
    </w:p>
    <w:p>
      <w:pPr>
        <w:spacing w:after="0" w:line="22" w:lineRule="exact"/>
        <w:rPr>
          <w:sz w:val="20"/>
          <w:szCs w:val="20"/>
          <w:color w:val="auto"/>
        </w:rPr>
      </w:pPr>
    </w:p>
    <w:p>
      <w:pPr>
        <w:ind w:right="440"/>
        <w:spacing w:after="0" w:line="258" w:lineRule="auto"/>
        <w:rPr>
          <w:sz w:val="20"/>
          <w:szCs w:val="20"/>
          <w:color w:val="auto"/>
        </w:rPr>
      </w:pPr>
      <w:r>
        <w:rPr>
          <w:rFonts w:ascii="Arial" w:cs="Arial" w:eastAsia="Arial" w:hAnsi="Arial"/>
          <w:sz w:val="20"/>
          <w:szCs w:val="20"/>
          <w:color w:val="auto"/>
        </w:rPr>
        <w:t>Evergy's operating and maintenance expense decreased $35.9 million for the three months ended March 31, 2023, compared to the same period in 2022, primarily driven by:</w:t>
      </w:r>
    </w:p>
    <w:p>
      <w:pPr>
        <w:spacing w:after="0" w:line="70" w:lineRule="exact"/>
        <w:rPr>
          <w:sz w:val="20"/>
          <w:szCs w:val="20"/>
          <w:color w:val="auto"/>
        </w:rPr>
      </w:pPr>
    </w:p>
    <w:p>
      <w:pPr>
        <w:ind w:left="660" w:right="720" w:hanging="328"/>
        <w:spacing w:after="0" w:line="274"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$13.3 million decrease in administrative labor and employee benefits expenses primarily due to lower employee headcount compared to the first quarter of 2022;</w:t>
      </w:r>
    </w:p>
    <w:p>
      <w:pPr>
        <w:spacing w:after="0" w:line="68" w:lineRule="exact"/>
        <w:rPr>
          <w:rFonts w:ascii="Arial" w:cs="Arial" w:eastAsia="Arial" w:hAnsi="Arial"/>
          <w:sz w:val="20"/>
          <w:szCs w:val="20"/>
          <w:color w:val="auto"/>
        </w:rPr>
      </w:pPr>
    </w:p>
    <w:p>
      <w:pPr>
        <w:ind w:left="660" w:right="140" w:hanging="328"/>
        <w:spacing w:after="0" w:line="26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$5.9 million decrease in various administrative and general operating and maintenance expenses primarily due to lower regulatory amortizations at Evergy Metro and Evergy Missouri West as a result of their 2022 rate cases;</w:t>
      </w:r>
    </w:p>
    <w:p>
      <w:pPr>
        <w:spacing w:after="0" w:line="82" w:lineRule="exact"/>
        <w:rPr>
          <w:rFonts w:ascii="Arial" w:cs="Arial" w:eastAsia="Arial" w:hAnsi="Arial"/>
          <w:sz w:val="20"/>
          <w:szCs w:val="20"/>
          <w:color w:val="auto"/>
        </w:rPr>
      </w:pPr>
    </w:p>
    <w:p>
      <w:pPr>
        <w:ind w:left="660" w:right="400" w:hanging="328"/>
        <w:spacing w:after="0" w:line="26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$5.2 million decrease in plant operating and maintenance expense at fossil-fuel generating units primarily due to a $3.6 million decrease at Evergy Kansas Central driven by a major maintenance outage at JEC in 2022;</w:t>
      </w:r>
    </w:p>
    <w:p>
      <w:pPr>
        <w:spacing w:after="0" w:line="82" w:lineRule="exact"/>
        <w:rPr>
          <w:rFonts w:ascii="Arial" w:cs="Arial" w:eastAsia="Arial" w:hAnsi="Arial"/>
          <w:sz w:val="20"/>
          <w:szCs w:val="20"/>
          <w:color w:val="auto"/>
        </w:rPr>
      </w:pPr>
    </w:p>
    <w:p>
      <w:pPr>
        <w:ind w:left="660" w:right="540" w:hanging="328"/>
        <w:spacing w:after="0" w:line="257"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$5.0 million decrease in plant operating and maintenance expense at Wolf Creek at Evergy Kansas Central and Evergy Metro primarily due to lower refueling outage amortization in 2023 and lower labor expense in 2023 driven by an increase in labor capitalization and lower employee headcount;</w:t>
      </w:r>
    </w:p>
    <w:p>
      <w:pPr>
        <w:spacing w:after="0" w:line="84" w:lineRule="exact"/>
        <w:rPr>
          <w:rFonts w:ascii="Arial" w:cs="Arial" w:eastAsia="Arial" w:hAnsi="Arial"/>
          <w:sz w:val="20"/>
          <w:szCs w:val="20"/>
          <w:color w:val="auto"/>
        </w:rPr>
      </w:pPr>
    </w:p>
    <w:p>
      <w:pPr>
        <w:ind w:left="660" w:hanging="328"/>
        <w:spacing w:after="0" w:line="257"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$2.5 million decrease in transmission and distribution operating and maintenance expenses primarily at Evergy Kansas Central driven by lower labor expense primarily due to an increase in labor capitalization and lower employee headcount, partially offset by a $3.6 million increase in vegetation management costs; partially offset by</w:t>
      </w:r>
    </w:p>
    <w:p>
      <w:pPr>
        <w:spacing w:after="0" w:line="71" w:lineRule="exact"/>
        <w:rPr>
          <w:rFonts w:ascii="Arial" w:cs="Arial" w:eastAsia="Arial" w:hAnsi="Arial"/>
          <w:sz w:val="20"/>
          <w:szCs w:val="20"/>
          <w:color w:val="auto"/>
        </w:rPr>
      </w:pPr>
    </w:p>
    <w:p>
      <w:pPr>
        <w:ind w:left="660" w:right="600" w:hanging="328"/>
        <w:spacing w:after="0" w:line="301" w:lineRule="auto"/>
        <w:tabs>
          <w:tab w:leader="none" w:pos="648" w:val="left"/>
        </w:tabs>
        <w:numPr>
          <w:ilvl w:val="0"/>
          <w:numId w:val="17"/>
        </w:numPr>
        <w:rPr>
          <w:rFonts w:ascii="Arial" w:cs="Arial" w:eastAsia="Arial" w:hAnsi="Arial"/>
          <w:sz w:val="19"/>
          <w:szCs w:val="19"/>
          <w:color w:val="auto"/>
        </w:rPr>
      </w:pPr>
      <w:r>
        <w:rPr>
          <w:rFonts w:ascii="Arial" w:cs="Arial" w:eastAsia="Arial" w:hAnsi="Arial"/>
          <w:sz w:val="19"/>
          <w:szCs w:val="19"/>
          <w:color w:val="auto"/>
        </w:rPr>
        <w:t>a $3.7 million increase in property insurance expense due to a lower annual refund of nuclear insurance premiums received by Evergy Kansas Central and Evergy Metro in 2023 related to their ownership interest in Wolf Creek.</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Depreciation and Amortization</w:t>
      </w:r>
    </w:p>
    <w:p>
      <w:pPr>
        <w:spacing w:after="0" w:line="22" w:lineRule="exact"/>
        <w:rPr>
          <w:sz w:val="20"/>
          <w:szCs w:val="20"/>
          <w:color w:val="auto"/>
        </w:rPr>
      </w:pPr>
    </w:p>
    <w:p>
      <w:pPr>
        <w:ind w:right="240"/>
        <w:spacing w:after="0" w:line="258" w:lineRule="auto"/>
        <w:rPr>
          <w:sz w:val="20"/>
          <w:szCs w:val="20"/>
          <w:color w:val="auto"/>
        </w:rPr>
      </w:pPr>
      <w:r>
        <w:rPr>
          <w:rFonts w:ascii="Arial" w:cs="Arial" w:eastAsia="Arial" w:hAnsi="Arial"/>
          <w:sz w:val="20"/>
          <w:szCs w:val="20"/>
          <w:color w:val="auto"/>
        </w:rPr>
        <w:t>Evergy's depreciation and amortization expense increased $34.4 million for the three months ended March 31, 2023, compared to the same period in 2022, primarily driven by:</w:t>
      </w:r>
    </w:p>
    <w:p>
      <w:pPr>
        <w:spacing w:after="0" w:line="70"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$23.5 million increase primarily due to capital additions; and</w:t>
      </w:r>
    </w:p>
    <w:p>
      <w:pPr>
        <w:spacing w:after="0" w:line="121" w:lineRule="exact"/>
        <w:rPr>
          <w:rFonts w:ascii="Arial" w:cs="Arial" w:eastAsia="Arial" w:hAnsi="Arial"/>
          <w:sz w:val="20"/>
          <w:szCs w:val="20"/>
          <w:color w:val="auto"/>
        </w:rPr>
      </w:pPr>
    </w:p>
    <w:p>
      <w:pPr>
        <w:ind w:left="660" w:right="400" w:hanging="328"/>
        <w:spacing w:after="0" w:line="274"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$10.9 million increase primarily due to a change in depreciation rates as a result of Evergy Metro's and Evergy Missouri West's 2022 rate cases effective in January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Expense, Net</w:t>
      </w:r>
    </w:p>
    <w:p>
      <w:pPr>
        <w:spacing w:after="0" w:line="26" w:lineRule="exact"/>
        <w:rPr>
          <w:sz w:val="20"/>
          <w:szCs w:val="20"/>
          <w:color w:val="auto"/>
        </w:rPr>
      </w:pPr>
    </w:p>
    <w:p>
      <w:pPr>
        <w:ind w:right="560"/>
        <w:spacing w:after="0" w:line="253" w:lineRule="auto"/>
        <w:rPr>
          <w:sz w:val="20"/>
          <w:szCs w:val="20"/>
          <w:color w:val="auto"/>
        </w:rPr>
      </w:pPr>
      <w:r>
        <w:rPr>
          <w:rFonts w:ascii="Arial" w:cs="Arial" w:eastAsia="Arial" w:hAnsi="Arial"/>
          <w:sz w:val="20"/>
          <w:szCs w:val="20"/>
          <w:color w:val="auto"/>
        </w:rPr>
        <w:t>Evergy's other expense, net decreased $26.3 million for the three months ended March 31, 2023, compared to the same period in 2022, primarily driven by:</w:t>
      </w:r>
    </w:p>
    <w:p>
      <w:pPr>
        <w:spacing w:after="0" w:line="88" w:lineRule="exact"/>
        <w:rPr>
          <w:sz w:val="20"/>
          <w:szCs w:val="20"/>
          <w:color w:val="auto"/>
        </w:rPr>
      </w:pPr>
    </w:p>
    <w:p>
      <w:pPr>
        <w:ind w:left="660" w:right="60" w:hanging="328"/>
        <w:spacing w:after="0" w:line="251"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$18.7 million increase in investment earnings primarily driven by a $14.2 million loss from the sale of Evergy's equity investment in an early-stage energy solutions company in 2022 and a $5.8 million increase in interest and dividend income primarily due to an increase in carrying charges related to Evergy Missouri West's costs associated with the February 2021 winter weather event to be recovered through securitization financing; partially offset by a $4.7 million decrease in unrealized gains due to the change in fair value related to other equity investments;</w:t>
      </w:r>
    </w:p>
    <w:p>
      <w:pPr>
        <w:spacing w:after="0" w:line="93"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$8.1 million decrease due to recording higher Evergy Kansas Central corporate-owned life insurance (COLI) benefits in 2023; and</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$3.6 million decrease in pension non-service costs.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6" w:lineRule="exact"/>
        <w:rPr>
          <w:sz w:val="20"/>
          <w:szCs w:val="20"/>
          <w:color w:val="auto"/>
        </w:rPr>
      </w:pPr>
    </w:p>
    <w:p>
      <w:pPr>
        <w:ind w:right="280"/>
        <w:spacing w:after="0" w:line="272" w:lineRule="auto"/>
        <w:rPr>
          <w:sz w:val="20"/>
          <w:szCs w:val="20"/>
          <w:color w:val="auto"/>
        </w:rPr>
      </w:pPr>
      <w:r>
        <w:rPr>
          <w:rFonts w:ascii="Arial" w:cs="Arial" w:eastAsia="Arial" w:hAnsi="Arial"/>
          <w:sz w:val="19"/>
          <w:szCs w:val="19"/>
          <w:color w:val="auto"/>
        </w:rPr>
        <w:t>Evergy's interest expense increased $31.3 million for the three months ended March 31, 2023, compared to the same period in 2022, primarily driven by a $27.5 million increase in interest expense on short-term borrowings primarily due to higher short-term debt balances and weighted-average interest rates for Evergy Kansas Central, Evergy Metro and Evergy Missouri West in 2023.</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235"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Evergy relies primarily upon cash from operations, short-term borrowings, long-term debt and equity issuances and its existing cash and cash equivalents to fund its capital requirements. Evergy's capital requirements primarily consist of capital expenditures, payment of contractual obligations and other commitments, and the payment of dividends to shareholders. See the Evergy Companies' combined 2022 Form 10-K for more information on Evergy's sources and uses of cash.</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Borrowings</w:t>
      </w:r>
    </w:p>
    <w:p>
      <w:pPr>
        <w:spacing w:after="0" w:line="26"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auto"/>
        </w:rPr>
        <w:t>As of March 31, 2023, Evergy had $952.8 million of available borrowing capacity under its master credit facility. The available borrowing capacity under the master credit facility consisted of $152.3 million for Evergy, Inc., $477.0 million for Evergy Kansas Central, $229.0 million for Evergy Metro and $94.5 million for Evergy Missouri West. The Evergy Companies' borrowing capacity under the master credit facility also supports their issuance of commercial paper. See Note 6 to the consolidated financial statements for more information regarding the master credit facility.</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February 2022, Evergy, Inc. entered into a $500.0 million unsecured Term Loan Facility that originally expired in February 2023. In February 2023, Evergy, Inc. amended the $500.0 million Term Loan Facility to extend the expiration date to February 2024. As a result of the amendment, Evergy, Inc. demonstrated its intent and ability to refinance the Term Loan Facility and reflected this $500.0 million borrowing within long-term debt, net, on Evergy's consolidated balance sheet as of December 31, 2022. As of March 31, 2023, Evergy had borrowed $500.0 million under the Term Loan Facility that is reflected within notes payable and commercial paper on Evergy's consolidated balance sheet. Evergy's borrowings under the Term Loan Facility were used for, among other things, working capital, capital expenditures and general corporate purposes.</w:t>
      </w:r>
    </w:p>
    <w:p>
      <w:pPr>
        <w:spacing w:after="0" w:line="200"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Along with cash flows from operations and receivable sales facilities, Evergy generally uses borrowings under its master credit facility and the issuance of commercial paper to meet its day-to-day cash flow requirements. Evergy may also utilize these short-term borrowings to repay maturing long-term debt until the long-term debt is able to be refinanced. Evergy believes that its existing cash on hand and available borrowing capacity under its master credit facility provide sufficient liquidity for its existing capital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Debt Issuances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See Note 7 to the consolidated financial statements for information regarding significant debt issuances.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Pensions</w:t>
      </w:r>
    </w:p>
    <w:p>
      <w:pPr>
        <w:spacing w:after="0" w:line="26"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For the three months ended March 31, 2023, Evergy made pension contributions of $16.4 million. Evergy expects to make additional pension contributions of $22.0 million in 2023 to satisfy ERISA funding requirements and KCC and MPSC rate orders, of which $14.4 million is expected to be paid by Evergy Kansas Central and $7.6 million is expected to be paid by Evergy Metro. Also in 2023, Evergy expects to make additional post-retirement benefit contributions of $1.6 million.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Covenants</w:t>
      </w:r>
    </w:p>
    <w:p>
      <w:pPr>
        <w:spacing w:after="0" w:line="26"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color w:val="auto"/>
        </w:rPr>
        <w:t>As of March 31, 2023, Evergy was in compliance with all debt covenants under the master credit facility, the Term Loan Facility and certain debt instruments that contain restrictions that require the maintenance of certain capitalization and leverage ratios. See Note 6 to the consolidated financial statements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Evergy's cash flows from operating, investing and financing activities.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07"/>
        </w:trPr>
        <w:tc>
          <w:tcPr>
            <w:tcW w:w="5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7"/>
                <w:szCs w:val="17"/>
                <w:color w:val="auto"/>
              </w:rPr>
            </w:pPr>
          </w:p>
        </w:tc>
      </w:tr>
      <w:tr>
        <w:trPr>
          <w:trHeight w:val="232"/>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8"/>
              </w:rPr>
              <w:t>362.9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265.1</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3120" w:type="dxa"/>
            <w:vAlign w:val="bottom"/>
          </w:tcPr>
          <w:p>
            <w:pPr>
              <w:spacing w:after="0"/>
              <w:rPr>
                <w:sz w:val="19"/>
                <w:szCs w:val="19"/>
                <w:color w:val="auto"/>
              </w:rPr>
            </w:pPr>
          </w:p>
        </w:tc>
        <w:tc>
          <w:tcPr>
            <w:tcW w:w="1020" w:type="dxa"/>
            <w:vAlign w:val="bottom"/>
          </w:tcPr>
          <w:p>
            <w:pPr>
              <w:jc w:val="center"/>
              <w:ind w:left="372"/>
              <w:spacing w:after="0"/>
              <w:rPr>
                <w:sz w:val="20"/>
                <w:szCs w:val="20"/>
                <w:color w:val="auto"/>
              </w:rPr>
            </w:pPr>
            <w:r>
              <w:rPr>
                <w:rFonts w:ascii="Arial" w:cs="Arial" w:eastAsia="Arial" w:hAnsi="Arial"/>
                <w:sz w:val="18"/>
                <w:szCs w:val="18"/>
                <w:color w:val="auto"/>
                <w:w w:val="91"/>
              </w:rPr>
              <w:t>(496.9)</w:t>
            </w:r>
          </w:p>
        </w:tc>
        <w:tc>
          <w:tcPr>
            <w:tcW w:w="420" w:type="dxa"/>
            <w:vAlign w:val="bottom"/>
          </w:tcPr>
          <w:p>
            <w:pPr>
              <w:spacing w:after="0"/>
              <w:rPr>
                <w:sz w:val="19"/>
                <w:szCs w:val="19"/>
                <w:color w:val="auto"/>
              </w:rPr>
            </w:pPr>
          </w:p>
        </w:tc>
        <w:tc>
          <w:tcPr>
            <w:tcW w:w="920" w:type="dxa"/>
            <w:vAlign w:val="bottom"/>
          </w:tcPr>
          <w:p>
            <w:pPr>
              <w:jc w:val="center"/>
              <w:ind w:left="270"/>
              <w:spacing w:after="0"/>
              <w:rPr>
                <w:sz w:val="20"/>
                <w:szCs w:val="20"/>
                <w:color w:val="auto"/>
              </w:rPr>
            </w:pPr>
            <w:r>
              <w:rPr>
                <w:rFonts w:ascii="Arial" w:cs="Arial" w:eastAsia="Arial" w:hAnsi="Arial"/>
                <w:sz w:val="18"/>
                <w:szCs w:val="18"/>
                <w:color w:val="auto"/>
                <w:w w:val="91"/>
              </w:rPr>
              <w:t>(531.3)</w:t>
            </w:r>
          </w:p>
        </w:tc>
      </w:tr>
      <w:tr>
        <w:trPr>
          <w:trHeight w:val="237"/>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ind w:left="412"/>
              <w:spacing w:after="0"/>
              <w:rPr>
                <w:sz w:val="20"/>
                <w:szCs w:val="20"/>
                <w:color w:val="auto"/>
              </w:rPr>
            </w:pPr>
            <w:r>
              <w:rPr>
                <w:rFonts w:ascii="Arial" w:cs="Arial" w:eastAsia="Arial" w:hAnsi="Arial"/>
                <w:sz w:val="18"/>
                <w:szCs w:val="18"/>
                <w:color w:val="auto"/>
                <w:w w:val="88"/>
              </w:rPr>
              <w:t>137.2</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3"/>
              </w:rPr>
              <w:t>262.2</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20"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Evergy's cash flows from operating activities increased $97.8 million for the three months ended March 31, 2023, compared to the same period in 2022, primarily driven by an increase in cash receipts for retail electric sales in 2023 primarily due to collection of higher December receivables in January 2023 and increases from new Evergy Metro and Evergy Missouri West retail rates effective in January 2023.</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used in Investing Activities</w:t>
      </w:r>
    </w:p>
    <w:p>
      <w:pPr>
        <w:spacing w:after="0" w:line="16" w:lineRule="exact"/>
        <w:rPr>
          <w:sz w:val="20"/>
          <w:szCs w:val="20"/>
          <w:color w:val="auto"/>
        </w:rPr>
      </w:pPr>
    </w:p>
    <w:p>
      <w:pPr>
        <w:ind w:right="260"/>
        <w:spacing w:after="0" w:line="248" w:lineRule="auto"/>
        <w:rPr>
          <w:sz w:val="20"/>
          <w:szCs w:val="20"/>
          <w:color w:val="auto"/>
        </w:rPr>
      </w:pPr>
      <w:r>
        <w:rPr>
          <w:rFonts w:ascii="Arial" w:cs="Arial" w:eastAsia="Arial" w:hAnsi="Arial"/>
          <w:sz w:val="20"/>
          <w:szCs w:val="20"/>
          <w:color w:val="auto"/>
        </w:rPr>
        <w:t>Evergy's cash flows used in investing activities decreased $34.4 million for the three months ended March 31, 2023, compared to the same period in 2022, primarily driven by an increase in proceeds from COLI investments at Evergy Kansas Central due to a higher number of policy settlements in 2023.</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20" w:lineRule="exact"/>
        <w:rPr>
          <w:sz w:val="20"/>
          <w:szCs w:val="20"/>
          <w:color w:val="auto"/>
        </w:rPr>
      </w:pPr>
    </w:p>
    <w:p>
      <w:pPr>
        <w:ind w:right="320"/>
        <w:spacing w:after="0" w:line="253" w:lineRule="auto"/>
        <w:rPr>
          <w:sz w:val="20"/>
          <w:szCs w:val="20"/>
          <w:color w:val="auto"/>
        </w:rPr>
      </w:pPr>
      <w:r>
        <w:rPr>
          <w:rFonts w:ascii="Arial" w:cs="Arial" w:eastAsia="Arial" w:hAnsi="Arial"/>
          <w:sz w:val="20"/>
          <w:szCs w:val="20"/>
          <w:color w:val="auto"/>
        </w:rPr>
        <w:t>Evergy's cash flows from financing activities decreased $125.0 million for the three months ended March 31, 2023, compared to the same period in 2022, primarily driven by:</w:t>
      </w:r>
    </w:p>
    <w:p>
      <w:pPr>
        <w:spacing w:after="0" w:line="88"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$200.0 million decrease due to higher retirements of long-term debt, net due to Evergy Metro's repayment of $300.0 million of</w:t>
      </w:r>
    </w:p>
    <w:p>
      <w:pPr>
        <w:spacing w:after="0" w:line="38" w:lineRule="exact"/>
        <w:rPr>
          <w:rFonts w:ascii="Arial" w:cs="Arial" w:eastAsia="Arial" w:hAnsi="Arial"/>
          <w:sz w:val="18"/>
          <w:szCs w:val="18"/>
          <w:color w:val="auto"/>
        </w:rPr>
      </w:pPr>
    </w:p>
    <w:p>
      <w:pPr>
        <w:ind w:left="660" w:right="200"/>
        <w:spacing w:after="0" w:line="258" w:lineRule="auto"/>
        <w:rPr>
          <w:rFonts w:ascii="Arial" w:cs="Arial" w:eastAsia="Arial" w:hAnsi="Arial"/>
          <w:sz w:val="18"/>
          <w:szCs w:val="18"/>
          <w:color w:val="auto"/>
        </w:rPr>
      </w:pPr>
      <w:r>
        <w:rPr>
          <w:rFonts w:ascii="Arial" w:cs="Arial" w:eastAsia="Arial" w:hAnsi="Arial"/>
          <w:sz w:val="20"/>
          <w:szCs w:val="20"/>
          <w:color w:val="auto"/>
        </w:rPr>
        <w:t>3.15% Senior Notes in March 2023, partially offset by Evergy Missouri West's repayment of $100.0 million of 3.74% Senior Notes in March 2022;</w:t>
      </w:r>
    </w:p>
    <w:p>
      <w:pPr>
        <w:spacing w:after="0" w:line="83" w:lineRule="exact"/>
        <w:rPr>
          <w:rFonts w:ascii="Arial" w:cs="Arial" w:eastAsia="Arial" w:hAnsi="Arial"/>
          <w:sz w:val="18"/>
          <w:szCs w:val="18"/>
          <w:color w:val="auto"/>
        </w:rPr>
      </w:pPr>
    </w:p>
    <w:p>
      <w:pPr>
        <w:ind w:left="660" w:right="16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$32.5 million repayment of borrowings against cash surrender value of corporate-owned life insurance in 2023 due to settlements; and</w:t>
      </w:r>
    </w:p>
    <w:p>
      <w:pPr>
        <w:spacing w:after="0" w:line="82" w:lineRule="exact"/>
        <w:rPr>
          <w:rFonts w:ascii="Arial" w:cs="Arial" w:eastAsia="Arial" w:hAnsi="Arial"/>
          <w:sz w:val="20"/>
          <w:szCs w:val="20"/>
          <w:color w:val="auto"/>
        </w:rPr>
      </w:pPr>
    </w:p>
    <w:p>
      <w:pPr>
        <w:ind w:left="660" w:right="6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$18.7 million decrease in short-term debt borrowings driven by higher borrowings in 2022 for general corporate purposes; partially offset by</w:t>
      </w:r>
    </w:p>
    <w:p>
      <w:pPr>
        <w:spacing w:after="0" w:line="82" w:lineRule="exact"/>
        <w:rPr>
          <w:rFonts w:ascii="Arial" w:cs="Arial" w:eastAsia="Arial" w:hAnsi="Arial"/>
          <w:sz w:val="20"/>
          <w:szCs w:val="20"/>
          <w:color w:val="auto"/>
        </w:rPr>
      </w:pPr>
    </w:p>
    <w:p>
      <w:pPr>
        <w:ind w:left="660" w:right="200" w:hanging="328"/>
        <w:spacing w:after="0" w:line="316"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$146.3 million increase in proceeds from long-term debt, net due to Evergy Kansas Central's issuance of $400.0 million of 5.70% FMBs in March 2023; partially offset by Evergy Missouri West's issuance of $250.0 million of 3.75% FMBs in March 2022.</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EVERGY KANSAS CENTRAL,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220"/>
        <w:spacing w:after="0" w:line="274" w:lineRule="auto"/>
        <w:rPr>
          <w:sz w:val="20"/>
          <w:szCs w:val="20"/>
          <w:color w:val="auto"/>
        </w:rPr>
      </w:pPr>
      <w:r>
        <w:rPr>
          <w:rFonts w:ascii="Arial" w:cs="Arial" w:eastAsia="Arial" w:hAnsi="Arial"/>
          <w:sz w:val="20"/>
          <w:szCs w:val="20"/>
          <w:color w:val="auto"/>
        </w:rPr>
        <w:t>The below results of operations and related discussion for Evergy Kansas Central is presented in a reduced disclosure format in accordance with General Instruction (H)(2)(a) to Form 10-Q.</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comparative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678.6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144.4</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108.1</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107.6</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55.7</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r>
      <w:tr>
        <w:trPr>
          <w:trHeight w:val="22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38.4</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106.4</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Kansas Central, Inc.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31.3</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Evergy Kansas Central Gross Margin (GAAP) and Utility Gross Margin (non-GAAP)</w:t>
      </w:r>
    </w:p>
    <w:p>
      <w:pPr>
        <w:spacing w:after="0" w:line="26" w:lineRule="exact"/>
        <w:rPr>
          <w:sz w:val="20"/>
          <w:szCs w:val="20"/>
          <w:color w:val="auto"/>
        </w:rPr>
      </w:pPr>
    </w:p>
    <w:p>
      <w:pPr>
        <w:ind w:left="1" w:right="220"/>
        <w:spacing w:after="0" w:line="272" w:lineRule="auto"/>
        <w:rPr>
          <w:sz w:val="20"/>
          <w:szCs w:val="20"/>
          <w:color w:val="auto"/>
        </w:rPr>
      </w:pPr>
      <w:r>
        <w:rPr>
          <w:rFonts w:ascii="Arial" w:cs="Arial" w:eastAsia="Arial" w:hAnsi="Arial"/>
          <w:sz w:val="19"/>
          <w:szCs w:val="19"/>
          <w:color w:val="auto"/>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p>
      <w:pPr>
        <w:spacing w:after="0" w:line="84"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40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Revenues and Expenses</w:t>
            </w:r>
          </w:p>
        </w:tc>
        <w:tc>
          <w:tcPr>
            <w:tcW w:w="7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2022</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6"/>
                <w:szCs w:val="16"/>
                <w:color w:val="auto"/>
              </w:rPr>
              <w:t>(millions)</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jc w:val="center"/>
              <w:ind w:right="91"/>
              <w:spacing w:after="0"/>
              <w:rPr>
                <w:sz w:val="20"/>
                <w:szCs w:val="20"/>
                <w:color w:val="auto"/>
              </w:rPr>
            </w:pPr>
            <w:r>
              <w:rPr>
                <w:rFonts w:ascii="Arial" w:cs="Arial" w:eastAsia="Arial" w:hAnsi="Arial"/>
                <w:sz w:val="16"/>
                <w:szCs w:val="16"/>
                <w:color w:val="auto"/>
                <w:w w:val="87"/>
              </w:rPr>
              <w:t>(thousands)</w:t>
            </w:r>
          </w:p>
        </w:tc>
        <w:tc>
          <w:tcPr>
            <w:tcW w:w="960" w:type="dxa"/>
            <w:vAlign w:val="bottom"/>
          </w:tcPr>
          <w:p>
            <w:pPr>
              <w:spacing w:after="0"/>
              <w:rPr>
                <w:sz w:val="19"/>
                <w:szCs w:val="19"/>
                <w:color w:val="auto"/>
              </w:rPr>
            </w:pPr>
          </w:p>
        </w:tc>
      </w:tr>
      <w:tr>
        <w:trPr>
          <w:trHeight w:val="229"/>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1,452</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178.1</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165.2</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1,672</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35</w:t>
            </w:r>
          </w:p>
        </w:tc>
        <w:tc>
          <w:tcPr>
            <w:tcW w:w="960" w:type="dxa"/>
            <w:vAlign w:val="bottom"/>
          </w:tcPr>
          <w:p>
            <w:pPr>
              <w:jc w:val="right"/>
              <w:spacing w:after="0"/>
              <w:rPr>
                <w:sz w:val="20"/>
                <w:szCs w:val="20"/>
                <w:color w:val="auto"/>
              </w:rPr>
            </w:pPr>
            <w:r>
              <w:rPr>
                <w:rFonts w:ascii="Arial" w:cs="Arial" w:eastAsia="Arial" w:hAnsi="Arial"/>
                <w:sz w:val="18"/>
                <w:szCs w:val="18"/>
                <w:color w:val="auto"/>
              </w:rPr>
              <w:t>1,637</w:t>
            </w:r>
          </w:p>
        </w:tc>
      </w:tr>
      <w:tr>
        <w:trPr>
          <w:trHeight w:val="229"/>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108.5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1,319</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29"/>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w:t>
            </w:r>
          </w:p>
        </w:tc>
        <w:tc>
          <w:tcPr>
            <w:tcW w:w="14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483.0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16.8</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4,453</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50.1</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2,644</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283</w:t>
            </w:r>
          </w:p>
        </w:tc>
        <w:tc>
          <w:tcPr>
            <w:tcW w:w="960" w:type="dxa"/>
            <w:vAlign w:val="bottom"/>
          </w:tcPr>
          <w:p>
            <w:pPr>
              <w:jc w:val="right"/>
              <w:spacing w:after="0"/>
              <w:rPr>
                <w:sz w:val="20"/>
                <w:szCs w:val="20"/>
                <w:color w:val="auto"/>
              </w:rPr>
            </w:pPr>
            <w:r>
              <w:rPr>
                <w:rFonts w:ascii="Arial" w:cs="Arial" w:eastAsia="Arial" w:hAnsi="Arial"/>
                <w:sz w:val="18"/>
                <w:szCs w:val="18"/>
                <w:color w:val="auto"/>
              </w:rPr>
              <w:t>2,361</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13.1</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17.3</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678.6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64.7</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7,097</w:t>
            </w:r>
          </w:p>
        </w:tc>
        <w:tc>
          <w:tcPr>
            <w:tcW w:w="14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(144.4)</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(36.3)</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(108.1)</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(55.7)</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3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219.3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31.4</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124.1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55.7</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3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30"/>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453.0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25.9</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427.1</w:t>
            </w:r>
          </w:p>
        </w:tc>
        <w:tc>
          <w:tcPr>
            <w:tcW w:w="13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bl>
    <w:p>
      <w:pPr>
        <w:spacing w:after="0" w:line="4" w:lineRule="exact"/>
        <w:rPr>
          <w:sz w:val="20"/>
          <w:szCs w:val="20"/>
          <w:color w:val="auto"/>
        </w:rPr>
      </w:pPr>
    </w:p>
    <w:p>
      <w:pPr>
        <w:ind w:left="161" w:right="140" w:hanging="161"/>
        <w:spacing w:after="0" w:line="263" w:lineRule="auto"/>
        <w:tabs>
          <w:tab w:leader="none" w:pos="142"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$53.7 million and $60.7 million for the three months ended March 31, 2023 and 2022, respectively.</w:t>
      </w:r>
    </w:p>
    <w:p>
      <w:pPr>
        <w:spacing w:after="0" w:line="178" w:lineRule="exact"/>
        <w:rPr>
          <w:sz w:val="20"/>
          <w:szCs w:val="20"/>
          <w:color w:val="auto"/>
        </w:rPr>
      </w:pPr>
    </w:p>
    <w:p>
      <w:pPr>
        <w:ind w:left="1" w:right="80"/>
        <w:spacing w:after="0" w:line="257" w:lineRule="auto"/>
        <w:rPr>
          <w:sz w:val="20"/>
          <w:szCs w:val="20"/>
          <w:color w:val="auto"/>
        </w:rPr>
      </w:pPr>
      <w:r>
        <w:rPr>
          <w:rFonts w:ascii="Arial" w:cs="Arial" w:eastAsia="Arial" w:hAnsi="Arial"/>
          <w:sz w:val="20"/>
          <w:szCs w:val="20"/>
          <w:color w:val="auto"/>
        </w:rPr>
        <w:t>Evergy Kansas Central's gross margin (GAAP) increased $31.4 million for the three months ended March 31, 2023, compared to the same period in 2022, and Evergy Kansas Central's utility gross margin (non-GAAP) increased $25.9 million for the three months ended March 31, 2023, compared to the same period in 2022, both measures were driven by:</w:t>
      </w:r>
    </w:p>
    <w:p>
      <w:pPr>
        <w:spacing w:after="0" w:line="85" w:lineRule="exact"/>
        <w:rPr>
          <w:sz w:val="20"/>
          <w:szCs w:val="20"/>
          <w:color w:val="auto"/>
        </w:rPr>
      </w:pPr>
    </w:p>
    <w:p>
      <w:pPr>
        <w:ind w:left="661" w:right="340" w:hanging="328"/>
        <w:spacing w:after="0" w:line="260" w:lineRule="auto"/>
        <w:tabs>
          <w:tab w:leader="none" w:pos="649"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$13.1 million increase in transmission revenue primarily due to updated transmission costs reflected in Evergy Kansas Central's FERC TFR effective in January 2023 and revised in March 2023;</w:t>
      </w:r>
    </w:p>
    <w:p>
      <w:pPr>
        <w:spacing w:after="0" w:line="82" w:lineRule="exact"/>
        <w:rPr>
          <w:rFonts w:ascii="Arial" w:cs="Arial" w:eastAsia="Arial" w:hAnsi="Arial"/>
          <w:sz w:val="20"/>
          <w:szCs w:val="20"/>
          <w:color w:val="auto"/>
        </w:rPr>
      </w:pPr>
    </w:p>
    <w:p>
      <w:pPr>
        <w:ind w:left="661" w:right="600" w:hanging="328"/>
        <w:spacing w:after="0" w:line="378"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$8.4 million increase due to mark-to-market gains related to forward contracts for natural gas and electricity entered into as economic hedges against fuel price volatility related to Evergy Kansas Central's non-regulated 8% ownership share of JEC;</w:t>
      </w:r>
    </w:p>
    <w:p>
      <w:pPr>
        <w:ind w:left="661" w:right="280" w:hanging="328"/>
        <w:spacing w:after="0" w:line="274" w:lineRule="auto"/>
        <w:tabs>
          <w:tab w:leader="none" w:pos="649"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$6.4 million increase in operating revenue related to non-regulated energy marketing activity at Evergy Kansas Central; partially offset by</w:t>
      </w:r>
    </w:p>
    <w:p>
      <w:pPr>
        <w:spacing w:after="0" w:line="55" w:lineRule="exact"/>
        <w:rPr>
          <w:rFonts w:ascii="Arial" w:cs="Arial" w:eastAsia="Arial" w:hAnsi="Arial"/>
          <w:sz w:val="20"/>
          <w:szCs w:val="20"/>
          <w:color w:val="auto"/>
        </w:rPr>
      </w:pPr>
    </w:p>
    <w:p>
      <w:pPr>
        <w:ind w:left="661" w:right="80" w:hanging="328"/>
        <w:spacing w:after="0" w:line="274" w:lineRule="auto"/>
        <w:tabs>
          <w:tab w:leader="none" w:pos="649"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$2.0 million decrease primarily due to lower retail sales driven by warmer winter weather (heating degree days decreased by 11%); partially offset by higher weather-normalized residential and commercial demand.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22" w:right="339" w:bottom="1440" w:gutter="0" w:footer="0" w:header="0"/>
        </w:sectPr>
      </w:pPr>
    </w:p>
    <w:bookmarkStart w:id="62" w:name="page63"/>
    <w:bookmarkEnd w:id="6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Additionally, the increase in Evergy Kansas Central's gross margin (GAAP) was also driven by:</w:t>
      </w:r>
    </w:p>
    <w:p>
      <w:pPr>
        <w:spacing w:after="0" w:line="121" w:lineRule="exact"/>
        <w:rPr>
          <w:sz w:val="20"/>
          <w:szCs w:val="20"/>
          <w:color w:val="auto"/>
        </w:rPr>
      </w:pPr>
    </w:p>
    <w:p>
      <w:pPr>
        <w:ind w:left="660" w:right="60" w:hanging="328"/>
        <w:spacing w:after="0" w:line="268" w:lineRule="auto"/>
        <w:tabs>
          <w:tab w:leader="none" w:pos="648"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 $11.1 million decrease in operating and maintenance expenses which are determined to be directly attributable to revenue producing activities primarily driven by a $3.7 million decrease in operating and maintenance expense at fossil-fuel generating units, a $2.4 million decrease in operating and maintenance expense at Wolf Creek and a $3.8 million decrease in transmission and distribution operating and maintenance expenses as described further below; partially offset by</w:t>
      </w:r>
    </w:p>
    <w:p>
      <w:pPr>
        <w:spacing w:after="0" w:line="77" w:lineRule="exact"/>
        <w:rPr>
          <w:rFonts w:ascii="Arial" w:cs="Arial" w:eastAsia="Arial" w:hAnsi="Arial"/>
          <w:sz w:val="19"/>
          <w:szCs w:val="19"/>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$4.4 million increase in depreciation and amortization expense as described further below.</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Operating and Maintenance</w:t>
      </w:r>
    </w:p>
    <w:p>
      <w:pPr>
        <w:spacing w:after="0" w:line="22"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auto"/>
        </w:rPr>
        <w:t>Evergy Kansas Central's operating and maintenance expense decreased $18.1 million for the three months ended March 31, 2023, compared to the same period in 2022, primarily driven by:</w:t>
      </w:r>
    </w:p>
    <w:p>
      <w:pPr>
        <w:spacing w:after="0" w:line="70" w:lineRule="exact"/>
        <w:rPr>
          <w:sz w:val="20"/>
          <w:szCs w:val="20"/>
          <w:color w:val="auto"/>
        </w:rPr>
      </w:pPr>
    </w:p>
    <w:p>
      <w:pPr>
        <w:ind w:left="660" w:right="820" w:hanging="328"/>
        <w:spacing w:after="0" w:line="274"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$6.8 million decrease in administrative labor and employee benefits expenses primarily due to lower employee headcount compared to the first quarter of 2022;</w:t>
      </w:r>
    </w:p>
    <w:p>
      <w:pPr>
        <w:spacing w:after="0" w:line="68" w:lineRule="exact"/>
        <w:rPr>
          <w:rFonts w:ascii="Arial" w:cs="Arial" w:eastAsia="Arial" w:hAnsi="Arial"/>
          <w:sz w:val="20"/>
          <w:szCs w:val="20"/>
          <w:color w:val="auto"/>
        </w:rPr>
      </w:pPr>
    </w:p>
    <w:p>
      <w:pPr>
        <w:ind w:left="660" w:right="360" w:hanging="328"/>
        <w:spacing w:after="0" w:line="257"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$3.8 million decrease in various transmission and distribution operating and maintenance expenses primarily due to lower labor costs driven by an increase in labor capitalization and lower employee headcount, partially offset by a $2.5 million increase in vegetation management costs;</w:t>
      </w:r>
    </w:p>
    <w:p>
      <w:pPr>
        <w:spacing w:after="0" w:line="71" w:lineRule="exact"/>
        <w:rPr>
          <w:rFonts w:ascii="Arial" w:cs="Arial" w:eastAsia="Arial" w:hAnsi="Arial"/>
          <w:sz w:val="20"/>
          <w:szCs w:val="20"/>
          <w:color w:val="auto"/>
        </w:rPr>
      </w:pPr>
    </w:p>
    <w:p>
      <w:pPr>
        <w:ind w:left="660" w:right="640" w:hanging="328"/>
        <w:spacing w:after="0" w:line="274"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$3.7 million decrease in plant operating and maintenance expense at fossil-fuel generating units primarily driven by a major maintenance outage at JEC in 2022; and</w:t>
      </w:r>
    </w:p>
    <w:p>
      <w:pPr>
        <w:spacing w:after="0" w:line="68" w:lineRule="exact"/>
        <w:rPr>
          <w:rFonts w:ascii="Arial" w:cs="Arial" w:eastAsia="Arial" w:hAnsi="Arial"/>
          <w:sz w:val="20"/>
          <w:szCs w:val="20"/>
          <w:color w:val="auto"/>
        </w:rPr>
      </w:pPr>
    </w:p>
    <w:p>
      <w:pPr>
        <w:ind w:left="660" w:right="460" w:hanging="328"/>
        <w:spacing w:after="0" w:line="257"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$2.4 million decrease in plant operating and maintenance expense at Wolf Creek primarily due to lower refueling outage amortization in 2023 and lower labor costs in 2023 driven by an increase in labor capitalization and lower employee headcount; partially offset by</w:t>
      </w:r>
    </w:p>
    <w:p>
      <w:pPr>
        <w:spacing w:after="0" w:line="71" w:lineRule="exact"/>
        <w:rPr>
          <w:rFonts w:ascii="Arial" w:cs="Arial" w:eastAsia="Arial" w:hAnsi="Arial"/>
          <w:sz w:val="20"/>
          <w:szCs w:val="20"/>
          <w:color w:val="auto"/>
        </w:rPr>
      </w:pPr>
    </w:p>
    <w:p>
      <w:pPr>
        <w:ind w:left="660" w:right="200" w:hanging="328"/>
        <w:spacing w:after="0" w:line="274"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$1.9 million increase in property insurance expense due to a lower annual refund of nuclear insurance premiums received in 2023 related to Evergy Kansas Central's ownership interest in Wolf Creek; and</w:t>
      </w:r>
    </w:p>
    <w:p>
      <w:pPr>
        <w:spacing w:after="0" w:line="55"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$1.8 million increase in costs billed for common use assets in 2023 from Evergy Metro related to facilities and software assets.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Depreciation and Amortization</w:t>
      </w:r>
    </w:p>
    <w:p>
      <w:pPr>
        <w:spacing w:after="0" w:line="26"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Evergy Kansas Central's depreciation and amortization expense increased $4.4 million for the three months ended March 31, 2023, compared to the same period in 2022, primarily driven by higher capital additions in 2023.</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Other Expense, Net</w:t>
      </w:r>
    </w:p>
    <w:p>
      <w:pPr>
        <w:spacing w:after="0" w:line="22" w:lineRule="exact"/>
        <w:rPr>
          <w:sz w:val="20"/>
          <w:szCs w:val="20"/>
          <w:color w:val="auto"/>
        </w:rPr>
      </w:pPr>
    </w:p>
    <w:p>
      <w:pPr>
        <w:ind w:right="280"/>
        <w:spacing w:after="0" w:line="258" w:lineRule="auto"/>
        <w:rPr>
          <w:sz w:val="20"/>
          <w:szCs w:val="20"/>
          <w:color w:val="auto"/>
        </w:rPr>
      </w:pPr>
      <w:r>
        <w:rPr>
          <w:rFonts w:ascii="Arial" w:cs="Arial" w:eastAsia="Arial" w:hAnsi="Arial"/>
          <w:sz w:val="20"/>
          <w:szCs w:val="20"/>
          <w:color w:val="auto"/>
        </w:rPr>
        <w:t>Evergy Kansas Central's other expense, net in the first quarter of 2022 became other income, net in the first quarter of 2023 as a result of a $9.2 million increase in net other income items primarily driven by:</w:t>
      </w:r>
    </w:p>
    <w:p>
      <w:pPr>
        <w:spacing w:after="0" w:line="84"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$8.1 million increase due to recording higher COLI benefits in 2023;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$2.9 million increase in net unrealized gains in Evergy Kansas Central's rabbi trust.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Interest Expense</w:t>
      </w:r>
    </w:p>
    <w:p>
      <w:pPr>
        <w:spacing w:after="0" w:line="22"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Evergy Kansas Central's interest expense increased $11.5 million for the three months ended March 31, 2023, compared to the same period in 2022, primarily driven by a $10.1 million increase in interest expense on short-term borrowings primarily due to higher short-term debt balances and weighted-average interest rates in 2023.</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Income Tax Expense</w:t>
      </w:r>
    </w:p>
    <w:p>
      <w:pPr>
        <w:spacing w:after="0" w:line="26"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Evergy Kansas Central's income tax expense increased $4.8 million for the three months ended March 31, 2023, compared to the same period in 2022, primarily driven by:</w:t>
      </w:r>
    </w:p>
    <w:p>
      <w:pPr>
        <w:spacing w:after="0" w:line="88"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 $8.0 million increase due to higher pre-tax income in 2023; partially offset by</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$2.1 million decrease primarily due to higher expected COLI proceeds in 2023;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$1.6 million decrease due to higher wind and other income tax credits in 2023.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EVERGY METRO,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540"/>
        <w:spacing w:after="0" w:line="274" w:lineRule="auto"/>
        <w:rPr>
          <w:sz w:val="20"/>
          <w:szCs w:val="20"/>
          <w:color w:val="auto"/>
        </w:rPr>
      </w:pPr>
      <w:r>
        <w:rPr>
          <w:rFonts w:ascii="Arial" w:cs="Arial" w:eastAsia="Arial" w:hAnsi="Arial"/>
          <w:sz w:val="20"/>
          <w:szCs w:val="20"/>
          <w:color w:val="auto"/>
        </w:rPr>
        <w:t>The below results of operations and related discussion for Evergy Metro is presented in a reduced disclosure format in accordance with General Instruction (H)(2)(a) to Form 10-Q.</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Metro's comparative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115.4</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132.5</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89.8</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(7.8)</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Evergy Metro Gross Margin (GAAP) and Utility Gross Margin (non-GAAP)</w:t>
      </w:r>
    </w:p>
    <w:p>
      <w:pPr>
        <w:spacing w:after="0" w:line="26" w:lineRule="exact"/>
        <w:rPr>
          <w:sz w:val="20"/>
          <w:szCs w:val="20"/>
          <w:color w:val="auto"/>
        </w:rPr>
      </w:pPr>
    </w:p>
    <w:p>
      <w:pPr>
        <w:jc w:val="both"/>
        <w:ind w:left="1"/>
        <w:spacing w:after="0" w:line="253" w:lineRule="auto"/>
        <w:rPr>
          <w:sz w:val="20"/>
          <w:szCs w:val="20"/>
          <w:color w:val="auto"/>
        </w:rPr>
      </w:pPr>
      <w:r>
        <w:rPr>
          <w:rFonts w:ascii="Arial" w:cs="Arial" w:eastAsia="Arial" w:hAnsi="Arial"/>
          <w:sz w:val="20"/>
          <w:szCs w:val="20"/>
          <w:color w:val="auto"/>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p>
      <w:pPr>
        <w:spacing w:after="0" w:line="113"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6"/>
              </w:rPr>
              <w:t>Revenues and Expenses</w:t>
            </w: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Change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2022</w:t>
            </w:r>
          </w:p>
        </w:tc>
        <w:tc>
          <w:tcPr>
            <w:tcW w:w="13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70"/>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Arial" w:cs="Arial" w:eastAsia="Arial" w:hAnsi="Arial"/>
                <w:sz w:val="16"/>
                <w:szCs w:val="16"/>
                <w:color w:val="auto"/>
                <w:w w:val="89"/>
              </w:rPr>
              <w:t>(thousands)</w:t>
            </w: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158.0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1,329</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175.9</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173.6</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1,806</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1,809</w:t>
            </w: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399</w:t>
            </w:r>
          </w:p>
        </w:tc>
        <w:tc>
          <w:tcPr>
            <w:tcW w:w="14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17</w:t>
            </w:r>
          </w:p>
        </w:tc>
        <w:tc>
          <w:tcPr>
            <w:tcW w:w="1400" w:type="dxa"/>
            <w:vAlign w:val="bottom"/>
          </w:tcPr>
          <w:p>
            <w:pPr>
              <w:jc w:val="center"/>
              <w:ind w:left="45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3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365.0</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3,551</w:t>
            </w:r>
          </w:p>
        </w:tc>
        <w:tc>
          <w:tcPr>
            <w:tcW w:w="140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(57)</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826</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(622)</w:t>
            </w:r>
          </w:p>
        </w:tc>
        <w:tc>
          <w:tcPr>
            <w:tcW w:w="96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center"/>
              <w:ind w:left="411"/>
              <w:spacing w:after="0"/>
              <w:rPr>
                <w:sz w:val="20"/>
                <w:szCs w:val="20"/>
                <w:color w:val="auto"/>
              </w:rPr>
            </w:pPr>
            <w:r>
              <w:rPr>
                <w:rFonts w:ascii="Arial" w:cs="Arial" w:eastAsia="Arial" w:hAnsi="Arial"/>
                <w:sz w:val="18"/>
                <w:szCs w:val="18"/>
                <w:color w:val="auto"/>
                <w:w w:val="99"/>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(18.3)</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jc w:val="center"/>
              <w:ind w:left="411"/>
              <w:spacing w:after="0"/>
              <w:rPr>
                <w:sz w:val="20"/>
                <w:szCs w:val="20"/>
                <w:color w:val="auto"/>
              </w:rPr>
            </w:pPr>
            <w:r>
              <w:rPr>
                <w:rFonts w:ascii="Arial" w:cs="Arial" w:eastAsia="Arial" w:hAnsi="Arial"/>
                <w:sz w:val="18"/>
                <w:szCs w:val="18"/>
                <w:color w:val="auto"/>
                <w:w w:val="99"/>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406.4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4,377</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(679)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(115.4)</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(132.5)</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(19.5)</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Gross margin (GAAP)</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107.5</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(15.9)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123.4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19.5</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291.0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1.0</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290.0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07199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spacing w:after="0" w:line="6" w:lineRule="exact"/>
        <w:rPr>
          <w:sz w:val="20"/>
          <w:szCs w:val="20"/>
          <w:color w:val="auto"/>
        </w:rPr>
      </w:pPr>
    </w:p>
    <w:p>
      <w:pPr>
        <w:ind w:left="161" w:right="60" w:hanging="161"/>
        <w:spacing w:after="0" w:line="263" w:lineRule="auto"/>
        <w:tabs>
          <w:tab w:leader="none" w:pos="142" w:val="left"/>
        </w:tabs>
        <w:numPr>
          <w:ilvl w:val="0"/>
          <w:numId w:val="27"/>
        </w:numPr>
        <w:rPr>
          <w:rFonts w:ascii="Arial" w:cs="Arial" w:eastAsia="Arial" w:hAnsi="Arial"/>
          <w:sz w:val="17"/>
          <w:szCs w:val="17"/>
          <w:color w:val="auto"/>
          <w:vertAlign w:val="superscript"/>
        </w:rPr>
      </w:pPr>
      <w:r>
        <w:rPr>
          <w:rFonts w:ascii="Arial" w:cs="Arial" w:eastAsia="Arial" w:hAnsi="Arial"/>
          <w:sz w:val="13"/>
          <w:szCs w:val="13"/>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$17.7 million and $27.8 million for the three months ended March 31, 2023 and 2022, respectively.</w:t>
      </w:r>
    </w:p>
    <w:p>
      <w:pPr>
        <w:spacing w:after="0" w:line="165" w:lineRule="exact"/>
        <w:rPr>
          <w:sz w:val="20"/>
          <w:szCs w:val="20"/>
          <w:color w:val="auto"/>
        </w:rPr>
      </w:pPr>
    </w:p>
    <w:p>
      <w:pPr>
        <w:jc w:val="both"/>
        <w:ind w:left="1" w:right="100"/>
        <w:spacing w:after="0" w:line="264" w:lineRule="auto"/>
        <w:rPr>
          <w:sz w:val="20"/>
          <w:szCs w:val="20"/>
          <w:color w:val="auto"/>
        </w:rPr>
      </w:pPr>
      <w:r>
        <w:rPr>
          <w:rFonts w:ascii="Arial" w:cs="Arial" w:eastAsia="Arial" w:hAnsi="Arial"/>
          <w:sz w:val="20"/>
          <w:szCs w:val="20"/>
          <w:color w:val="auto"/>
        </w:rPr>
        <w:t>Evergy Metro's gross margin (GAAP) decreased $15.9 million for the three months ended March 31, 2023, compared to the same period in 2022 and Evergy Metro's utility gross margin (non-GAAP) increased $1.0 million for the three months ended March 31, 2023, compared to the same period in 2022, both measures were driven by:</w:t>
      </w:r>
    </w:p>
    <w:p>
      <w:pPr>
        <w:spacing w:after="0" w:line="65" w:lineRule="exact"/>
        <w:rPr>
          <w:sz w:val="20"/>
          <w:szCs w:val="20"/>
          <w:color w:val="auto"/>
        </w:rPr>
      </w:pPr>
    </w:p>
    <w:p>
      <w:pPr>
        <w:ind w:left="661" w:right="40" w:hanging="328"/>
        <w:spacing w:after="0" w:line="301" w:lineRule="auto"/>
        <w:tabs>
          <w:tab w:leader="none" w:pos="649"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$3.7 million decrease primarily due to lower retail sales driven by warmer winter weather (heating degree days decreased by 11%) partially offset by higher weather-normalized residential and commercial demand; partially offset by</w:t>
      </w:r>
    </w:p>
    <w:p>
      <w:pPr>
        <w:spacing w:after="0" w:line="32" w:lineRule="exact"/>
        <w:rPr>
          <w:rFonts w:ascii="Arial" w:cs="Arial" w:eastAsia="Arial" w:hAnsi="Arial"/>
          <w:sz w:val="19"/>
          <w:szCs w:val="19"/>
          <w:color w:val="auto"/>
        </w:rPr>
      </w:pPr>
    </w:p>
    <w:p>
      <w:pPr>
        <w:ind w:left="641" w:hanging="308"/>
        <w:spacing w:after="0"/>
        <w:tabs>
          <w:tab w:leader="none" w:pos="641"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$4.7 million increase from new Evergy Metro retail rates effective in January 2023.</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20"/>
          <w:szCs w:val="20"/>
          <w:color w:val="auto"/>
        </w:rPr>
        <w:t>Additionally, the decrease in Evergy Metro's gross margin (GAAP) was also partially offset by:</w:t>
      </w:r>
    </w:p>
    <w:p>
      <w:pPr>
        <w:spacing w:after="0" w:line="121" w:lineRule="exact"/>
        <w:rPr>
          <w:sz w:val="20"/>
          <w:szCs w:val="20"/>
          <w:color w:val="auto"/>
        </w:rPr>
      </w:pPr>
    </w:p>
    <w:p>
      <w:pPr>
        <w:ind w:left="641" w:hanging="308"/>
        <w:spacing w:after="0"/>
        <w:tabs>
          <w:tab w:leader="none" w:pos="641"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$19.5 million increase in depreciation and amortization expense as described further below; partially offset by</w:t>
      </w:r>
    </w:p>
    <w:p>
      <w:pPr>
        <w:spacing w:after="0" w:line="107" w:lineRule="exact"/>
        <w:rPr>
          <w:rFonts w:ascii="Arial" w:cs="Arial" w:eastAsia="Arial" w:hAnsi="Arial"/>
          <w:sz w:val="20"/>
          <w:szCs w:val="20"/>
          <w:color w:val="auto"/>
        </w:rPr>
      </w:pPr>
    </w:p>
    <w:p>
      <w:pPr>
        <w:jc w:val="both"/>
        <w:ind w:left="661" w:hanging="328"/>
        <w:spacing w:after="0" w:line="257" w:lineRule="auto"/>
        <w:tabs>
          <w:tab w:leader="none" w:pos="649"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$2.7 million decrease in operating and maintenance expenses which are determined to be directly attributable to revenue producing activities primarily driven by a $2.6 million decrease in plant operating and maintenance expense at Wolf Creek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1"/>
          </w:cols>
          <w:pgMar w:left="319" w:top="122" w:right="419" w:bottom="1440" w:gutter="0" w:footer="0" w:header="0"/>
        </w:sectPr>
      </w:pPr>
    </w:p>
    <w:bookmarkStart w:id="65" w:name="page66"/>
    <w:bookmarkEnd w:id="6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Operating and Maintenance</w:t>
      </w:r>
    </w:p>
    <w:p>
      <w:pPr>
        <w:spacing w:after="0" w:line="26" w:lineRule="exact"/>
        <w:rPr>
          <w:sz w:val="20"/>
          <w:szCs w:val="20"/>
          <w:color w:val="auto"/>
        </w:rPr>
      </w:pPr>
    </w:p>
    <w:p>
      <w:pPr>
        <w:ind w:right="320"/>
        <w:spacing w:after="0" w:line="253" w:lineRule="auto"/>
        <w:rPr>
          <w:sz w:val="20"/>
          <w:szCs w:val="20"/>
          <w:color w:val="auto"/>
        </w:rPr>
      </w:pPr>
      <w:r>
        <w:rPr>
          <w:rFonts w:ascii="Arial" w:cs="Arial" w:eastAsia="Arial" w:hAnsi="Arial"/>
          <w:sz w:val="20"/>
          <w:szCs w:val="20"/>
          <w:color w:val="auto"/>
        </w:rPr>
        <w:t>Evergy Metro's operating and maintenance expense decreased $12.8 million for the three months ended March 31, 2023, compared to the same period in 2022, primarily driven by:</w:t>
      </w:r>
    </w:p>
    <w:p>
      <w:pPr>
        <w:spacing w:after="0" w:line="88" w:lineRule="exact"/>
        <w:rPr>
          <w:sz w:val="20"/>
          <w:szCs w:val="20"/>
          <w:color w:val="auto"/>
        </w:rPr>
      </w:pPr>
    </w:p>
    <w:p>
      <w:pPr>
        <w:ind w:left="660" w:right="78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$4.2 million decrease in administrative labor and employee benefits expenses primarily due to lower employee headcount compared to the first quarter of 2022;</w:t>
      </w:r>
    </w:p>
    <w:p>
      <w:pPr>
        <w:spacing w:after="0" w:line="82" w:lineRule="exact"/>
        <w:rPr>
          <w:rFonts w:ascii="Arial" w:cs="Arial" w:eastAsia="Arial" w:hAnsi="Arial"/>
          <w:sz w:val="20"/>
          <w:szCs w:val="20"/>
          <w:color w:val="auto"/>
        </w:rPr>
      </w:pPr>
    </w:p>
    <w:p>
      <w:pPr>
        <w:ind w:left="660" w:right="700" w:hanging="328"/>
        <w:spacing w:after="0" w:line="274"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$3.7 million decrease in various administrative and general operating and maintenance expenses primarily driven by lower regulatory amortizations as a result of Evergy Metro's 2022 rate case;</w:t>
      </w:r>
    </w:p>
    <w:p>
      <w:pPr>
        <w:spacing w:after="0" w:line="55" w:lineRule="exact"/>
        <w:rPr>
          <w:rFonts w:ascii="Arial" w:cs="Arial" w:eastAsia="Arial" w:hAnsi="Arial"/>
          <w:sz w:val="20"/>
          <w:szCs w:val="20"/>
          <w:color w:val="auto"/>
        </w:rPr>
      </w:pPr>
    </w:p>
    <w:p>
      <w:pPr>
        <w:ind w:left="660" w:right="660" w:hanging="328"/>
        <w:spacing w:after="0" w:line="378" w:lineRule="auto"/>
        <w:tabs>
          <w:tab w:leader="none" w:pos="6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$2.6 million decrease in plant operating and maintenance expense at Wolf Creek primarily due to lower refueling outage amortizations in 2023 and lower labor costs driven by an increase in labor capitalization and lower employee headcount; and</w:t>
      </w:r>
    </w:p>
    <w:p>
      <w:pPr>
        <w:ind w:left="660" w:right="480" w:hanging="328"/>
        <w:spacing w:after="0" w:line="274"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$1.4 million decrease due to higher costs billed for common use assets in 2022, primarily to Evergy Kansas Central related to facilities and software assets; partially offset by</w:t>
      </w:r>
    </w:p>
    <w:p>
      <w:pPr>
        <w:spacing w:after="0" w:line="68" w:lineRule="exact"/>
        <w:rPr>
          <w:rFonts w:ascii="Arial" w:cs="Arial" w:eastAsia="Arial" w:hAnsi="Arial"/>
          <w:sz w:val="20"/>
          <w:szCs w:val="20"/>
          <w:color w:val="auto"/>
        </w:rPr>
      </w:pPr>
    </w:p>
    <w:p>
      <w:pPr>
        <w:ind w:left="660" w:right="16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$1.8 million increase in property insurance expense due to a lower annual refund of nuclear insurance premiums received in 2023 related to Evergy Metro's ownership interest in Wolf Creek.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Depreciation Expense</w:t>
      </w:r>
    </w:p>
    <w:p>
      <w:pPr>
        <w:spacing w:after="0" w:line="22"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auto"/>
        </w:rPr>
        <w:t>Evergy Metro's depreciation and amortization expense increased $19.5 million for the three months ended March 31, 2023, compared to the same period in 2022, primarily driven by:</w:t>
      </w:r>
    </w:p>
    <w:p>
      <w:pPr>
        <w:spacing w:after="0" w:line="84"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$12.4 million increase primarily due to capital additions;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$7.1 million increase due to a change in depreciation rates as a result of Evergy Metro's 2022 rate case effective in January 2023.</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Interest Expense</w:t>
      </w:r>
    </w:p>
    <w:p>
      <w:pPr>
        <w:spacing w:after="0" w:line="22"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Evergy Metro's interest expense increased $3.6 million for the three months ended March 31, 2023, compared to the same period in 2022, primarily driven by a $4.3 million increase in interest expense on short-term borrowings primarily due to higher short-term debt balances and weighted-average interest rates in 2023.</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2022 Form 10-K and therefore are not represented here.</w:t>
      </w:r>
    </w:p>
    <w:p>
      <w:pPr>
        <w:spacing w:after="0" w:line="179"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2022 Form 10-K. Evergy's exposure to market risk has not changed materially since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6"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6" w:name="page67"/>
    <w:bookmarkEnd w:id="6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6" w:lineRule="exact"/>
        <w:rPr>
          <w:sz w:val="20"/>
          <w:szCs w:val="20"/>
          <w:color w:val="auto"/>
        </w:rPr>
      </w:pPr>
    </w:p>
    <w:p>
      <w:pPr>
        <w:jc w:val="both"/>
        <w:ind w:right="80"/>
        <w:spacing w:after="0" w:line="239" w:lineRule="auto"/>
        <w:rPr>
          <w:sz w:val="20"/>
          <w:szCs w:val="20"/>
          <w:color w:val="auto"/>
        </w:rPr>
      </w:pPr>
      <w:r>
        <w:rPr>
          <w:rFonts w:ascii="Arial" w:cs="Arial" w:eastAsia="Arial" w:hAnsi="Arial"/>
          <w:sz w:val="20"/>
          <w:szCs w:val="20"/>
          <w:color w:val="auto"/>
        </w:rPr>
        <w:t>There has been no change in Evergy’s internal control over financial reporting (as defined in Rules 13a-15(f) and 15d-15(f) of the Exchange Act) that occurred during the quarterly period ended March 31, 2023, that has materially affected, or is reasonably likely to materially affect, its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6"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There has been no change in Evergy Kansas Central’s internal control over financial reporting (as defined in Rules 13a-15(f) and 15d-15(f) of the Exchange Act) that occurred during the quarterly period ended March 31, 2023, that has materially affected, or is reasonably likely to materially affect, its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6" w:lineRule="exact"/>
        <w:rPr>
          <w:sz w:val="20"/>
          <w:szCs w:val="20"/>
          <w:color w:val="auto"/>
        </w:rPr>
      </w:pPr>
    </w:p>
    <w:p>
      <w:pPr>
        <w:ind w:right="420"/>
        <w:spacing w:after="0" w:line="246" w:lineRule="auto"/>
        <w:rPr>
          <w:sz w:val="20"/>
          <w:szCs w:val="20"/>
          <w:color w:val="auto"/>
        </w:rPr>
      </w:pPr>
      <w:r>
        <w:rPr>
          <w:rFonts w:ascii="Arial" w:cs="Arial" w:eastAsia="Arial" w:hAnsi="Arial"/>
          <w:sz w:val="20"/>
          <w:szCs w:val="20"/>
          <w:color w:val="auto"/>
        </w:rPr>
        <w:t>There has been no change in Evergy Metro’s internal control over financial reporting (as defined in Rules 13a-15(f) and 15d-15(f) of the Exchange Act) that occurred during the quarterly period ended March 31, 2023, that has materially affected, or is reasonably likely to materially affect, its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Proceedings</w:t>
      </w:r>
    </w:p>
    <w:p>
      <w:pPr>
        <w:spacing w:after="0" w:line="22" w:lineRule="exact"/>
        <w:rPr>
          <w:sz w:val="20"/>
          <w:szCs w:val="20"/>
          <w:color w:val="auto"/>
        </w:rPr>
      </w:pPr>
    </w:p>
    <w:p>
      <w:pPr>
        <w:jc w:val="both"/>
        <w:ind w:right="180"/>
        <w:spacing w:after="0" w:line="248" w:lineRule="auto"/>
        <w:rPr>
          <w:sz w:val="20"/>
          <w:szCs w:val="20"/>
          <w:color w:val="auto"/>
        </w:rPr>
      </w:pPr>
      <w:r>
        <w:rPr>
          <w:rFonts w:ascii="Arial" w:cs="Arial" w:eastAsia="Arial" w:hAnsi="Arial"/>
          <w:sz w:val="20"/>
          <w:szCs w:val="20"/>
          <w:color w:val="auto"/>
        </w:rPr>
        <w:t>The Evergy Companies are parties to various lawsuits and regulatory proceedings in the ordinary course of their respective businesses. For information regarding material lawsuits and proceedings, see Notes 4 and 10 to the consolidated financial statements. Such information is incorporated herein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2022 Form 10-K for each of Evergy, Evergy Kansas Central and Evergy Metro, as well as Quarterly Reports on Form 10-Q and from time to time in Current Reports on Form 8-K filed by Evergy, Evergy Kansas Central and</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Evergy Metro. There have been no material changes with regards to those risk factors since the filing of the 2022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w:t>
      </w:r>
    </w:p>
    <w:p>
      <w:pPr>
        <w:spacing w:after="0" w:line="26"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The following table provides information regarding purchases by Evergy of its equity securities that are registered pursuant to Section 12 of the Exchange Act during the 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0891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20" w:type="dxa"/>
            <w:vAlign w:val="bottom"/>
            <w:tcBorders>
              <w:top w:val="single" w:sz="8" w:color="auto"/>
            </w:tcBorders>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Total Number of</w:t>
            </w:r>
          </w:p>
        </w:tc>
        <w:tc>
          <w:tcPr>
            <w:tcW w:w="2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Maximum</w:t>
            </w:r>
          </w:p>
        </w:tc>
      </w:tr>
      <w:tr>
        <w:trPr>
          <w:trHeight w:val="175"/>
        </w:trPr>
        <w:tc>
          <w:tcPr>
            <w:tcW w:w="19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Number of</w:t>
            </w:r>
          </w:p>
        </w:tc>
      </w:tr>
      <w:tr>
        <w:trPr>
          <w:trHeight w:val="184"/>
        </w:trPr>
        <w:tc>
          <w:tcPr>
            <w:tcW w:w="19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40" w:type="dxa"/>
            <w:vAlign w:val="bottom"/>
          </w:tcPr>
          <w:p>
            <w:pPr>
              <w:jc w:val="center"/>
              <w:ind w:right="130"/>
              <w:spacing w:after="0" w:line="184" w:lineRule="exact"/>
              <w:rPr>
                <w:sz w:val="20"/>
                <w:szCs w:val="20"/>
                <w:color w:val="auto"/>
              </w:rPr>
            </w:pPr>
            <w:r>
              <w:rPr>
                <w:rFonts w:ascii="Arial" w:cs="Arial" w:eastAsia="Arial" w:hAnsi="Arial"/>
                <w:sz w:val="18"/>
                <w:szCs w:val="18"/>
                <w:b w:val="1"/>
                <w:bCs w:val="1"/>
                <w:color w:val="auto"/>
                <w:w w:val="87"/>
              </w:rPr>
              <w:t>Purchased as</w:t>
            </w:r>
          </w:p>
        </w:tc>
        <w:tc>
          <w:tcPr>
            <w:tcW w:w="22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9"/>
              </w:rPr>
              <w:t>Shares (or Units)</w:t>
            </w:r>
          </w:p>
        </w:tc>
      </w:tr>
      <w:tr>
        <w:trPr>
          <w:trHeight w:val="180"/>
        </w:trPr>
        <w:tc>
          <w:tcPr>
            <w:tcW w:w="1920" w:type="dxa"/>
            <w:vAlign w:val="bottom"/>
          </w:tcPr>
          <w:p>
            <w:pPr>
              <w:spacing w:after="0"/>
              <w:rPr>
                <w:sz w:val="15"/>
                <w:szCs w:val="15"/>
                <w:color w:val="auto"/>
              </w:rPr>
            </w:pPr>
          </w:p>
        </w:tc>
        <w:tc>
          <w:tcPr>
            <w:tcW w:w="2520" w:type="dxa"/>
            <w:vAlign w:val="bottom"/>
          </w:tcPr>
          <w:p>
            <w:pPr>
              <w:jc w:val="center"/>
              <w:ind w:left="230"/>
              <w:spacing w:after="0" w:line="181" w:lineRule="exact"/>
              <w:rPr>
                <w:sz w:val="20"/>
                <w:szCs w:val="20"/>
                <w:color w:val="auto"/>
              </w:rPr>
            </w:pPr>
            <w:r>
              <w:rPr>
                <w:rFonts w:ascii="Arial" w:cs="Arial" w:eastAsia="Arial" w:hAnsi="Arial"/>
                <w:sz w:val="18"/>
                <w:szCs w:val="18"/>
                <w:b w:val="1"/>
                <w:bCs w:val="1"/>
                <w:color w:val="auto"/>
                <w:w w:val="92"/>
              </w:rPr>
              <w:t>Total Number of</w:t>
            </w:r>
          </w:p>
        </w:tc>
        <w:tc>
          <w:tcPr>
            <w:tcW w:w="340" w:type="dxa"/>
            <w:vAlign w:val="bottom"/>
          </w:tcPr>
          <w:p>
            <w:pPr>
              <w:spacing w:after="0"/>
              <w:rPr>
                <w:sz w:val="15"/>
                <w:szCs w:val="15"/>
                <w:color w:val="auto"/>
              </w:rPr>
            </w:pPr>
          </w:p>
        </w:tc>
        <w:tc>
          <w:tcPr>
            <w:tcW w:w="2120" w:type="dxa"/>
            <w:vAlign w:val="bottom"/>
          </w:tcPr>
          <w:p>
            <w:pPr>
              <w:jc w:val="center"/>
              <w:ind w:right="490"/>
              <w:spacing w:after="0" w:line="181" w:lineRule="exact"/>
              <w:rPr>
                <w:sz w:val="20"/>
                <w:szCs w:val="20"/>
                <w:color w:val="auto"/>
              </w:rPr>
            </w:pPr>
            <w:r>
              <w:rPr>
                <w:rFonts w:ascii="Arial" w:cs="Arial" w:eastAsia="Arial" w:hAnsi="Arial"/>
                <w:sz w:val="18"/>
                <w:szCs w:val="18"/>
                <w:b w:val="1"/>
                <w:bCs w:val="1"/>
                <w:color w:val="auto"/>
                <w:w w:val="88"/>
              </w:rPr>
              <w:t>Average Price</w:t>
            </w:r>
          </w:p>
        </w:tc>
        <w:tc>
          <w:tcPr>
            <w:tcW w:w="204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3"/>
              </w:rPr>
              <w:t>Part of Publicly</w:t>
            </w:r>
          </w:p>
        </w:tc>
        <w:tc>
          <w:tcPr>
            <w:tcW w:w="22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that May Yet Be</w:t>
            </w:r>
          </w:p>
        </w:tc>
      </w:tr>
      <w:tr>
        <w:trPr>
          <w:trHeight w:val="175"/>
        </w:trPr>
        <w:tc>
          <w:tcPr>
            <w:tcW w:w="1920" w:type="dxa"/>
            <w:vAlign w:val="bottom"/>
          </w:tcPr>
          <w:p>
            <w:pPr>
              <w:spacing w:after="0"/>
              <w:rPr>
                <w:sz w:val="15"/>
                <w:szCs w:val="15"/>
                <w:color w:val="auto"/>
              </w:rPr>
            </w:pPr>
          </w:p>
        </w:tc>
        <w:tc>
          <w:tcPr>
            <w:tcW w:w="2520" w:type="dxa"/>
            <w:vAlign w:val="bottom"/>
          </w:tcPr>
          <w:p>
            <w:pPr>
              <w:jc w:val="center"/>
              <w:ind w:left="230"/>
              <w:spacing w:after="0" w:line="176" w:lineRule="exact"/>
              <w:rPr>
                <w:sz w:val="20"/>
                <w:szCs w:val="20"/>
                <w:color w:val="auto"/>
              </w:rPr>
            </w:pPr>
            <w:r>
              <w:rPr>
                <w:rFonts w:ascii="Arial" w:cs="Arial" w:eastAsia="Arial" w:hAnsi="Arial"/>
                <w:sz w:val="18"/>
                <w:szCs w:val="18"/>
                <w:b w:val="1"/>
                <w:bCs w:val="1"/>
                <w:color w:val="auto"/>
                <w:w w:val="90"/>
              </w:rPr>
              <w:t>Shares (or Units)</w:t>
            </w:r>
          </w:p>
        </w:tc>
        <w:tc>
          <w:tcPr>
            <w:tcW w:w="340" w:type="dxa"/>
            <w:vAlign w:val="bottom"/>
          </w:tcPr>
          <w:p>
            <w:pPr>
              <w:spacing w:after="0"/>
              <w:rPr>
                <w:sz w:val="15"/>
                <w:szCs w:val="15"/>
                <w:color w:val="auto"/>
              </w:rPr>
            </w:pPr>
          </w:p>
        </w:tc>
        <w:tc>
          <w:tcPr>
            <w:tcW w:w="2120" w:type="dxa"/>
            <w:vAlign w:val="bottom"/>
          </w:tcPr>
          <w:p>
            <w:pPr>
              <w:jc w:val="center"/>
              <w:ind w:right="430"/>
              <w:spacing w:after="0" w:line="176" w:lineRule="exact"/>
              <w:rPr>
                <w:sz w:val="20"/>
                <w:szCs w:val="20"/>
                <w:color w:val="auto"/>
              </w:rPr>
            </w:pPr>
            <w:r>
              <w:rPr>
                <w:rFonts w:ascii="Arial" w:cs="Arial" w:eastAsia="Arial" w:hAnsi="Arial"/>
                <w:sz w:val="18"/>
                <w:szCs w:val="18"/>
                <w:b w:val="1"/>
                <w:bCs w:val="1"/>
                <w:color w:val="auto"/>
                <w:w w:val="91"/>
              </w:rPr>
              <w:t>Paid per Share</w:t>
            </w: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8"/>
              </w:rPr>
              <w:t>Announced Plans</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Under the Plans</w:t>
            </w:r>
          </w:p>
        </w:tc>
      </w:tr>
      <w:tr>
        <w:trPr>
          <w:trHeight w:val="243"/>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Month</w:t>
            </w:r>
          </w:p>
        </w:tc>
        <w:tc>
          <w:tcPr>
            <w:tcW w:w="2520" w:type="dxa"/>
            <w:vAlign w:val="bottom"/>
            <w:tcBorders>
              <w:bottom w:val="single" w:sz="8" w:color="auto"/>
            </w:tcBorders>
          </w:tcPr>
          <w:p>
            <w:pPr>
              <w:jc w:val="center"/>
              <w:ind w:left="250"/>
              <w:spacing w:after="0" w:line="243"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(a)</w:t>
            </w:r>
          </w:p>
        </w:tc>
        <w:tc>
          <w:tcPr>
            <w:tcW w:w="3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7"/>
              </w:rPr>
              <w:t>(or Unit)</w:t>
            </w:r>
          </w:p>
        </w:tc>
        <w:tc>
          <w:tcPr>
            <w:tcW w:w="2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or Programs</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r>
      <w:tr>
        <w:trPr>
          <w:trHeight w:val="223"/>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1 - 31</w:t>
            </w:r>
          </w:p>
        </w:tc>
        <w:tc>
          <w:tcPr>
            <w:tcW w:w="2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2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w:t>
            </w: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February 1 - 28</w:t>
            </w:r>
          </w:p>
        </w:tc>
        <w:tc>
          <w:tcPr>
            <w:tcW w:w="2520" w:type="dxa"/>
            <w:vAlign w:val="bottom"/>
          </w:tcPr>
          <w:p>
            <w:pPr>
              <w:jc w:val="right"/>
              <w:spacing w:after="0"/>
              <w:rPr>
                <w:sz w:val="20"/>
                <w:szCs w:val="20"/>
                <w:color w:val="auto"/>
              </w:rPr>
            </w:pPr>
            <w:r>
              <w:rPr>
                <w:rFonts w:ascii="Arial" w:cs="Arial" w:eastAsia="Arial" w:hAnsi="Arial"/>
                <w:sz w:val="18"/>
                <w:szCs w:val="18"/>
                <w:color w:val="auto"/>
              </w:rPr>
              <w:t>6,488</w:t>
            </w:r>
          </w:p>
        </w:tc>
        <w:tc>
          <w:tcPr>
            <w:tcW w:w="340" w:type="dxa"/>
            <w:vAlign w:val="bottom"/>
          </w:tcPr>
          <w:p>
            <w:pPr>
              <w:spacing w:after="0"/>
              <w:rPr>
                <w:sz w:val="19"/>
                <w:szCs w:val="19"/>
                <w:color w:val="auto"/>
              </w:rPr>
            </w:pPr>
          </w:p>
        </w:tc>
        <w:tc>
          <w:tcPr>
            <w:tcW w:w="2120" w:type="dxa"/>
            <w:vAlign w:val="bottom"/>
          </w:tcPr>
          <w:p>
            <w:pPr>
              <w:jc w:val="right"/>
              <w:ind w:right="130"/>
              <w:spacing w:after="0"/>
              <w:rPr>
                <w:sz w:val="20"/>
                <w:szCs w:val="20"/>
                <w:color w:val="auto"/>
              </w:rPr>
            </w:pPr>
            <w:r>
              <w:rPr>
                <w:rFonts w:ascii="Arial" w:cs="Arial" w:eastAsia="Arial" w:hAnsi="Arial"/>
                <w:sz w:val="18"/>
                <w:szCs w:val="18"/>
                <w:color w:val="auto"/>
              </w:rPr>
              <w:t>60.93</w:t>
            </w:r>
          </w:p>
        </w:tc>
        <w:tc>
          <w:tcPr>
            <w:tcW w:w="2040" w:type="dxa"/>
            <w:vAlign w:val="bottom"/>
          </w:tcPr>
          <w:p>
            <w:pPr>
              <w:ind w:left="1780"/>
              <w:spacing w:after="0"/>
              <w:rPr>
                <w:sz w:val="20"/>
                <w:szCs w:val="20"/>
                <w:color w:val="auto"/>
              </w:rPr>
            </w:pPr>
            <w:r>
              <w:rPr>
                <w:rFonts w:ascii="Arial" w:cs="Arial" w:eastAsia="Arial" w:hAnsi="Arial"/>
                <w:sz w:val="18"/>
                <w:szCs w:val="18"/>
                <w:color w:val="auto"/>
              </w:rPr>
              <w:t>—</w:t>
            </w:r>
          </w:p>
        </w:tc>
        <w:tc>
          <w:tcPr>
            <w:tcW w:w="224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29"/>
        </w:trPr>
        <w:tc>
          <w:tcPr>
            <w:tcW w:w="1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1 - 31</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32,604</w:t>
            </w:r>
          </w:p>
        </w:tc>
        <w:tc>
          <w:tcPr>
            <w:tcW w:w="3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60.04</w:t>
            </w:r>
          </w:p>
        </w:tc>
        <w:tc>
          <w:tcPr>
            <w:tcW w:w="204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8"/>
                <w:szCs w:val="18"/>
                <w:color w:val="auto"/>
              </w:rPr>
              <w:t>—</w:t>
            </w:r>
          </w:p>
        </w:tc>
      </w:tr>
      <w:tr>
        <w:trPr>
          <w:trHeight w:val="230"/>
        </w:trPr>
        <w:tc>
          <w:tcPr>
            <w:tcW w:w="1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39,092</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60.19</w:t>
            </w:r>
          </w:p>
        </w:tc>
        <w:tc>
          <w:tcPr>
            <w:tcW w:w="204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w:t>
            </w:r>
          </w:p>
        </w:tc>
      </w:tr>
    </w:tbl>
    <w:p>
      <w:pPr>
        <w:spacing w:after="0" w:line="71"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Represents shares Evergy purchased for withholding taxes related to the vesting of restricted stock units.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8" w:name="page69"/>
    <w:bookmarkEnd w:id="6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Annual Shareholder Meeting Results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Evergy's annual meeting of shareholders was held on May 2, 2023. In accordance with the recommendations of the Board, the shareholders</w:t>
      </w:r>
    </w:p>
    <w:p>
      <w:pPr>
        <w:spacing w:after="0" w:line="27" w:lineRule="exact"/>
        <w:rPr>
          <w:sz w:val="20"/>
          <w:szCs w:val="20"/>
          <w:color w:val="auto"/>
        </w:rPr>
      </w:pPr>
    </w:p>
    <w:p>
      <w:pPr>
        <w:ind w:right="220" w:firstLine="8"/>
        <w:spacing w:after="0" w:line="272" w:lineRule="auto"/>
        <w:tabs>
          <w:tab w:leader="none" w:pos="236" w:val="left"/>
        </w:tabs>
        <w:numPr>
          <w:ilvl w:val="0"/>
          <w:numId w:val="33"/>
        </w:numPr>
        <w:rPr>
          <w:rFonts w:ascii="Arial" w:cs="Arial" w:eastAsia="Arial" w:hAnsi="Arial"/>
          <w:sz w:val="19"/>
          <w:szCs w:val="19"/>
          <w:color w:val="auto"/>
        </w:rPr>
      </w:pPr>
      <w:r>
        <w:rPr>
          <w:rFonts w:ascii="Arial" w:cs="Arial" w:eastAsia="Arial" w:hAnsi="Arial"/>
          <w:sz w:val="19"/>
          <w:szCs w:val="19"/>
          <w:color w:val="auto"/>
        </w:rPr>
        <w:t>elected eleven directors; (ii) approved, on an advisory and non-binding basis, the 2022 compensation of Evergy's named executive officers; and (iii) ratified the appointment of Deloitte &amp; Touche LLP as independent registered public accountants for 2023. The proposals voted upon at the annual meeting, as well as the voting results for each proposal are set forth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on the Proxy Card. </w:t>
      </w:r>
      <w:r>
        <w:rPr>
          <w:rFonts w:ascii="Arial" w:cs="Arial" w:eastAsia="Arial" w:hAnsi="Arial"/>
          <w:sz w:val="18"/>
          <w:szCs w:val="18"/>
          <w:color w:val="auto"/>
        </w:rPr>
        <w:t>The eleven persons named below were elected, as proposed in the proxy statement, to serve as directors until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Evergy's annual meeting in 2024, and until their successors are elected and qualified. The voting regarding the election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4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w w:val="91"/>
              </w:rPr>
              <w:t>Number of Votes</w:t>
            </w:r>
          </w:p>
        </w:tc>
        <w:tc>
          <w:tcPr>
            <w:tcW w:w="1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r>
      <w:tr>
        <w:trPr>
          <w:trHeight w:val="229"/>
        </w:trPr>
        <w:tc>
          <w:tcPr>
            <w:tcW w:w="2640" w:type="dxa"/>
            <w:vAlign w:val="bottom"/>
          </w:tcPr>
          <w:p>
            <w:pPr>
              <w:spacing w:after="0"/>
              <w:rPr>
                <w:sz w:val="19"/>
                <w:szCs w:val="19"/>
                <w:color w:val="auto"/>
              </w:rPr>
            </w:pPr>
          </w:p>
        </w:tc>
        <w:tc>
          <w:tcPr>
            <w:tcW w:w="2240" w:type="dxa"/>
            <w:vAlign w:val="bottom"/>
          </w:tcPr>
          <w:p>
            <w:pPr>
              <w:jc w:val="center"/>
              <w:ind w:left="30"/>
              <w:spacing w:after="0"/>
              <w:rPr>
                <w:sz w:val="20"/>
                <w:szCs w:val="20"/>
                <w:color w:val="auto"/>
              </w:rPr>
            </w:pPr>
            <w:r>
              <w:rPr>
                <w:rFonts w:ascii="Arial" w:cs="Arial" w:eastAsia="Arial" w:hAnsi="Arial"/>
                <w:sz w:val="18"/>
                <w:szCs w:val="18"/>
                <w:color w:val="auto"/>
                <w:w w:val="88"/>
              </w:rPr>
              <w:t>For</w:t>
            </w:r>
          </w:p>
        </w:tc>
        <w:tc>
          <w:tcPr>
            <w:tcW w:w="2720" w:type="dxa"/>
            <w:vAlign w:val="bottom"/>
          </w:tcPr>
          <w:p>
            <w:pPr>
              <w:ind w:left="720"/>
              <w:spacing w:after="0"/>
              <w:rPr>
                <w:sz w:val="20"/>
                <w:szCs w:val="20"/>
                <w:color w:val="auto"/>
              </w:rPr>
            </w:pPr>
            <w:r>
              <w:rPr>
                <w:rFonts w:ascii="Arial" w:cs="Arial" w:eastAsia="Arial" w:hAnsi="Arial"/>
                <w:sz w:val="18"/>
                <w:szCs w:val="18"/>
                <w:color w:val="auto"/>
              </w:rPr>
              <w:t>Against</w:t>
            </w:r>
          </w:p>
        </w:tc>
        <w:tc>
          <w:tcPr>
            <w:tcW w:w="1080" w:type="dxa"/>
            <w:vAlign w:val="bottom"/>
          </w:tcPr>
          <w:p>
            <w:pPr>
              <w:ind w:left="60"/>
              <w:spacing w:after="0"/>
              <w:rPr>
                <w:sz w:val="20"/>
                <w:szCs w:val="20"/>
                <w:color w:val="auto"/>
              </w:rPr>
            </w:pPr>
            <w:r>
              <w:rPr>
                <w:rFonts w:ascii="Arial" w:cs="Arial" w:eastAsia="Arial" w:hAnsi="Arial"/>
                <w:sz w:val="18"/>
                <w:szCs w:val="18"/>
                <w:color w:val="auto"/>
              </w:rPr>
              <w:t>Abstain</w:t>
            </w:r>
          </w:p>
        </w:tc>
        <w:tc>
          <w:tcPr>
            <w:tcW w:w="2500" w:type="dxa"/>
            <w:vAlign w:val="bottom"/>
          </w:tcPr>
          <w:p>
            <w:pPr>
              <w:jc w:val="right"/>
              <w:ind w:right="650"/>
              <w:spacing w:after="0"/>
              <w:rPr>
                <w:sz w:val="20"/>
                <w:szCs w:val="20"/>
                <w:color w:val="auto"/>
              </w:rPr>
            </w:pPr>
            <w:r>
              <w:rPr>
                <w:rFonts w:ascii="Arial" w:cs="Arial" w:eastAsia="Arial" w:hAnsi="Arial"/>
                <w:sz w:val="18"/>
                <w:szCs w:val="18"/>
                <w:color w:val="auto"/>
              </w:rPr>
              <w:t>Broker Non-Votes</w:t>
            </w: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A. Campbell</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179,091,739</w:t>
            </w:r>
          </w:p>
        </w:tc>
        <w:tc>
          <w:tcPr>
            <w:tcW w:w="272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89"/>
              </w:rPr>
              <w:t>1,800,824</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376,750</w:t>
            </w:r>
          </w:p>
        </w:tc>
        <w:tc>
          <w:tcPr>
            <w:tcW w:w="2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21,666,048</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Thomas D. Hyde</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175,784,094</w:t>
            </w:r>
          </w:p>
        </w:tc>
        <w:tc>
          <w:tcPr>
            <w:tcW w:w="2720" w:type="dxa"/>
            <w:vAlign w:val="bottom"/>
          </w:tcPr>
          <w:p>
            <w:pPr>
              <w:jc w:val="center"/>
              <w:ind w:right="630"/>
              <w:spacing w:after="0"/>
              <w:rPr>
                <w:sz w:val="20"/>
                <w:szCs w:val="20"/>
                <w:color w:val="auto"/>
              </w:rPr>
            </w:pPr>
            <w:r>
              <w:rPr>
                <w:rFonts w:ascii="Arial" w:cs="Arial" w:eastAsia="Arial" w:hAnsi="Arial"/>
                <w:sz w:val="18"/>
                <w:szCs w:val="18"/>
                <w:color w:val="auto"/>
                <w:w w:val="89"/>
              </w:rPr>
              <w:t>5,057,304</w:t>
            </w:r>
          </w:p>
        </w:tc>
        <w:tc>
          <w:tcPr>
            <w:tcW w:w="1080" w:type="dxa"/>
            <w:vAlign w:val="bottom"/>
          </w:tcPr>
          <w:p>
            <w:pPr>
              <w:ind w:left="60"/>
              <w:spacing w:after="0"/>
              <w:rPr>
                <w:sz w:val="20"/>
                <w:szCs w:val="20"/>
                <w:color w:val="auto"/>
              </w:rPr>
            </w:pPr>
            <w:r>
              <w:rPr>
                <w:rFonts w:ascii="Arial" w:cs="Arial" w:eastAsia="Arial" w:hAnsi="Arial"/>
                <w:sz w:val="18"/>
                <w:szCs w:val="18"/>
                <w:color w:val="auto"/>
              </w:rPr>
              <w:t>427,915</w:t>
            </w: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21,666,048</w:t>
            </w: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 Anthony Isaac</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177,218,794</w:t>
            </w:r>
          </w:p>
        </w:tc>
        <w:tc>
          <w:tcPr>
            <w:tcW w:w="272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89"/>
              </w:rPr>
              <w:t>3,615,419</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435,100</w:t>
            </w:r>
          </w:p>
        </w:tc>
        <w:tc>
          <w:tcPr>
            <w:tcW w:w="2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21,666,048</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Paul M. Keglevic</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178,897,459</w:t>
            </w:r>
          </w:p>
        </w:tc>
        <w:tc>
          <w:tcPr>
            <w:tcW w:w="2720" w:type="dxa"/>
            <w:vAlign w:val="bottom"/>
          </w:tcPr>
          <w:p>
            <w:pPr>
              <w:jc w:val="center"/>
              <w:ind w:right="630"/>
              <w:spacing w:after="0"/>
              <w:rPr>
                <w:sz w:val="20"/>
                <w:szCs w:val="20"/>
                <w:color w:val="auto"/>
              </w:rPr>
            </w:pPr>
            <w:r>
              <w:rPr>
                <w:rFonts w:ascii="Arial" w:cs="Arial" w:eastAsia="Arial" w:hAnsi="Arial"/>
                <w:sz w:val="18"/>
                <w:szCs w:val="18"/>
                <w:color w:val="auto"/>
                <w:w w:val="89"/>
              </w:rPr>
              <w:t>1,931,123</w:t>
            </w:r>
          </w:p>
        </w:tc>
        <w:tc>
          <w:tcPr>
            <w:tcW w:w="1080" w:type="dxa"/>
            <w:vAlign w:val="bottom"/>
          </w:tcPr>
          <w:p>
            <w:pPr>
              <w:ind w:left="60"/>
              <w:spacing w:after="0"/>
              <w:rPr>
                <w:sz w:val="20"/>
                <w:szCs w:val="20"/>
                <w:color w:val="auto"/>
              </w:rPr>
            </w:pPr>
            <w:r>
              <w:rPr>
                <w:rFonts w:ascii="Arial" w:cs="Arial" w:eastAsia="Arial" w:hAnsi="Arial"/>
                <w:sz w:val="18"/>
                <w:szCs w:val="18"/>
                <w:color w:val="auto"/>
              </w:rPr>
              <w:t>440,731</w:t>
            </w: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21,666,048</w:t>
            </w: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 L. Landrieu</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178,896,460</w:t>
            </w:r>
          </w:p>
        </w:tc>
        <w:tc>
          <w:tcPr>
            <w:tcW w:w="272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89"/>
              </w:rPr>
              <w:t>1,877,669</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495,184</w:t>
            </w:r>
          </w:p>
        </w:tc>
        <w:tc>
          <w:tcPr>
            <w:tcW w:w="2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21,666,048</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Sandra A.J. Lawrence</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161,654,213</w:t>
            </w:r>
          </w:p>
        </w:tc>
        <w:tc>
          <w:tcPr>
            <w:tcW w:w="2720" w:type="dxa"/>
            <w:vAlign w:val="bottom"/>
          </w:tcPr>
          <w:p>
            <w:pPr>
              <w:jc w:val="center"/>
              <w:ind w:right="630"/>
              <w:spacing w:after="0"/>
              <w:rPr>
                <w:sz w:val="20"/>
                <w:szCs w:val="20"/>
                <w:color w:val="auto"/>
              </w:rPr>
            </w:pPr>
            <w:r>
              <w:rPr>
                <w:rFonts w:ascii="Arial" w:cs="Arial" w:eastAsia="Arial" w:hAnsi="Arial"/>
                <w:sz w:val="18"/>
                <w:szCs w:val="18"/>
                <w:color w:val="auto"/>
                <w:w w:val="88"/>
              </w:rPr>
              <w:t>19,201,711</w:t>
            </w:r>
          </w:p>
        </w:tc>
        <w:tc>
          <w:tcPr>
            <w:tcW w:w="1080" w:type="dxa"/>
            <w:vAlign w:val="bottom"/>
          </w:tcPr>
          <w:p>
            <w:pPr>
              <w:ind w:left="60"/>
              <w:spacing w:after="0"/>
              <w:rPr>
                <w:sz w:val="20"/>
                <w:szCs w:val="20"/>
                <w:color w:val="auto"/>
              </w:rPr>
            </w:pPr>
            <w:r>
              <w:rPr>
                <w:rFonts w:ascii="Arial" w:cs="Arial" w:eastAsia="Arial" w:hAnsi="Arial"/>
                <w:sz w:val="18"/>
                <w:szCs w:val="18"/>
                <w:color w:val="auto"/>
              </w:rPr>
              <w:t>413,389</w:t>
            </w: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21,666,048</w:t>
            </w: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 D. Murtlow</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178,725,830</w:t>
            </w:r>
          </w:p>
        </w:tc>
        <w:tc>
          <w:tcPr>
            <w:tcW w:w="272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89"/>
              </w:rPr>
              <w:t>2,117,555</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425,928</w:t>
            </w:r>
          </w:p>
        </w:tc>
        <w:tc>
          <w:tcPr>
            <w:tcW w:w="2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21,666,048</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Sandra J. Price</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177,184,197</w:t>
            </w:r>
          </w:p>
        </w:tc>
        <w:tc>
          <w:tcPr>
            <w:tcW w:w="2720" w:type="dxa"/>
            <w:vAlign w:val="bottom"/>
          </w:tcPr>
          <w:p>
            <w:pPr>
              <w:jc w:val="center"/>
              <w:ind w:right="630"/>
              <w:spacing w:after="0"/>
              <w:rPr>
                <w:sz w:val="20"/>
                <w:szCs w:val="20"/>
                <w:color w:val="auto"/>
              </w:rPr>
            </w:pPr>
            <w:r>
              <w:rPr>
                <w:rFonts w:ascii="Arial" w:cs="Arial" w:eastAsia="Arial" w:hAnsi="Arial"/>
                <w:sz w:val="18"/>
                <w:szCs w:val="18"/>
                <w:color w:val="auto"/>
                <w:w w:val="89"/>
              </w:rPr>
              <w:t>3,662,610</w:t>
            </w:r>
          </w:p>
        </w:tc>
        <w:tc>
          <w:tcPr>
            <w:tcW w:w="1080" w:type="dxa"/>
            <w:vAlign w:val="bottom"/>
          </w:tcPr>
          <w:p>
            <w:pPr>
              <w:ind w:left="60"/>
              <w:spacing w:after="0"/>
              <w:rPr>
                <w:sz w:val="20"/>
                <w:szCs w:val="20"/>
                <w:color w:val="auto"/>
              </w:rPr>
            </w:pPr>
            <w:r>
              <w:rPr>
                <w:rFonts w:ascii="Arial" w:cs="Arial" w:eastAsia="Arial" w:hAnsi="Arial"/>
                <w:sz w:val="18"/>
                <w:szCs w:val="18"/>
                <w:color w:val="auto"/>
              </w:rPr>
              <w:t>422,506</w:t>
            </w: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21,666,048</w:t>
            </w: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 A. Ruelle</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174,153,974</w:t>
            </w:r>
          </w:p>
        </w:tc>
        <w:tc>
          <w:tcPr>
            <w:tcW w:w="272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89"/>
              </w:rPr>
              <w:t>6,732,808</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382,531</w:t>
            </w:r>
          </w:p>
        </w:tc>
        <w:tc>
          <w:tcPr>
            <w:tcW w:w="2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21,666,048</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James Scarola</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180,013,693</w:t>
            </w:r>
          </w:p>
        </w:tc>
        <w:tc>
          <w:tcPr>
            <w:tcW w:w="2720" w:type="dxa"/>
            <w:vAlign w:val="bottom"/>
          </w:tcPr>
          <w:p>
            <w:pPr>
              <w:jc w:val="center"/>
              <w:ind w:right="630"/>
              <w:spacing w:after="0"/>
              <w:rPr>
                <w:sz w:val="20"/>
                <w:szCs w:val="20"/>
                <w:color w:val="auto"/>
              </w:rPr>
            </w:pPr>
            <w:r>
              <w:rPr>
                <w:rFonts w:ascii="Arial" w:cs="Arial" w:eastAsia="Arial" w:hAnsi="Arial"/>
                <w:sz w:val="18"/>
                <w:szCs w:val="18"/>
                <w:color w:val="auto"/>
                <w:w w:val="92"/>
              </w:rPr>
              <w:t>824,820</w:t>
            </w:r>
          </w:p>
        </w:tc>
        <w:tc>
          <w:tcPr>
            <w:tcW w:w="1080" w:type="dxa"/>
            <w:vAlign w:val="bottom"/>
          </w:tcPr>
          <w:p>
            <w:pPr>
              <w:ind w:left="60"/>
              <w:spacing w:after="0"/>
              <w:rPr>
                <w:sz w:val="20"/>
                <w:szCs w:val="20"/>
                <w:color w:val="auto"/>
              </w:rPr>
            </w:pPr>
            <w:r>
              <w:rPr>
                <w:rFonts w:ascii="Arial" w:cs="Arial" w:eastAsia="Arial" w:hAnsi="Arial"/>
                <w:sz w:val="18"/>
                <w:szCs w:val="18"/>
                <w:color w:val="auto"/>
              </w:rPr>
              <w:t>430,800</w:t>
            </w: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21,666,048</w:t>
            </w: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 John Wilder</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176,037,399</w:t>
            </w:r>
          </w:p>
        </w:tc>
        <w:tc>
          <w:tcPr>
            <w:tcW w:w="272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89"/>
              </w:rPr>
              <w:t>4,794,935</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436,979</w:t>
            </w:r>
          </w:p>
        </w:tc>
        <w:tc>
          <w:tcPr>
            <w:tcW w:w="2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21,666,048</w:t>
            </w:r>
          </w:p>
        </w:tc>
      </w:tr>
    </w:tbl>
    <w:p>
      <w:pPr>
        <w:spacing w:after="0" w:line="274" w:lineRule="exact"/>
        <w:rPr>
          <w:sz w:val="20"/>
          <w:szCs w:val="20"/>
          <w:color w:val="auto"/>
        </w:rPr>
      </w:pPr>
    </w:p>
    <w:p>
      <w:pPr>
        <w:ind w:right="280"/>
        <w:spacing w:after="0" w:line="281" w:lineRule="auto"/>
        <w:rPr>
          <w:sz w:val="20"/>
          <w:szCs w:val="20"/>
          <w:color w:val="auto"/>
        </w:rPr>
      </w:pPr>
      <w:r>
        <w:rPr>
          <w:rFonts w:ascii="Arial" w:cs="Arial" w:eastAsia="Arial" w:hAnsi="Arial"/>
          <w:sz w:val="20"/>
          <w:szCs w:val="20"/>
          <w:b w:val="1"/>
          <w:bCs w:val="1"/>
          <w:color w:val="auto"/>
        </w:rPr>
        <w:t xml:space="preserve">Item 2 on the Proxy Card. </w:t>
      </w:r>
      <w:r>
        <w:rPr>
          <w:rFonts w:ascii="Arial" w:cs="Arial" w:eastAsia="Arial" w:hAnsi="Arial"/>
          <w:sz w:val="20"/>
          <w:szCs w:val="20"/>
          <w:color w:val="auto"/>
        </w:rPr>
        <w:t>In an advisory and non-binding "say on pay" vote, shareholders approved the 2022 compensation of Evergy's</w:t>
      </w:r>
      <w:r>
        <w:rPr>
          <w:rFonts w:ascii="Arial" w:cs="Arial" w:eastAsia="Arial" w:hAnsi="Arial"/>
          <w:sz w:val="20"/>
          <w:szCs w:val="20"/>
          <w:b w:val="1"/>
          <w:bCs w:val="1"/>
          <w:color w:val="auto"/>
        </w:rPr>
        <w:t xml:space="preserve"> </w:t>
      </w:r>
      <w:r>
        <w:rPr>
          <w:rFonts w:ascii="Arial" w:cs="Arial" w:eastAsia="Arial" w:hAnsi="Arial"/>
          <w:sz w:val="20"/>
          <w:szCs w:val="20"/>
          <w:color w:val="auto"/>
        </w:rPr>
        <w:t>named executive officers, with the following vote: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of Votes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6"/>
              </w:rPr>
              <w:t>For</w:t>
            </w:r>
          </w:p>
        </w:tc>
        <w:tc>
          <w:tcPr>
            <w:tcW w:w="29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7"/>
              </w:rPr>
              <w:t>Against</w:t>
            </w:r>
          </w:p>
        </w:tc>
        <w:tc>
          <w:tcPr>
            <w:tcW w:w="2920" w:type="dxa"/>
            <w:vAlign w:val="bottom"/>
            <w:tcBorders>
              <w:top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Abstain</w:t>
            </w: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4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173,989,500</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6,479,331</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800,482</w:t>
            </w:r>
          </w:p>
        </w:tc>
        <w:tc>
          <w:tcPr>
            <w:tcW w:w="46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21,666,048</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3 on the Proxy Card. </w:t>
      </w:r>
      <w:r>
        <w:rPr>
          <w:rFonts w:ascii="Arial" w:cs="Arial" w:eastAsia="Arial" w:hAnsi="Arial"/>
          <w:sz w:val="19"/>
          <w:szCs w:val="19"/>
          <w:color w:val="auto"/>
        </w:rPr>
        <w:t>Shareholders voted for the ratification and confirmation of the appointment of Deloitte &amp; Touche LLP as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Evergy's independent registered public accounting firm for 2023, with the following vote: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of Votes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6"/>
              </w:rPr>
              <w:t>For</w:t>
            </w:r>
          </w:p>
        </w:tc>
        <w:tc>
          <w:tcPr>
            <w:tcW w:w="29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7"/>
              </w:rPr>
              <w:t>Against</w:t>
            </w:r>
          </w:p>
        </w:tc>
        <w:tc>
          <w:tcPr>
            <w:tcW w:w="2920" w:type="dxa"/>
            <w:vAlign w:val="bottom"/>
            <w:tcBorders>
              <w:top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Abstain</w:t>
            </w: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4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197,521,839</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4,927,348</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486,174</w:t>
            </w:r>
          </w:p>
        </w:tc>
        <w:tc>
          <w:tcPr>
            <w:tcW w:w="46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rPr>
              <w:t>0</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20"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9" w:name="page70"/>
    <w:bookmarkEnd w:id="6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2" w:right="8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8"/>
              </w:rPr>
              <w:t>Table of Contents</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4"/>
        </w:trPr>
        <w:tc>
          <w:tcPr>
            <w:tcW w:w="1820" w:type="dxa"/>
            <w:vAlign w:val="bottom"/>
            <w:gridSpan w:val="5"/>
          </w:tcPr>
          <w:p>
            <w:pPr>
              <w:spacing w:after="0"/>
              <w:rPr>
                <w:sz w:val="20"/>
                <w:szCs w:val="20"/>
                <w:color w:val="auto"/>
              </w:rPr>
            </w:pPr>
            <w:r>
              <w:rPr>
                <w:rFonts w:ascii="Arial" w:cs="Arial" w:eastAsia="Arial" w:hAnsi="Arial"/>
                <w:sz w:val="20"/>
                <w:szCs w:val="20"/>
                <w:b w:val="1"/>
                <w:bCs w:val="1"/>
                <w:color w:val="auto"/>
              </w:rPr>
              <w:t>ITEM 6. EXHIBITS</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20"/>
                <w:szCs w:val="20"/>
                <w:color w:val="auto"/>
                <w:w w:val="96"/>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2"/>
            <w:vMerge w:val="restart"/>
          </w:tcPr>
          <w:p>
            <w:pPr>
              <w:ind w:left="100"/>
              <w:spacing w:after="0"/>
              <w:rPr>
                <w:sz w:val="20"/>
                <w:szCs w:val="20"/>
                <w:color w:val="auto"/>
              </w:rPr>
            </w:pPr>
            <w:r>
              <w:rPr>
                <w:rFonts w:ascii="Arial" w:cs="Arial" w:eastAsia="Arial" w:hAnsi="Arial"/>
                <w:sz w:val="20"/>
                <w:szCs w:val="20"/>
                <w:color w:val="auto"/>
              </w:rPr>
              <w:t>Description of Document</w:t>
            </w:r>
          </w:p>
        </w:tc>
        <w:tc>
          <w:tcPr>
            <w:tcW w:w="1980" w:type="dxa"/>
            <w:vAlign w:val="bottom"/>
            <w:gridSpan w:val="3"/>
            <w:vMerge w:val="restart"/>
          </w:tcPr>
          <w:p>
            <w:pPr>
              <w:ind w:left="940"/>
              <w:spacing w:after="0"/>
              <w:rPr>
                <w:sz w:val="20"/>
                <w:szCs w:val="20"/>
                <w:color w:val="auto"/>
              </w:rPr>
            </w:pPr>
            <w:r>
              <w:rPr>
                <w:rFonts w:ascii="Arial" w:cs="Arial" w:eastAsia="Arial" w:hAnsi="Arial"/>
                <w:sz w:val="20"/>
                <w:szCs w:val="20"/>
                <w:color w:val="auto"/>
              </w:rPr>
              <w:t>Registrant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Arial" w:cs="Arial" w:eastAsia="Arial" w:hAnsi="Arial"/>
                <w:sz w:val="20"/>
                <w:szCs w:val="20"/>
                <w:color w:val="auto"/>
                <w:w w:val="89"/>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22"/>
            <w:vMerge w:val="continue"/>
          </w:tcPr>
          <w:p>
            <w:pPr>
              <w:spacing w:after="0"/>
              <w:rPr>
                <w:sz w:val="17"/>
                <w:szCs w:val="17"/>
                <w:color w:val="auto"/>
              </w:rPr>
            </w:pPr>
          </w:p>
        </w:tc>
        <w:tc>
          <w:tcPr>
            <w:tcW w:w="19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4.1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860" w:type="dxa"/>
            <w:vAlign w:val="bottom"/>
            <w:gridSpan w:val="28"/>
          </w:tcPr>
          <w:p>
            <w:pPr>
              <w:spacing w:after="0"/>
              <w:rPr>
                <w:rFonts w:ascii="Arial" w:cs="Arial" w:eastAsia="Arial" w:hAnsi="Arial"/>
                <w:sz w:val="20"/>
                <w:szCs w:val="20"/>
                <w:color w:val="0000FF"/>
                <w:w w:val="98"/>
              </w:rPr>
            </w:pPr>
            <w:hyperlink r:id="rId88">
              <w:r>
                <w:rPr>
                  <w:rFonts w:ascii="Arial" w:cs="Arial" w:eastAsia="Arial" w:hAnsi="Arial"/>
                  <w:sz w:val="20"/>
                  <w:szCs w:val="20"/>
                  <w:color w:val="0000FF"/>
                  <w:w w:val="98"/>
                </w:rPr>
                <w:t>Nineteenth Supplemental Indenture, dated as of April 4, 2023, between Evergy</w:t>
              </w:r>
            </w:hyperlink>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60" w:type="dxa"/>
            <w:vAlign w:val="bottom"/>
            <w:tcBorders>
              <w:top w:val="single" w:sz="8" w:color="0000FF"/>
            </w:tcBorders>
            <w:gridSpan w:val="16"/>
          </w:tcPr>
          <w:p>
            <w:pPr>
              <w:spacing w:after="0" w:line="176" w:lineRule="exact"/>
              <w:rPr>
                <w:rFonts w:ascii="Arial" w:cs="Arial" w:eastAsia="Arial" w:hAnsi="Arial"/>
                <w:sz w:val="20"/>
                <w:szCs w:val="20"/>
                <w:color w:val="0000FF"/>
                <w:w w:val="94"/>
              </w:rPr>
            </w:pPr>
            <w:hyperlink r:id="rId88">
              <w:r>
                <w:rPr>
                  <w:rFonts w:ascii="Arial" w:cs="Arial" w:eastAsia="Arial" w:hAnsi="Arial"/>
                  <w:sz w:val="20"/>
                  <w:szCs w:val="20"/>
                  <w:color w:val="0000FF"/>
                  <w:w w:val="94"/>
                </w:rPr>
                <w:t>Metro and UMB Bank, N.A. (formerly United Missouri Bank of Kansas City,</w:t>
              </w:r>
            </w:hyperlink>
          </w:p>
        </w:tc>
        <w:tc>
          <w:tcPr>
            <w:tcW w:w="600" w:type="dxa"/>
            <w:vAlign w:val="bottom"/>
            <w:gridSpan w:val="12"/>
          </w:tcPr>
          <w:p>
            <w:pPr>
              <w:spacing w:after="0" w:line="176" w:lineRule="exact"/>
              <w:rPr>
                <w:rFonts w:ascii="Arial" w:cs="Arial" w:eastAsia="Arial" w:hAnsi="Arial"/>
                <w:sz w:val="20"/>
                <w:szCs w:val="20"/>
                <w:color w:val="0000FF"/>
              </w:rPr>
            </w:pPr>
            <w:hyperlink r:id="rId88">
              <w:r>
                <w:rPr>
                  <w:rFonts w:ascii="Arial" w:cs="Arial" w:eastAsia="Arial" w:hAnsi="Arial"/>
                  <w:sz w:val="20"/>
                  <w:szCs w:val="20"/>
                  <w:color w:val="0000FF"/>
                </w:rPr>
                <w:t>N.A.),</w:t>
              </w:r>
            </w:hyperlink>
          </w:p>
        </w:tc>
        <w:tc>
          <w:tcPr>
            <w:tcW w:w="1980" w:type="dxa"/>
            <w:vAlign w:val="bottom"/>
            <w:gridSpan w:val="3"/>
          </w:tcPr>
          <w:p>
            <w:pPr>
              <w:ind w:left="160"/>
              <w:spacing w:after="0" w:line="176" w:lineRule="exact"/>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700" w:type="dxa"/>
            <w:vAlign w:val="bottom"/>
            <w:tcBorders>
              <w:top w:val="single" w:sz="8" w:color="0000FF"/>
            </w:tcBorders>
            <w:gridSpan w:val="27"/>
          </w:tcPr>
          <w:p>
            <w:pPr>
              <w:spacing w:after="0" w:line="183" w:lineRule="exact"/>
              <w:rPr>
                <w:rFonts w:ascii="Arial" w:cs="Arial" w:eastAsia="Arial" w:hAnsi="Arial"/>
                <w:sz w:val="20"/>
                <w:szCs w:val="20"/>
                <w:color w:val="0000FF"/>
                <w:w w:val="95"/>
              </w:rPr>
            </w:pPr>
            <w:hyperlink r:id="rId88">
              <w:r>
                <w:rPr>
                  <w:rFonts w:ascii="Arial" w:cs="Arial" w:eastAsia="Arial" w:hAnsi="Arial"/>
                  <w:sz w:val="20"/>
                  <w:szCs w:val="20"/>
                  <w:color w:val="0000FF"/>
                  <w:w w:val="95"/>
                </w:rPr>
                <w:t>as trustee (Exhibit 4.1 to Evergy's and Evergy Metro's Form 8-K filed on April 6,</w:t>
              </w:r>
            </w:hyperlink>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Borders>
              <w:top w:val="single" w:sz="8" w:color="0000FF"/>
              <w:bottom w:val="single" w:sz="8" w:color="0000FF"/>
            </w:tcBorders>
          </w:tcPr>
          <w:p>
            <w:pPr>
              <w:spacing w:after="0" w:line="183" w:lineRule="exact"/>
              <w:rPr>
                <w:rFonts w:ascii="Arial" w:cs="Arial" w:eastAsia="Arial" w:hAnsi="Arial"/>
                <w:sz w:val="20"/>
                <w:szCs w:val="20"/>
                <w:color w:val="0000FF"/>
                <w:w w:val="88"/>
              </w:rPr>
            </w:pPr>
            <w:hyperlink r:id="rId88">
              <w:r>
                <w:rPr>
                  <w:rFonts w:ascii="Arial" w:cs="Arial" w:eastAsia="Arial" w:hAnsi="Arial"/>
                  <w:sz w:val="20"/>
                  <w:szCs w:val="20"/>
                  <w:color w:val="0000FF"/>
                  <w:w w:val="88"/>
                </w:rPr>
                <w:t>2023).</w:t>
              </w:r>
            </w:hyperlink>
          </w:p>
        </w:tc>
        <w:tc>
          <w:tcPr>
            <w:tcW w:w="74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4.2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860" w:type="dxa"/>
            <w:vAlign w:val="bottom"/>
            <w:gridSpan w:val="28"/>
          </w:tcPr>
          <w:p>
            <w:pPr>
              <w:spacing w:after="0"/>
              <w:rPr>
                <w:rFonts w:ascii="Arial" w:cs="Arial" w:eastAsia="Arial" w:hAnsi="Arial"/>
                <w:sz w:val="20"/>
                <w:szCs w:val="20"/>
                <w:color w:val="0000FF"/>
                <w:w w:val="96"/>
              </w:rPr>
            </w:pPr>
            <w:hyperlink r:id="rId89">
              <w:r>
                <w:rPr>
                  <w:rFonts w:ascii="Arial" w:cs="Arial" w:eastAsia="Arial" w:hAnsi="Arial"/>
                  <w:sz w:val="20"/>
                  <w:szCs w:val="20"/>
                  <w:color w:val="0000FF"/>
                  <w:w w:val="96"/>
                </w:rPr>
                <w:t>Fifty-First Supplemental Indenture, dated as of March 14, 2023, between Evergy</w:t>
              </w:r>
            </w:hyperlink>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0" w:type="dxa"/>
            <w:vAlign w:val="bottom"/>
            <w:tcBorders>
              <w:top w:val="single" w:sz="8" w:color="0000FF"/>
              <w:bottom w:val="single" w:sz="8" w:color="0000FF"/>
            </w:tcBorders>
            <w:gridSpan w:val="21"/>
          </w:tcPr>
          <w:p>
            <w:pPr>
              <w:spacing w:after="0" w:line="176" w:lineRule="exact"/>
              <w:rPr>
                <w:rFonts w:ascii="Arial" w:cs="Arial" w:eastAsia="Arial" w:hAnsi="Arial"/>
                <w:sz w:val="20"/>
                <w:szCs w:val="20"/>
                <w:color w:val="0000FF"/>
                <w:w w:val="89"/>
              </w:rPr>
            </w:pPr>
            <w:hyperlink r:id="rId89">
              <w:r>
                <w:rPr>
                  <w:rFonts w:ascii="Arial" w:cs="Arial" w:eastAsia="Arial" w:hAnsi="Arial"/>
                  <w:sz w:val="20"/>
                  <w:szCs w:val="20"/>
                  <w:color w:val="0000FF"/>
                  <w:w w:val="89"/>
                </w:rPr>
                <w:t>Kansas Central, Inc. and The Bank of New York Mellon Trust company, N.A., as</w:t>
              </w:r>
            </w:hyperlink>
          </w:p>
        </w:tc>
        <w:tc>
          <w:tcPr>
            <w:tcW w:w="2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980" w:type="dxa"/>
            <w:vAlign w:val="bottom"/>
            <w:gridSpan w:val="3"/>
          </w:tcPr>
          <w:p>
            <w:pPr>
              <w:ind w:left="160"/>
              <w:spacing w:after="0" w:line="176"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20" w:type="dxa"/>
            <w:vAlign w:val="bottom"/>
            <w:gridSpan w:val="22"/>
          </w:tcPr>
          <w:p>
            <w:pPr>
              <w:spacing w:after="0" w:line="183" w:lineRule="exact"/>
              <w:rPr>
                <w:rFonts w:ascii="Arial" w:cs="Arial" w:eastAsia="Arial" w:hAnsi="Arial"/>
                <w:sz w:val="20"/>
                <w:szCs w:val="20"/>
                <w:color w:val="0000FF"/>
                <w:w w:val="92"/>
              </w:rPr>
            </w:pPr>
            <w:hyperlink r:id="rId89">
              <w:r>
                <w:rPr>
                  <w:rFonts w:ascii="Arial" w:cs="Arial" w:eastAsia="Arial" w:hAnsi="Arial"/>
                  <w:sz w:val="20"/>
                  <w:szCs w:val="20"/>
                  <w:color w:val="0000FF"/>
                  <w:w w:val="92"/>
                </w:rPr>
                <w:t>trustee (Exhibit 4.1 to Evergy's and Evergy Kansas Central's Form 8-K filed on</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20"/>
                <w:szCs w:val="20"/>
                <w:color w:val="0000FF"/>
                <w:w w:val="89"/>
              </w:rPr>
            </w:pPr>
            <w:hyperlink r:id="rId89">
              <w:r>
                <w:rPr>
                  <w:rFonts w:ascii="Arial" w:cs="Arial" w:eastAsia="Arial" w:hAnsi="Arial"/>
                  <w:sz w:val="20"/>
                  <w:szCs w:val="20"/>
                  <w:color w:val="0000FF"/>
                  <w:w w:val="89"/>
                </w:rPr>
                <w:t>March 14, 2023</w:t>
              </w:r>
            </w:hyperlink>
          </w:p>
        </w:tc>
        <w:tc>
          <w:tcPr>
            <w:tcW w:w="502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860" w:type="dxa"/>
            <w:vAlign w:val="bottom"/>
            <w:gridSpan w:val="28"/>
          </w:tcPr>
          <w:p>
            <w:pPr>
              <w:spacing w:after="0"/>
              <w:rPr>
                <w:rFonts w:ascii="Arial" w:cs="Arial" w:eastAsia="Arial" w:hAnsi="Arial"/>
                <w:sz w:val="20"/>
                <w:szCs w:val="20"/>
                <w:color w:val="0000FF"/>
                <w:w w:val="94"/>
              </w:rPr>
            </w:pPr>
            <w:hyperlink r:id="rId90">
              <w:r>
                <w:rPr>
                  <w:rFonts w:ascii="Arial" w:cs="Arial" w:eastAsia="Arial" w:hAnsi="Arial"/>
                  <w:sz w:val="20"/>
                  <w:szCs w:val="20"/>
                  <w:color w:val="0000FF"/>
                  <w:w w:val="94"/>
                </w:rPr>
                <w:t>First Amendment to Term Loan Credit Agreement, dated as of February 23, 2023,</w:t>
              </w:r>
            </w:hyperlink>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80" w:type="dxa"/>
            <w:vAlign w:val="bottom"/>
            <w:tcBorders>
              <w:top w:val="single" w:sz="8" w:color="0000FF"/>
              <w:bottom w:val="single" w:sz="8" w:color="0000FF"/>
            </w:tcBorders>
            <w:gridSpan w:val="14"/>
          </w:tcPr>
          <w:p>
            <w:pPr>
              <w:spacing w:after="0" w:line="169" w:lineRule="exact"/>
              <w:rPr>
                <w:rFonts w:ascii="Arial" w:cs="Arial" w:eastAsia="Arial" w:hAnsi="Arial"/>
                <w:sz w:val="19"/>
                <w:szCs w:val="19"/>
                <w:color w:val="0000FF"/>
                <w:w w:val="94"/>
              </w:rPr>
            </w:pPr>
            <w:hyperlink r:id="rId90">
              <w:r>
                <w:rPr>
                  <w:rFonts w:ascii="Arial" w:cs="Arial" w:eastAsia="Arial" w:hAnsi="Arial"/>
                  <w:sz w:val="19"/>
                  <w:szCs w:val="19"/>
                  <w:color w:val="0000FF"/>
                  <w:w w:val="94"/>
                </w:rPr>
                <w:t>by and among Evergy, Inc., Wells Fargo Bank, National Association, as</w:t>
              </w:r>
            </w:hyperlink>
          </w:p>
        </w:tc>
        <w:tc>
          <w:tcPr>
            <w:tcW w:w="82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60" w:type="dxa"/>
            <w:vAlign w:val="bottom"/>
            <w:gridSpan w:val="28"/>
          </w:tcPr>
          <w:p>
            <w:pPr>
              <w:spacing w:after="0" w:line="183" w:lineRule="exact"/>
              <w:rPr>
                <w:rFonts w:ascii="Arial" w:cs="Arial" w:eastAsia="Arial" w:hAnsi="Arial"/>
                <w:sz w:val="20"/>
                <w:szCs w:val="20"/>
                <w:color w:val="0000FF"/>
                <w:w w:val="92"/>
              </w:rPr>
            </w:pPr>
            <w:hyperlink r:id="rId90">
              <w:r>
                <w:rPr>
                  <w:rFonts w:ascii="Arial" w:cs="Arial" w:eastAsia="Arial" w:hAnsi="Arial"/>
                  <w:sz w:val="20"/>
                  <w:szCs w:val="20"/>
                  <w:color w:val="0000FF"/>
                  <w:w w:val="92"/>
                </w:rPr>
                <w:t>administrative agent, and the lenders party thereto (Exhibit 10.1 to Evergy's Form 8-</w:t>
              </w:r>
            </w:hyperlink>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tcBorders>
              <w:top w:val="single" w:sz="8" w:color="0000FF"/>
              <w:bottom w:val="single" w:sz="8" w:color="0000FF"/>
            </w:tcBorders>
            <w:gridSpan w:val="3"/>
          </w:tcPr>
          <w:p>
            <w:pPr>
              <w:spacing w:after="0" w:line="163" w:lineRule="exact"/>
              <w:rPr>
                <w:rFonts w:ascii="Arial" w:cs="Arial" w:eastAsia="Arial" w:hAnsi="Arial"/>
                <w:sz w:val="18"/>
                <w:szCs w:val="18"/>
                <w:color w:val="0000FF"/>
              </w:rPr>
            </w:pPr>
            <w:hyperlink r:id="rId90">
              <w:r>
                <w:rPr>
                  <w:rFonts w:ascii="Arial" w:cs="Arial" w:eastAsia="Arial" w:hAnsi="Arial"/>
                  <w:sz w:val="18"/>
                  <w:szCs w:val="18"/>
                  <w:color w:val="0000FF"/>
                </w:rPr>
                <w:t>K filed February 27, 2023).</w:t>
              </w:r>
            </w:hyperlink>
          </w:p>
        </w:tc>
        <w:tc>
          <w:tcPr>
            <w:tcW w:w="1900" w:type="dxa"/>
            <w:vAlign w:val="bottom"/>
            <w:tcBorders>
              <w:top w:val="single" w:sz="8" w:color="0000FF"/>
            </w:tcBorders>
            <w:gridSpan w:val="6"/>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860" w:type="dxa"/>
            <w:vAlign w:val="bottom"/>
            <w:gridSpan w:val="28"/>
          </w:tcPr>
          <w:p>
            <w:pPr>
              <w:spacing w:after="0"/>
              <w:rPr>
                <w:rFonts w:ascii="Arial" w:cs="Arial" w:eastAsia="Arial" w:hAnsi="Arial"/>
                <w:sz w:val="20"/>
                <w:szCs w:val="20"/>
                <w:color w:val="0000FF"/>
                <w:w w:val="96"/>
              </w:rPr>
            </w:pPr>
            <w:hyperlink r:id="rId91">
              <w:r>
                <w:rPr>
                  <w:rFonts w:ascii="Arial" w:cs="Arial" w:eastAsia="Arial" w:hAnsi="Arial"/>
                  <w:sz w:val="20"/>
                  <w:szCs w:val="20"/>
                  <w:color w:val="0000FF"/>
                  <w:w w:val="96"/>
                </w:rPr>
                <w:t>Form of Evergy, Inc. 2023 Performance-Based Restricted Stock Unit Agreement</w:t>
              </w:r>
            </w:hyperlink>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380" w:type="dxa"/>
            <w:vAlign w:val="bottom"/>
            <w:tcBorders>
              <w:top w:val="single" w:sz="8" w:color="0000FF"/>
            </w:tcBorders>
            <w:gridSpan w:val="20"/>
          </w:tcPr>
          <w:p>
            <w:pPr>
              <w:spacing w:after="0" w:line="176" w:lineRule="exact"/>
              <w:rPr>
                <w:rFonts w:ascii="Arial" w:cs="Arial" w:eastAsia="Arial" w:hAnsi="Arial"/>
                <w:sz w:val="20"/>
                <w:szCs w:val="20"/>
                <w:color w:val="0000FF"/>
                <w:w w:val="91"/>
              </w:rPr>
            </w:pPr>
            <w:hyperlink r:id="rId91">
              <w:r>
                <w:rPr>
                  <w:rFonts w:ascii="Arial" w:cs="Arial" w:eastAsia="Arial" w:hAnsi="Arial"/>
                  <w:sz w:val="20"/>
                  <w:szCs w:val="20"/>
                  <w:color w:val="0000FF"/>
                  <w:w w:val="91"/>
                </w:rPr>
                <w:t>(Exhibit 10.9 to Evergy's Form 10-K for the period ended December 31, 2022).</w:t>
              </w:r>
            </w:hyperlink>
          </w:p>
        </w:tc>
        <w:tc>
          <w:tcPr>
            <w:tcW w:w="10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300" w:type="dxa"/>
            <w:vAlign w:val="bottom"/>
            <w:gridSpan w:val="3"/>
          </w:tcPr>
          <w:p>
            <w:pPr>
              <w:spacing w:after="0"/>
              <w:rPr>
                <w:sz w:val="15"/>
                <w:szCs w:val="15"/>
                <w:color w:val="auto"/>
              </w:rPr>
            </w:pPr>
          </w:p>
        </w:tc>
        <w:tc>
          <w:tcPr>
            <w:tcW w:w="1980" w:type="dxa"/>
            <w:vAlign w:val="bottom"/>
            <w:gridSpan w:val="3"/>
          </w:tcPr>
          <w:p>
            <w:pPr>
              <w:ind w:left="160"/>
              <w:spacing w:after="0" w:line="176"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860" w:type="dxa"/>
            <w:vAlign w:val="bottom"/>
            <w:gridSpan w:val="28"/>
          </w:tcPr>
          <w:p>
            <w:pPr>
              <w:spacing w:after="0"/>
              <w:rPr>
                <w:rFonts w:ascii="Arial" w:cs="Arial" w:eastAsia="Arial" w:hAnsi="Arial"/>
                <w:sz w:val="20"/>
                <w:szCs w:val="20"/>
                <w:color w:val="0000FF"/>
                <w:w w:val="96"/>
              </w:rPr>
            </w:pPr>
            <w:hyperlink r:id="rId92">
              <w:r>
                <w:rPr>
                  <w:rFonts w:ascii="Arial" w:cs="Arial" w:eastAsia="Arial" w:hAnsi="Arial"/>
                  <w:sz w:val="20"/>
                  <w:szCs w:val="20"/>
                  <w:color w:val="0000FF"/>
                  <w:w w:val="96"/>
                </w:rPr>
                <w:t>Form of Evergy, Inc. 2023 Time-Based Restricted Stock Unit Agreement (Exhibit</w:t>
              </w:r>
            </w:hyperlink>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80" w:type="dxa"/>
            <w:vAlign w:val="bottom"/>
            <w:tcBorders>
              <w:top w:val="single" w:sz="8" w:color="0000FF"/>
            </w:tcBorders>
            <w:gridSpan w:val="23"/>
          </w:tcPr>
          <w:p>
            <w:pPr>
              <w:spacing w:after="0" w:line="176" w:lineRule="exact"/>
              <w:rPr>
                <w:rFonts w:ascii="Arial" w:cs="Arial" w:eastAsia="Arial" w:hAnsi="Arial"/>
                <w:sz w:val="20"/>
                <w:szCs w:val="20"/>
                <w:color w:val="0000FF"/>
              </w:rPr>
            </w:pPr>
            <w:hyperlink r:id="rId92">
              <w:r>
                <w:rPr>
                  <w:rFonts w:ascii="Arial" w:cs="Arial" w:eastAsia="Arial" w:hAnsi="Arial"/>
                  <w:sz w:val="20"/>
                  <w:szCs w:val="20"/>
                  <w:color w:val="0000FF"/>
                </w:rPr>
                <w:t>10.</w:t>
              </w:r>
              <w:r>
                <w:rPr>
                  <w:rFonts w:ascii="Arial" w:cs="Arial" w:eastAsia="Arial" w:hAnsi="Arial"/>
                  <w:sz w:val="20"/>
                  <w:szCs w:val="20"/>
                  <w:u w:val="single" w:color="auto"/>
                  <w:color w:val="0000FF"/>
                </w:rPr>
                <w:t>10</w:t>
              </w:r>
              <w:r>
                <w:rPr>
                  <w:rFonts w:ascii="Arial" w:cs="Arial" w:eastAsia="Arial" w:hAnsi="Arial"/>
                  <w:sz w:val="20"/>
                  <w:szCs w:val="20"/>
                  <w:color w:val="0000FF"/>
                </w:rPr>
                <w:t xml:space="preserve"> to Evergy's Form 10-K for the period ended December 31, 2022).</w:t>
              </w:r>
            </w:hyperlink>
          </w:p>
        </w:tc>
        <w:tc>
          <w:tcPr>
            <w:tcW w:w="80" w:type="dxa"/>
            <w:vAlign w:val="bottom"/>
            <w:gridSpan w:val="2"/>
          </w:tcPr>
          <w:p>
            <w:pPr>
              <w:spacing w:after="0"/>
              <w:rPr>
                <w:sz w:val="15"/>
                <w:szCs w:val="15"/>
                <w:color w:val="auto"/>
              </w:rPr>
            </w:pPr>
          </w:p>
        </w:tc>
        <w:tc>
          <w:tcPr>
            <w:tcW w:w="300" w:type="dxa"/>
            <w:vAlign w:val="bottom"/>
            <w:gridSpan w:val="3"/>
          </w:tcPr>
          <w:p>
            <w:pPr>
              <w:spacing w:after="0"/>
              <w:rPr>
                <w:sz w:val="15"/>
                <w:szCs w:val="15"/>
                <w:color w:val="auto"/>
              </w:rPr>
            </w:pPr>
          </w:p>
        </w:tc>
        <w:tc>
          <w:tcPr>
            <w:tcW w:w="1980" w:type="dxa"/>
            <w:vAlign w:val="bottom"/>
            <w:gridSpan w:val="3"/>
          </w:tcPr>
          <w:p>
            <w:pPr>
              <w:ind w:left="160"/>
              <w:spacing w:after="0" w:line="176"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860" w:type="dxa"/>
            <w:vAlign w:val="bottom"/>
            <w:gridSpan w:val="28"/>
          </w:tcPr>
          <w:p>
            <w:pPr>
              <w:spacing w:after="0"/>
              <w:rPr>
                <w:rFonts w:ascii="Arial" w:cs="Arial" w:eastAsia="Arial" w:hAnsi="Arial"/>
                <w:sz w:val="20"/>
                <w:szCs w:val="20"/>
                <w:color w:val="0000FF"/>
                <w:w w:val="95"/>
              </w:rPr>
            </w:pPr>
            <w:hyperlink r:id="rId93">
              <w:r>
                <w:rPr>
                  <w:rFonts w:ascii="Arial" w:cs="Arial" w:eastAsia="Arial" w:hAnsi="Arial"/>
                  <w:sz w:val="20"/>
                  <w:szCs w:val="20"/>
                  <w:color w:val="0000FF"/>
                  <w:w w:val="95"/>
                </w:rPr>
                <w:t>Evergy, Inc. 2023 Annual Incentive Plan (Exhibit 10.13 to Evergy's Form 10-K for</w:t>
              </w:r>
            </w:hyperlink>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560" w:type="dxa"/>
            <w:vAlign w:val="bottom"/>
            <w:tcBorders>
              <w:top w:val="single" w:sz="8" w:color="0000FF"/>
            </w:tcBorders>
            <w:gridSpan w:val="25"/>
          </w:tcPr>
          <w:p>
            <w:pPr>
              <w:spacing w:after="0" w:line="176" w:lineRule="exact"/>
              <w:rPr>
                <w:rFonts w:ascii="Arial" w:cs="Arial" w:eastAsia="Arial" w:hAnsi="Arial"/>
                <w:sz w:val="20"/>
                <w:szCs w:val="20"/>
                <w:color w:val="0000FF"/>
              </w:rPr>
            </w:pPr>
            <w:hyperlink r:id="rId93">
              <w:r>
                <w:rPr>
                  <w:rFonts w:ascii="Arial" w:cs="Arial" w:eastAsia="Arial" w:hAnsi="Arial"/>
                  <w:sz w:val="20"/>
                  <w:szCs w:val="20"/>
                  <w:color w:val="0000FF"/>
                </w:rPr>
                <w:t>the period ended December 31, 2022).</w:t>
              </w:r>
            </w:hyperlink>
          </w:p>
        </w:tc>
        <w:tc>
          <w:tcPr>
            <w:tcW w:w="300" w:type="dxa"/>
            <w:vAlign w:val="bottom"/>
            <w:gridSpan w:val="3"/>
          </w:tcPr>
          <w:p>
            <w:pPr>
              <w:spacing w:after="0"/>
              <w:rPr>
                <w:sz w:val="15"/>
                <w:szCs w:val="15"/>
                <w:color w:val="auto"/>
              </w:rPr>
            </w:pPr>
          </w:p>
        </w:tc>
        <w:tc>
          <w:tcPr>
            <w:tcW w:w="1980" w:type="dxa"/>
            <w:vAlign w:val="bottom"/>
            <w:gridSpan w:val="3"/>
          </w:tcPr>
          <w:p>
            <w:pPr>
              <w:ind w:left="160"/>
              <w:spacing w:after="0" w:line="176"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10.5</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860" w:type="dxa"/>
            <w:vAlign w:val="bottom"/>
            <w:gridSpan w:val="28"/>
          </w:tcPr>
          <w:p>
            <w:pPr>
              <w:spacing w:after="0"/>
              <w:rPr>
                <w:rFonts w:ascii="Arial" w:cs="Arial" w:eastAsia="Arial" w:hAnsi="Arial"/>
                <w:sz w:val="20"/>
                <w:szCs w:val="20"/>
                <w:color w:val="0000FF"/>
                <w:w w:val="96"/>
              </w:rPr>
            </w:pPr>
            <w:hyperlink r:id="rId94">
              <w:r>
                <w:rPr>
                  <w:rFonts w:ascii="Arial" w:cs="Arial" w:eastAsia="Arial" w:hAnsi="Arial"/>
                  <w:sz w:val="20"/>
                  <w:szCs w:val="20"/>
                  <w:color w:val="0000FF"/>
                  <w:w w:val="96"/>
                </w:rPr>
                <w:t>Evergy, Inc. Amended and Restated Nonqualified Deferred Compensation Plan,</w:t>
              </w:r>
            </w:hyperlink>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340" w:type="dxa"/>
            <w:vAlign w:val="bottom"/>
            <w:tcBorders>
              <w:top w:val="single" w:sz="8" w:color="0000FF"/>
            </w:tcBorders>
            <w:gridSpan w:val="19"/>
          </w:tcPr>
          <w:p>
            <w:pPr>
              <w:spacing w:after="0" w:line="176" w:lineRule="exact"/>
              <w:rPr>
                <w:rFonts w:ascii="Arial" w:cs="Arial" w:eastAsia="Arial" w:hAnsi="Arial"/>
                <w:sz w:val="20"/>
                <w:szCs w:val="20"/>
                <w:color w:val="0000FF"/>
                <w:w w:val="93"/>
              </w:rPr>
            </w:pPr>
            <w:hyperlink r:id="rId94">
              <w:r>
                <w:rPr>
                  <w:rFonts w:ascii="Arial" w:cs="Arial" w:eastAsia="Arial" w:hAnsi="Arial"/>
                  <w:sz w:val="20"/>
                  <w:szCs w:val="20"/>
                  <w:color w:val="0000FF"/>
                  <w:w w:val="93"/>
                </w:rPr>
                <w:t>effective January 1, 2023 (Exhibit 10.26 to Evergy's Form 10-K for the period</w:t>
              </w:r>
            </w:hyperlink>
          </w:p>
        </w:tc>
        <w:tc>
          <w:tcPr>
            <w:tcW w:w="520" w:type="dxa"/>
            <w:vAlign w:val="bottom"/>
            <w:gridSpan w:val="9"/>
          </w:tcPr>
          <w:p>
            <w:pPr>
              <w:spacing w:after="0"/>
              <w:rPr>
                <w:sz w:val="15"/>
                <w:szCs w:val="15"/>
                <w:color w:val="auto"/>
              </w:rPr>
            </w:pPr>
          </w:p>
        </w:tc>
        <w:tc>
          <w:tcPr>
            <w:tcW w:w="1980" w:type="dxa"/>
            <w:vAlign w:val="bottom"/>
            <w:gridSpan w:val="3"/>
          </w:tcPr>
          <w:p>
            <w:pPr>
              <w:ind w:left="160"/>
              <w:spacing w:after="0" w:line="176"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tcBorders>
              <w:top w:val="single" w:sz="8" w:color="0000FF"/>
              <w:bottom w:val="single" w:sz="8" w:color="0000FF"/>
            </w:tcBorders>
            <w:gridSpan w:val="4"/>
          </w:tcPr>
          <w:p>
            <w:pPr>
              <w:spacing w:after="0" w:line="183" w:lineRule="exact"/>
              <w:rPr>
                <w:rFonts w:ascii="Arial" w:cs="Arial" w:eastAsia="Arial" w:hAnsi="Arial"/>
                <w:sz w:val="20"/>
                <w:szCs w:val="20"/>
                <w:color w:val="0000FF"/>
                <w:w w:val="87"/>
              </w:rPr>
            </w:pPr>
            <w:hyperlink r:id="rId94">
              <w:r>
                <w:rPr>
                  <w:rFonts w:ascii="Arial" w:cs="Arial" w:eastAsia="Arial" w:hAnsi="Arial"/>
                  <w:sz w:val="20"/>
                  <w:szCs w:val="20"/>
                  <w:color w:val="0000FF"/>
                  <w:w w:val="87"/>
                </w:rPr>
                <w:t>ended December 31, 2022).</w:t>
              </w:r>
            </w:hyperlink>
          </w:p>
        </w:tc>
        <w:tc>
          <w:tcPr>
            <w:tcW w:w="3980" w:type="dxa"/>
            <w:vAlign w:val="bottom"/>
            <w:tcBorders>
              <w:top w:val="single" w:sz="8" w:color="0000FF"/>
            </w:tcBorders>
            <w:gridSpan w:val="11"/>
          </w:tcPr>
          <w:p>
            <w:pPr>
              <w:spacing w:after="0"/>
              <w:rPr>
                <w:sz w:val="15"/>
                <w:szCs w:val="15"/>
                <w:color w:val="auto"/>
              </w:rPr>
            </w:pPr>
          </w:p>
        </w:tc>
        <w:tc>
          <w:tcPr>
            <w:tcW w:w="680" w:type="dxa"/>
            <w:vAlign w:val="bottom"/>
            <w:gridSpan w:val="13"/>
          </w:tcPr>
          <w:p>
            <w:pPr>
              <w:spacing w:after="0"/>
              <w:rPr>
                <w:sz w:val="15"/>
                <w:szCs w:val="15"/>
                <w:color w:val="auto"/>
              </w:rPr>
            </w:pPr>
          </w:p>
        </w:tc>
        <w:tc>
          <w:tcPr>
            <w:tcW w:w="1980" w:type="dxa"/>
            <w:vAlign w:val="bottom"/>
            <w:gridSpan w:val="3"/>
          </w:tcPr>
          <w:p>
            <w:pPr>
              <w:ind w:left="160"/>
              <w:spacing w:after="0" w:line="183" w:lineRule="exact"/>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10.6</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5200" w:type="dxa"/>
            <w:vAlign w:val="bottom"/>
            <w:tcBorders>
              <w:bottom w:val="single" w:sz="8" w:color="0000FF"/>
            </w:tcBorders>
            <w:gridSpan w:val="13"/>
          </w:tcPr>
          <w:p>
            <w:pPr>
              <w:spacing w:after="0"/>
              <w:rPr>
                <w:sz w:val="20"/>
                <w:szCs w:val="20"/>
                <w:color w:val="auto"/>
              </w:rPr>
            </w:pPr>
            <w:r>
              <w:rPr>
                <w:rFonts w:ascii="Arial" w:cs="Arial" w:eastAsia="Arial" w:hAnsi="Arial"/>
                <w:sz w:val="20"/>
                <w:szCs w:val="20"/>
                <w:color w:val="0000FF"/>
                <w:w w:val="90"/>
              </w:rPr>
              <w:t>Summary of Evergy, Inc. Non-Employee Director Compensation.</w:t>
            </w:r>
          </w:p>
        </w:tc>
        <w:tc>
          <w:tcPr>
            <w:tcW w:w="1660" w:type="dxa"/>
            <w:vAlign w:val="bottom"/>
            <w:gridSpan w:val="15"/>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color w:val="0000FF"/>
                <w:w w:val="91"/>
              </w:rPr>
              <w:t>Rule 13a-14(a)/15d-14(a) Certification of David A. Campbell.</w:t>
            </w:r>
          </w:p>
        </w:tc>
        <w:tc>
          <w:tcPr>
            <w:tcW w:w="1920" w:type="dxa"/>
            <w:vAlign w:val="bottom"/>
            <w:gridSpan w:val="17"/>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8"/>
          </w:tcPr>
          <w:p>
            <w:pPr>
              <w:spacing w:after="0"/>
              <w:rPr>
                <w:sz w:val="20"/>
                <w:szCs w:val="20"/>
                <w:color w:val="auto"/>
              </w:rPr>
            </w:pPr>
            <w:r>
              <w:rPr>
                <w:rFonts w:ascii="Arial" w:cs="Arial" w:eastAsia="Arial" w:hAnsi="Arial"/>
                <w:sz w:val="20"/>
                <w:szCs w:val="20"/>
                <w:color w:val="0000FF"/>
              </w:rPr>
              <w:t>Rule 13a-14(a)/15d-14(a) Certification of Kirkland B. Andrews.</w:t>
            </w: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20"/>
                <w:szCs w:val="20"/>
                <w:color w:val="0000FF"/>
                <w:w w:val="91"/>
              </w:rPr>
              <w:t>Rule 13a-14(a)/15d-14(a) Certification of David A. Campbell.</w:t>
            </w:r>
          </w:p>
        </w:tc>
        <w:tc>
          <w:tcPr>
            <w:tcW w:w="140" w:type="dxa"/>
            <w:vAlign w:val="bottom"/>
            <w:tcBorders>
              <w:top w:val="single" w:sz="8" w:color="0000FF"/>
            </w:tcBorders>
          </w:tcPr>
          <w:p>
            <w:pPr>
              <w:spacing w:after="0"/>
              <w:rPr>
                <w:sz w:val="24"/>
                <w:szCs w:val="24"/>
                <w:color w:val="auto"/>
              </w:rPr>
            </w:pPr>
          </w:p>
        </w:tc>
        <w:tc>
          <w:tcPr>
            <w:tcW w:w="1780" w:type="dxa"/>
            <w:vAlign w:val="bottom"/>
            <w:gridSpan w:val="16"/>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8"/>
          </w:tcPr>
          <w:p>
            <w:pPr>
              <w:spacing w:after="0"/>
              <w:rPr>
                <w:sz w:val="20"/>
                <w:szCs w:val="20"/>
                <w:color w:val="auto"/>
              </w:rPr>
            </w:pPr>
            <w:r>
              <w:rPr>
                <w:rFonts w:ascii="Arial" w:cs="Arial" w:eastAsia="Arial" w:hAnsi="Arial"/>
                <w:sz w:val="20"/>
                <w:szCs w:val="20"/>
                <w:color w:val="0000FF"/>
              </w:rPr>
              <w:t>Rule 13a-14(a)/15d-14(a) Certification of Kirkland B. Andrews.</w:t>
            </w: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20"/>
                <w:szCs w:val="20"/>
                <w:color w:val="0000FF"/>
                <w:w w:val="91"/>
              </w:rPr>
              <w:t>Rule 13a-14(a)/15d-14(a) Certification of David A. Campbell.</w:t>
            </w:r>
          </w:p>
        </w:tc>
        <w:tc>
          <w:tcPr>
            <w:tcW w:w="140" w:type="dxa"/>
            <w:vAlign w:val="bottom"/>
            <w:tcBorders>
              <w:top w:val="single" w:sz="8" w:color="0000FF"/>
            </w:tcBorders>
          </w:tcPr>
          <w:p>
            <w:pPr>
              <w:spacing w:after="0"/>
              <w:rPr>
                <w:sz w:val="24"/>
                <w:szCs w:val="24"/>
                <w:color w:val="auto"/>
              </w:rPr>
            </w:pPr>
          </w:p>
        </w:tc>
        <w:tc>
          <w:tcPr>
            <w:tcW w:w="1780" w:type="dxa"/>
            <w:vAlign w:val="bottom"/>
            <w:gridSpan w:val="16"/>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8"/>
          </w:tcPr>
          <w:p>
            <w:pPr>
              <w:spacing w:after="0"/>
              <w:rPr>
                <w:sz w:val="20"/>
                <w:szCs w:val="20"/>
                <w:color w:val="auto"/>
              </w:rPr>
            </w:pPr>
            <w:r>
              <w:rPr>
                <w:rFonts w:ascii="Arial" w:cs="Arial" w:eastAsia="Arial" w:hAnsi="Arial"/>
                <w:sz w:val="20"/>
                <w:szCs w:val="20"/>
                <w:color w:val="0000FF"/>
              </w:rPr>
              <w:t>Rule 13a-14(a)/15d-14(a) Certification of Kirkland B. Andrews.</w:t>
            </w: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20"/>
                <w:szCs w:val="20"/>
                <w:color w:val="0000FF"/>
                <w:w w:val="91"/>
              </w:rPr>
              <w:t>Section 1350 Certifications.</w:t>
            </w:r>
          </w:p>
        </w:tc>
        <w:tc>
          <w:tcPr>
            <w:tcW w:w="2840" w:type="dxa"/>
            <w:vAlign w:val="bottom"/>
            <w:tcBorders>
              <w:top w:val="single" w:sz="8" w:color="0000FF"/>
            </w:tcBorders>
            <w:gridSpan w:val="6"/>
          </w:tcPr>
          <w:p>
            <w:pPr>
              <w:spacing w:after="0"/>
              <w:rPr>
                <w:sz w:val="24"/>
                <w:szCs w:val="24"/>
                <w:color w:val="auto"/>
              </w:rPr>
            </w:pPr>
          </w:p>
        </w:tc>
        <w:tc>
          <w:tcPr>
            <w:tcW w:w="1780" w:type="dxa"/>
            <w:vAlign w:val="bottom"/>
            <w:gridSpan w:val="16"/>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91"/>
              </w:rPr>
              <w:t>Section 1350 Certifications.</w:t>
            </w:r>
          </w:p>
        </w:tc>
        <w:tc>
          <w:tcPr>
            <w:tcW w:w="4620" w:type="dxa"/>
            <w:vAlign w:val="bottom"/>
            <w:gridSpan w:val="22"/>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90"/>
              </w:rPr>
              <w:t>Section 1350 Certifications.</w:t>
            </w:r>
          </w:p>
        </w:tc>
        <w:tc>
          <w:tcPr>
            <w:tcW w:w="4640" w:type="dxa"/>
            <w:vAlign w:val="bottom"/>
            <w:gridSpan w:val="23"/>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75"/>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101.INS</w:t>
            </w: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860" w:type="dxa"/>
            <w:vAlign w:val="bottom"/>
            <w:gridSpan w:val="28"/>
          </w:tcPr>
          <w:p>
            <w:pPr>
              <w:spacing w:after="0"/>
              <w:rPr>
                <w:sz w:val="20"/>
                <w:szCs w:val="20"/>
                <w:color w:val="auto"/>
              </w:rPr>
            </w:pPr>
            <w:r>
              <w:rPr>
                <w:rFonts w:ascii="Arial" w:cs="Arial" w:eastAsia="Arial" w:hAnsi="Arial"/>
                <w:sz w:val="20"/>
                <w:szCs w:val="20"/>
                <w:color w:val="auto"/>
              </w:rPr>
              <w:t>XBRL Instance Document.</w:t>
            </w: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93"/>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8"/>
          </w:tcPr>
          <w:p>
            <w:pPr>
              <w:spacing w:after="0"/>
              <w:rPr>
                <w:sz w:val="20"/>
                <w:szCs w:val="20"/>
                <w:color w:val="auto"/>
              </w:rPr>
            </w:pPr>
            <w:r>
              <w:rPr>
                <w:rFonts w:ascii="Arial" w:cs="Arial" w:eastAsia="Arial" w:hAnsi="Arial"/>
                <w:sz w:val="20"/>
                <w:szCs w:val="20"/>
                <w:color w:val="auto"/>
              </w:rPr>
              <w:t>Inline XBRL Taxonomy Extension Schema Document.</w:t>
            </w: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ind w:left="16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3"/>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8"/>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3"/>
          </w:tcPr>
          <w:p>
            <w:pPr>
              <w:ind w:left="160"/>
              <w:spacing w:after="0" w:line="215"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bl>
    <w:p>
      <w:pPr>
        <w:ind w:left="8840"/>
        <w:spacing w:after="0"/>
        <w:rPr>
          <w:sz w:val="20"/>
          <w:szCs w:val="20"/>
          <w:color w:val="auto"/>
        </w:rPr>
      </w:pPr>
      <w:r>
        <w:rPr>
          <w:rFonts w:ascii="Arial" w:cs="Arial" w:eastAsia="Arial" w:hAnsi="Arial"/>
          <w:sz w:val="20"/>
          <w:szCs w:val="20"/>
          <w:color w:val="auto"/>
        </w:rPr>
        <w:t>Evergy Metro</w:t>
      </w:r>
    </w:p>
    <w:p>
      <w:pPr>
        <w:sectPr>
          <w:pgSz w:w="11900" w:h="16838" w:orient="portrait"/>
          <w:cols w:equalWidth="0" w:num="1">
            <w:col w:w="10660"/>
          </w:cols>
          <w:pgMar w:left="320" w:top="99"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99" w:right="91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88"/>
              </w:rPr>
              <w:t>Table of Contents</w:t>
            </w:r>
          </w:p>
        </w:tc>
        <w:tc>
          <w:tcPr>
            <w:tcW w:w="2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871"/>
        </w:trPr>
        <w:tc>
          <w:tcPr>
            <w:tcW w:w="1620" w:type="dxa"/>
            <w:vAlign w:val="bottom"/>
            <w:gridSpan w:val="2"/>
          </w:tcPr>
          <w:p>
            <w:pPr>
              <w:ind w:left="20"/>
              <w:spacing w:after="0"/>
              <w:rPr>
                <w:sz w:val="20"/>
                <w:szCs w:val="20"/>
                <w:color w:val="auto"/>
              </w:rPr>
            </w:pPr>
            <w:r>
              <w:rPr>
                <w:rFonts w:ascii="Arial" w:cs="Arial" w:eastAsia="Arial" w:hAnsi="Arial"/>
                <w:sz w:val="20"/>
                <w:szCs w:val="20"/>
                <w:color w:val="auto"/>
              </w:rPr>
              <w:t>101.DEF</w:t>
            </w:r>
          </w:p>
        </w:tc>
        <w:tc>
          <w:tcPr>
            <w:tcW w:w="6920" w:type="dxa"/>
            <w:vAlign w:val="bottom"/>
          </w:tcPr>
          <w:p>
            <w:pPr>
              <w:ind w:left="200"/>
              <w:spacing w:after="0"/>
              <w:rPr>
                <w:sz w:val="20"/>
                <w:szCs w:val="20"/>
                <w:color w:val="auto"/>
              </w:rPr>
            </w:pPr>
            <w:r>
              <w:rPr>
                <w:rFonts w:ascii="Arial" w:cs="Arial" w:eastAsia="Arial" w:hAnsi="Arial"/>
                <w:sz w:val="20"/>
                <w:szCs w:val="20"/>
                <w:color w:val="auto"/>
              </w:rPr>
              <w:t>Inline XBRL Taxonomy Extension Definition Linkbase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99"/>
        </w:trPr>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120" w:type="dxa"/>
            <w:vAlign w:val="bottom"/>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93"/>
        </w:trPr>
        <w:tc>
          <w:tcPr>
            <w:tcW w:w="1620" w:type="dxa"/>
            <w:vAlign w:val="bottom"/>
            <w:gridSpan w:val="2"/>
          </w:tcPr>
          <w:p>
            <w:pPr>
              <w:ind w:left="20"/>
              <w:spacing w:after="0"/>
              <w:rPr>
                <w:sz w:val="20"/>
                <w:szCs w:val="20"/>
                <w:color w:val="auto"/>
              </w:rPr>
            </w:pPr>
            <w:r>
              <w:rPr>
                <w:rFonts w:ascii="Arial" w:cs="Arial" w:eastAsia="Arial" w:hAnsi="Arial"/>
                <w:sz w:val="20"/>
                <w:szCs w:val="20"/>
                <w:color w:val="auto"/>
              </w:rPr>
              <w:t>101.LAB</w:t>
            </w:r>
          </w:p>
        </w:tc>
        <w:tc>
          <w:tcPr>
            <w:tcW w:w="6920" w:type="dxa"/>
            <w:vAlign w:val="bottom"/>
          </w:tcPr>
          <w:p>
            <w:pPr>
              <w:ind w:left="200"/>
              <w:spacing w:after="0"/>
              <w:rPr>
                <w:sz w:val="20"/>
                <w:szCs w:val="20"/>
                <w:color w:val="auto"/>
              </w:rPr>
            </w:pPr>
            <w:r>
              <w:rPr>
                <w:rFonts w:ascii="Arial" w:cs="Arial" w:eastAsia="Arial" w:hAnsi="Arial"/>
                <w:sz w:val="20"/>
                <w:szCs w:val="20"/>
                <w:color w:val="auto"/>
              </w:rPr>
              <w:t>Inline XBRL Taxonomy Extension Labels Linkbase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99"/>
        </w:trPr>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120" w:type="dxa"/>
            <w:vAlign w:val="bottom"/>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93"/>
        </w:trPr>
        <w:tc>
          <w:tcPr>
            <w:tcW w:w="1620" w:type="dxa"/>
            <w:vAlign w:val="bottom"/>
            <w:gridSpan w:val="2"/>
          </w:tcPr>
          <w:p>
            <w:pPr>
              <w:ind w:left="20"/>
              <w:spacing w:after="0"/>
              <w:rPr>
                <w:sz w:val="20"/>
                <w:szCs w:val="20"/>
                <w:color w:val="auto"/>
              </w:rPr>
            </w:pPr>
            <w:r>
              <w:rPr>
                <w:rFonts w:ascii="Arial" w:cs="Arial" w:eastAsia="Arial" w:hAnsi="Arial"/>
                <w:sz w:val="20"/>
                <w:szCs w:val="20"/>
                <w:color w:val="auto"/>
              </w:rPr>
              <w:t>101.PRE</w:t>
            </w:r>
          </w:p>
        </w:tc>
        <w:tc>
          <w:tcPr>
            <w:tcW w:w="6920" w:type="dxa"/>
            <w:vAlign w:val="bottom"/>
          </w:tcPr>
          <w:p>
            <w:pPr>
              <w:ind w:left="200"/>
              <w:spacing w:after="0"/>
              <w:rPr>
                <w:sz w:val="20"/>
                <w:szCs w:val="20"/>
                <w:color w:val="auto"/>
              </w:rPr>
            </w:pPr>
            <w:r>
              <w:rPr>
                <w:rFonts w:ascii="Arial" w:cs="Arial" w:eastAsia="Arial" w:hAnsi="Arial"/>
                <w:sz w:val="20"/>
                <w:szCs w:val="20"/>
                <w:color w:val="auto"/>
              </w:rPr>
              <w:t>Inline XBRL Taxonomy Extension Presentation Linkbase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99"/>
        </w:trPr>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120" w:type="dxa"/>
            <w:vAlign w:val="bottom"/>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93"/>
        </w:trPr>
        <w:tc>
          <w:tcPr>
            <w:tcW w:w="1420" w:type="dxa"/>
            <w:vAlign w:val="bottom"/>
          </w:tcPr>
          <w:p>
            <w:pPr>
              <w:ind w:left="20"/>
              <w:spacing w:after="0"/>
              <w:rPr>
                <w:sz w:val="20"/>
                <w:szCs w:val="20"/>
                <w:color w:val="auto"/>
              </w:rPr>
            </w:pPr>
            <w:r>
              <w:rPr>
                <w:rFonts w:ascii="Arial" w:cs="Arial" w:eastAsia="Arial" w:hAnsi="Arial"/>
                <w:sz w:val="20"/>
                <w:szCs w:val="20"/>
                <w:color w:val="auto"/>
              </w:rPr>
              <w:t>104</w:t>
            </w:r>
          </w:p>
        </w:tc>
        <w:tc>
          <w:tcPr>
            <w:tcW w:w="200" w:type="dxa"/>
            <w:vAlign w:val="bottom"/>
          </w:tcPr>
          <w:p>
            <w:pPr>
              <w:spacing w:after="0"/>
              <w:rPr>
                <w:sz w:val="24"/>
                <w:szCs w:val="24"/>
                <w:color w:val="auto"/>
              </w:rPr>
            </w:pPr>
          </w:p>
        </w:tc>
        <w:tc>
          <w:tcPr>
            <w:tcW w:w="6920" w:type="dxa"/>
            <w:vAlign w:val="bottom"/>
          </w:tcPr>
          <w:p>
            <w:pPr>
              <w:ind w:left="200"/>
              <w:spacing w:after="0"/>
              <w:rPr>
                <w:sz w:val="20"/>
                <w:szCs w:val="20"/>
                <w:color w:val="auto"/>
              </w:rPr>
            </w:pPr>
            <w:r>
              <w:rPr>
                <w:rFonts w:ascii="Arial" w:cs="Arial" w:eastAsia="Arial" w:hAnsi="Arial"/>
                <w:sz w:val="20"/>
                <w:szCs w:val="20"/>
                <w:color w:val="auto"/>
                <w:w w:val="95"/>
              </w:rPr>
              <w:t>Cover Page Interactive Data File (embedded within the Inline XBRL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215"/>
        </w:trPr>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120" w:type="dxa"/>
            <w:vAlign w:val="bottom"/>
          </w:tcPr>
          <w:p>
            <w:pPr>
              <w:ind w:left="300"/>
              <w:spacing w:after="0" w:line="215" w:lineRule="exact"/>
              <w:rPr>
                <w:sz w:val="20"/>
                <w:szCs w:val="20"/>
                <w:color w:val="auto"/>
              </w:rPr>
            </w:pPr>
            <w:r>
              <w:rPr>
                <w:rFonts w:ascii="Arial" w:cs="Arial" w:eastAsia="Arial" w:hAnsi="Arial"/>
                <w:sz w:val="20"/>
                <w:szCs w:val="20"/>
                <w:color w:val="auto"/>
                <w:w w:val="87"/>
              </w:rPr>
              <w:t>Evergy Kansas Central</w:t>
            </w:r>
          </w:p>
        </w:tc>
      </w:tr>
    </w:tbl>
    <w:p>
      <w:pPr>
        <w:ind w:left="8840"/>
        <w:spacing w:after="0"/>
        <w:rPr>
          <w:sz w:val="20"/>
          <w:szCs w:val="20"/>
          <w:color w:val="auto"/>
        </w:rPr>
      </w:pPr>
      <w:r>
        <w:rPr>
          <w:rFonts w:ascii="Arial" w:cs="Arial" w:eastAsia="Arial" w:hAnsi="Arial"/>
          <w:sz w:val="20"/>
          <w:szCs w:val="20"/>
          <w:color w:val="auto"/>
        </w:rPr>
        <w:t>Evergy Metro</w:t>
      </w:r>
    </w:p>
    <w:p>
      <w:pPr>
        <w:spacing w:after="0" w:line="186" w:lineRule="exact"/>
        <w:rPr>
          <w:sz w:val="20"/>
          <w:szCs w:val="20"/>
          <w:color w:val="auto"/>
        </w:rPr>
      </w:pPr>
    </w:p>
    <w:p>
      <w:pPr>
        <w:ind w:right="60" w:firstLine="8"/>
        <w:spacing w:after="0" w:line="264" w:lineRule="auto"/>
        <w:tabs>
          <w:tab w:leader="none" w:pos="1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05" w:lineRule="exact"/>
        <w:rPr>
          <w:sz w:val="20"/>
          <w:szCs w:val="20"/>
          <w:color w:val="auto"/>
        </w:rPr>
      </w:pPr>
    </w:p>
    <w:p>
      <w:pPr>
        <w:jc w:val="both"/>
        <w:ind w:firstLine="8"/>
        <w:spacing w:after="0" w:line="257" w:lineRule="auto"/>
        <w:tabs>
          <w:tab w:leader="none" w:pos="247" w:val="left"/>
        </w:tabs>
        <w:numPr>
          <w:ilvl w:val="0"/>
          <w:numId w:val="35"/>
        </w:numPr>
        <w:rPr>
          <w:rFonts w:ascii="Arial" w:cs="Arial" w:eastAsia="Arial" w:hAnsi="Arial"/>
          <w:sz w:val="20"/>
          <w:szCs w:val="20"/>
          <w:color w:val="auto"/>
        </w:rPr>
      </w:pPr>
      <w:r>
        <w:rPr>
          <w:rFonts w:ascii="Arial" w:cs="Arial" w:eastAsia="Arial" w:hAnsi="Arial"/>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11" w:lineRule="exact"/>
        <w:rPr>
          <w:rFonts w:ascii="Arial" w:cs="Arial" w:eastAsia="Arial" w:hAnsi="Arial"/>
          <w:sz w:val="20"/>
          <w:szCs w:val="20"/>
          <w:color w:val="auto"/>
        </w:rPr>
      </w:pPr>
    </w:p>
    <w:p>
      <w:pPr>
        <w:ind w:right="560" w:firstLine="8"/>
        <w:spacing w:after="0" w:line="274" w:lineRule="auto"/>
        <w:tabs>
          <w:tab w:leader="none" w:pos="346"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instance document does not appear in the interactive data file because its XBRL tags are embedded within the inline XBRL document.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 Indicates management contract or compensatory plan or arrangement.</w:t>
      </w:r>
    </w:p>
    <w:p>
      <w:pPr>
        <w:spacing w:after="0" w:line="148"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Copies of any of the exhibits filed with the SEC in connection with this document may be obtained from Evergy, Evergy Kansas Central or Evergy Metro, as applicable, upon written request.</w:t>
      </w:r>
    </w:p>
    <w:p>
      <w:pPr>
        <w:spacing w:after="0" w:line="96" w:lineRule="exact"/>
        <w:rPr>
          <w:sz w:val="20"/>
          <w:szCs w:val="20"/>
          <w:color w:val="auto"/>
        </w:rPr>
      </w:pPr>
    </w:p>
    <w:p>
      <w:pPr>
        <w:ind w:right="420"/>
        <w:spacing w:after="0" w:line="332" w:lineRule="auto"/>
        <w:rPr>
          <w:sz w:val="20"/>
          <w:szCs w:val="20"/>
          <w:color w:val="auto"/>
        </w:rPr>
      </w:pPr>
      <w:r>
        <w:rPr>
          <w:rFonts w:ascii="Arial" w:cs="Arial" w:eastAsia="Arial" w:hAnsi="Arial"/>
          <w:sz w:val="18"/>
          <w:szCs w:val="18"/>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 w:right="539" w:bottom="1440" w:gutter="0" w:footer="0" w:header="0"/>
        </w:sectPr>
      </w:pPr>
    </w:p>
    <w:bookmarkStart w:id="72" w:name="page73"/>
    <w:bookmarkEnd w:id="7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EVERGY, INC.</w:t>
      </w:r>
    </w:p>
    <w:p>
      <w:pPr>
        <w:spacing w:after="0" w:line="289" w:lineRule="exact"/>
        <w:rPr>
          <w:sz w:val="20"/>
          <w:szCs w:val="20"/>
          <w:color w:val="auto"/>
        </w:rPr>
      </w:pPr>
    </w:p>
    <w:p>
      <w:pPr>
        <w:ind w:left="20"/>
        <w:spacing w:after="0"/>
        <w:tabs>
          <w:tab w:leader="none" w:pos="880" w:val="left"/>
          <w:tab w:leader="none" w:pos="404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May 4, 2023</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Kirkland B. Andrews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(Kirkland B. Andrews)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(Executive Vice President and Chief Financial Officer)</w:t>
      </w:r>
    </w:p>
    <w:p>
      <w:pPr>
        <w:spacing w:after="0" w:line="345"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EVERGY KANSAS CENTRAL, INC.</w:t>
      </w:r>
    </w:p>
    <w:p>
      <w:pPr>
        <w:spacing w:after="0" w:line="289" w:lineRule="exact"/>
        <w:rPr>
          <w:sz w:val="20"/>
          <w:szCs w:val="20"/>
          <w:color w:val="auto"/>
        </w:rPr>
      </w:pPr>
    </w:p>
    <w:p>
      <w:pPr>
        <w:ind w:left="20"/>
        <w:spacing w:after="0"/>
        <w:tabs>
          <w:tab w:leader="none" w:pos="900" w:val="left"/>
          <w:tab w:leader="none" w:pos="406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May 4, 2023</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Kirkland B. Andrews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(Kirkland B. Andrews)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(Executive Vice President and Chief Financial Officer)</w:t>
      </w:r>
    </w:p>
    <w:p>
      <w:pPr>
        <w:spacing w:after="0" w:line="385"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EVERGY METRO, INC.</w:t>
      </w:r>
    </w:p>
    <w:p>
      <w:pPr>
        <w:spacing w:after="0" w:line="289" w:lineRule="exact"/>
        <w:rPr>
          <w:sz w:val="20"/>
          <w:szCs w:val="20"/>
          <w:color w:val="auto"/>
        </w:rPr>
      </w:pPr>
    </w:p>
    <w:p>
      <w:pPr>
        <w:ind w:left="20"/>
        <w:spacing w:after="0"/>
        <w:tabs>
          <w:tab w:leader="none" w:pos="900" w:val="left"/>
          <w:tab w:leader="none" w:pos="406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May 4, 2023</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Kirkland B. Andrews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(Kirkland B. Andrews)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122" w:right="45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520" w:type="dxa"/>
            <w:vAlign w:val="bottom"/>
          </w:tcPr>
          <w:p>
            <w:pPr>
              <w:jc w:val="center"/>
              <w:ind w:left="1412"/>
              <w:spacing w:after="0"/>
              <w:rPr>
                <w:sz w:val="20"/>
                <w:szCs w:val="20"/>
                <w:color w:val="auto"/>
              </w:rPr>
            </w:pPr>
            <w:r>
              <w:rPr>
                <w:rFonts w:ascii="Arial" w:cs="Arial" w:eastAsia="Arial" w:hAnsi="Arial"/>
                <w:sz w:val="22"/>
                <w:szCs w:val="22"/>
                <w:b w:val="1"/>
                <w:bCs w:val="1"/>
                <w:color w:val="auto"/>
                <w:w w:val="90"/>
              </w:rPr>
              <w:t>Evergy, Inc.</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8520" w:type="dxa"/>
            <w:vAlign w:val="bottom"/>
          </w:tcPr>
          <w:p>
            <w:pPr>
              <w:jc w:val="center"/>
              <w:ind w:left="1432"/>
              <w:spacing w:after="0"/>
              <w:rPr>
                <w:sz w:val="20"/>
                <w:szCs w:val="20"/>
                <w:color w:val="auto"/>
              </w:rPr>
            </w:pPr>
            <w:r>
              <w:rPr>
                <w:rFonts w:ascii="Arial" w:cs="Arial" w:eastAsia="Arial" w:hAnsi="Arial"/>
                <w:sz w:val="22"/>
                <w:szCs w:val="22"/>
                <w:b w:val="1"/>
                <w:bCs w:val="1"/>
                <w:color w:val="auto"/>
                <w:w w:val="89"/>
              </w:rPr>
              <w:t>Summary of</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520" w:type="dxa"/>
            <w:vAlign w:val="bottom"/>
          </w:tcPr>
          <w:p>
            <w:pPr>
              <w:jc w:val="center"/>
              <w:ind w:left="1432"/>
              <w:spacing w:after="0"/>
              <w:rPr>
                <w:sz w:val="20"/>
                <w:szCs w:val="20"/>
                <w:color w:val="auto"/>
              </w:rPr>
            </w:pPr>
            <w:r>
              <w:rPr>
                <w:rFonts w:ascii="Arial" w:cs="Arial" w:eastAsia="Arial" w:hAnsi="Arial"/>
                <w:sz w:val="22"/>
                <w:szCs w:val="22"/>
                <w:b w:val="1"/>
                <w:bCs w:val="1"/>
                <w:color w:val="auto"/>
                <w:w w:val="88"/>
              </w:rPr>
              <w:t>Non-Employee Director Compensation</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8520" w:type="dxa"/>
            <w:vAlign w:val="bottom"/>
          </w:tcPr>
          <w:p>
            <w:pPr>
              <w:jc w:val="center"/>
              <w:ind w:left="1432"/>
              <w:spacing w:after="0"/>
              <w:rPr>
                <w:sz w:val="20"/>
                <w:szCs w:val="20"/>
                <w:color w:val="auto"/>
              </w:rPr>
            </w:pPr>
            <w:r>
              <w:rPr>
                <w:rFonts w:ascii="Arial" w:cs="Arial" w:eastAsia="Arial" w:hAnsi="Arial"/>
                <w:sz w:val="22"/>
                <w:szCs w:val="22"/>
                <w:color w:val="auto"/>
                <w:w w:val="91"/>
              </w:rPr>
              <w:t>Effective May 2, 2023</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8520" w:type="dxa"/>
            <w:vAlign w:val="bottom"/>
            <w:vMerge w:val="restart"/>
          </w:tcPr>
          <w:p>
            <w:pPr>
              <w:spacing w:after="0"/>
              <w:rPr>
                <w:sz w:val="20"/>
                <w:szCs w:val="20"/>
                <w:color w:val="auto"/>
              </w:rPr>
            </w:pPr>
            <w:r>
              <w:rPr>
                <w:rFonts w:ascii="Arial" w:cs="Arial" w:eastAsia="Arial" w:hAnsi="Arial"/>
                <w:sz w:val="22"/>
                <w:szCs w:val="22"/>
                <w:b w:val="1"/>
                <w:bCs w:val="1"/>
                <w:color w:val="auto"/>
              </w:rPr>
              <w:t>Cash — Retainer (Paid Quarterly)</w:t>
            </w:r>
          </w:p>
        </w:tc>
        <w:tc>
          <w:tcPr>
            <w:tcW w:w="2020" w:type="dxa"/>
            <w:vAlign w:val="bottom"/>
            <w:gridSpan w:val="3"/>
          </w:tcPr>
          <w:p>
            <w:pPr>
              <w:jc w:val="right"/>
              <w:ind w:right="20"/>
              <w:spacing w:after="0"/>
              <w:rPr>
                <w:sz w:val="20"/>
                <w:szCs w:val="20"/>
                <w:color w:val="auto"/>
              </w:rPr>
            </w:pPr>
            <w:r>
              <w:rPr>
                <w:rFonts w:ascii="Arial" w:cs="Arial" w:eastAsia="Arial" w:hAnsi="Arial"/>
                <w:sz w:val="22"/>
                <w:szCs w:val="22"/>
                <w:b w:val="1"/>
                <w:bCs w:val="1"/>
                <w:color w:val="auto"/>
              </w:rPr>
              <w:t>Amount</w:t>
            </w:r>
          </w:p>
        </w:tc>
        <w:tc>
          <w:tcPr>
            <w:tcW w:w="0" w:type="dxa"/>
            <w:vAlign w:val="bottom"/>
          </w:tcPr>
          <w:p>
            <w:pPr>
              <w:spacing w:after="0"/>
              <w:rPr>
                <w:sz w:val="1"/>
                <w:szCs w:val="1"/>
                <w:color w:val="auto"/>
              </w:rPr>
            </w:pPr>
          </w:p>
        </w:tc>
      </w:tr>
      <w:tr>
        <w:trPr>
          <w:trHeight w:val="296"/>
        </w:trPr>
        <w:tc>
          <w:tcPr>
            <w:tcW w:w="85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20" w:type="dxa"/>
            <w:vAlign w:val="bottom"/>
          </w:tcPr>
          <w:p>
            <w:pPr>
              <w:ind w:left="160"/>
              <w:spacing w:after="0"/>
              <w:rPr>
                <w:sz w:val="20"/>
                <w:szCs w:val="20"/>
                <w:color w:val="auto"/>
              </w:rPr>
            </w:pPr>
            <w:r>
              <w:rPr>
                <w:rFonts w:ascii="Arial" w:cs="Arial" w:eastAsia="Arial" w:hAnsi="Arial"/>
                <w:sz w:val="22"/>
                <w:szCs w:val="22"/>
                <w:color w:val="auto"/>
              </w:rPr>
              <w:t>Annual Retainer</w:t>
            </w:r>
          </w:p>
        </w:tc>
        <w:tc>
          <w:tcPr>
            <w:tcW w:w="2020" w:type="dxa"/>
            <w:vAlign w:val="bottom"/>
            <w:gridSpan w:val="3"/>
          </w:tcPr>
          <w:p>
            <w:pPr>
              <w:jc w:val="right"/>
              <w:spacing w:after="0"/>
              <w:rPr>
                <w:sz w:val="20"/>
                <w:szCs w:val="20"/>
                <w:color w:val="auto"/>
              </w:rPr>
            </w:pPr>
            <w:r>
              <w:rPr>
                <w:rFonts w:ascii="Arial" w:cs="Arial" w:eastAsia="Arial" w:hAnsi="Arial"/>
                <w:sz w:val="22"/>
                <w:szCs w:val="22"/>
                <w:color w:val="auto"/>
              </w:rPr>
              <w:t>$115,000</w:t>
            </w:r>
          </w:p>
        </w:tc>
        <w:tc>
          <w:tcPr>
            <w:tcW w:w="0" w:type="dxa"/>
            <w:vAlign w:val="bottom"/>
          </w:tcPr>
          <w:p>
            <w:pPr>
              <w:spacing w:after="0"/>
              <w:rPr>
                <w:sz w:val="1"/>
                <w:szCs w:val="1"/>
                <w:color w:val="auto"/>
              </w:rPr>
            </w:pPr>
          </w:p>
        </w:tc>
      </w:tr>
      <w:tr>
        <w:trPr>
          <w:trHeight w:val="270"/>
        </w:trPr>
        <w:tc>
          <w:tcPr>
            <w:tcW w:w="8520" w:type="dxa"/>
            <w:vAlign w:val="bottom"/>
          </w:tcPr>
          <w:p>
            <w:pPr>
              <w:ind w:left="160"/>
              <w:spacing w:after="0"/>
              <w:rPr>
                <w:sz w:val="20"/>
                <w:szCs w:val="20"/>
                <w:color w:val="auto"/>
              </w:rPr>
            </w:pPr>
            <w:r>
              <w:rPr>
                <w:rFonts w:ascii="Arial" w:cs="Arial" w:eastAsia="Arial" w:hAnsi="Arial"/>
                <w:sz w:val="22"/>
                <w:szCs w:val="22"/>
                <w:color w:val="auto"/>
              </w:rPr>
              <w:t>Non-Executive Chair Retainer</w:t>
            </w:r>
          </w:p>
        </w:tc>
        <w:tc>
          <w:tcPr>
            <w:tcW w:w="2020" w:type="dxa"/>
            <w:vAlign w:val="bottom"/>
            <w:gridSpan w:val="3"/>
          </w:tcPr>
          <w:p>
            <w:pPr>
              <w:jc w:val="right"/>
              <w:spacing w:after="0"/>
              <w:rPr>
                <w:sz w:val="20"/>
                <w:szCs w:val="20"/>
                <w:color w:val="auto"/>
              </w:rPr>
            </w:pPr>
            <w:r>
              <w:rPr>
                <w:rFonts w:ascii="Arial" w:cs="Arial" w:eastAsia="Arial" w:hAnsi="Arial"/>
                <w:sz w:val="22"/>
                <w:szCs w:val="22"/>
                <w:color w:val="auto"/>
              </w:rPr>
              <w:t>$65,000</w:t>
            </w:r>
          </w:p>
        </w:tc>
        <w:tc>
          <w:tcPr>
            <w:tcW w:w="0" w:type="dxa"/>
            <w:vAlign w:val="bottom"/>
          </w:tcPr>
          <w:p>
            <w:pPr>
              <w:spacing w:after="0"/>
              <w:rPr>
                <w:sz w:val="1"/>
                <w:szCs w:val="1"/>
                <w:color w:val="auto"/>
              </w:rPr>
            </w:pPr>
          </w:p>
        </w:tc>
      </w:tr>
      <w:tr>
        <w:trPr>
          <w:trHeight w:val="270"/>
        </w:trPr>
        <w:tc>
          <w:tcPr>
            <w:tcW w:w="8520" w:type="dxa"/>
            <w:vAlign w:val="bottom"/>
          </w:tcPr>
          <w:p>
            <w:pPr>
              <w:ind w:left="160"/>
              <w:spacing w:after="0"/>
              <w:rPr>
                <w:sz w:val="20"/>
                <w:szCs w:val="20"/>
                <w:color w:val="auto"/>
              </w:rPr>
            </w:pPr>
            <w:r>
              <w:rPr>
                <w:rFonts w:ascii="Arial" w:cs="Arial" w:eastAsia="Arial" w:hAnsi="Arial"/>
                <w:sz w:val="22"/>
                <w:szCs w:val="22"/>
                <w:color w:val="auto"/>
              </w:rPr>
              <w:t>Lead Director Retainer</w:t>
            </w:r>
          </w:p>
        </w:tc>
        <w:tc>
          <w:tcPr>
            <w:tcW w:w="2020" w:type="dxa"/>
            <w:vAlign w:val="bottom"/>
            <w:gridSpan w:val="3"/>
          </w:tcPr>
          <w:p>
            <w:pPr>
              <w:jc w:val="right"/>
              <w:spacing w:after="0"/>
              <w:rPr>
                <w:sz w:val="20"/>
                <w:szCs w:val="20"/>
                <w:color w:val="auto"/>
              </w:rPr>
            </w:pPr>
            <w:r>
              <w:rPr>
                <w:rFonts w:ascii="Arial" w:cs="Arial" w:eastAsia="Arial" w:hAnsi="Arial"/>
                <w:sz w:val="22"/>
                <w:szCs w:val="22"/>
                <w:color w:val="auto"/>
              </w:rPr>
              <w:t>$30,000</w:t>
            </w:r>
          </w:p>
        </w:tc>
        <w:tc>
          <w:tcPr>
            <w:tcW w:w="0" w:type="dxa"/>
            <w:vAlign w:val="bottom"/>
          </w:tcPr>
          <w:p>
            <w:pPr>
              <w:spacing w:after="0"/>
              <w:rPr>
                <w:sz w:val="1"/>
                <w:szCs w:val="1"/>
                <w:color w:val="auto"/>
              </w:rPr>
            </w:pPr>
          </w:p>
        </w:tc>
      </w:tr>
      <w:tr>
        <w:trPr>
          <w:trHeight w:val="270"/>
        </w:trPr>
        <w:tc>
          <w:tcPr>
            <w:tcW w:w="8520" w:type="dxa"/>
            <w:vAlign w:val="bottom"/>
          </w:tcPr>
          <w:p>
            <w:pPr>
              <w:ind w:left="160"/>
              <w:spacing w:after="0"/>
              <w:rPr>
                <w:sz w:val="20"/>
                <w:szCs w:val="20"/>
                <w:color w:val="auto"/>
              </w:rPr>
            </w:pPr>
            <w:r>
              <w:rPr>
                <w:rFonts w:ascii="Arial" w:cs="Arial" w:eastAsia="Arial" w:hAnsi="Arial"/>
                <w:sz w:val="22"/>
                <w:szCs w:val="22"/>
                <w:color w:val="auto"/>
              </w:rPr>
              <w:t>Audit Committee Chair Retainer</w:t>
            </w:r>
          </w:p>
        </w:tc>
        <w:tc>
          <w:tcPr>
            <w:tcW w:w="2020" w:type="dxa"/>
            <w:vAlign w:val="bottom"/>
            <w:gridSpan w:val="3"/>
          </w:tcPr>
          <w:p>
            <w:pPr>
              <w:jc w:val="right"/>
              <w:spacing w:after="0"/>
              <w:rPr>
                <w:sz w:val="20"/>
                <w:szCs w:val="20"/>
                <w:color w:val="auto"/>
              </w:rPr>
            </w:pPr>
            <w:r>
              <w:rPr>
                <w:rFonts w:ascii="Arial" w:cs="Arial" w:eastAsia="Arial" w:hAnsi="Arial"/>
                <w:sz w:val="22"/>
                <w:szCs w:val="22"/>
                <w:color w:val="auto"/>
              </w:rPr>
              <w:t>$20,000</w:t>
            </w:r>
          </w:p>
        </w:tc>
        <w:tc>
          <w:tcPr>
            <w:tcW w:w="0" w:type="dxa"/>
            <w:vAlign w:val="bottom"/>
          </w:tcPr>
          <w:p>
            <w:pPr>
              <w:spacing w:after="0"/>
              <w:rPr>
                <w:sz w:val="1"/>
                <w:szCs w:val="1"/>
                <w:color w:val="auto"/>
              </w:rPr>
            </w:pPr>
          </w:p>
        </w:tc>
      </w:tr>
      <w:tr>
        <w:trPr>
          <w:trHeight w:val="270"/>
        </w:trPr>
        <w:tc>
          <w:tcPr>
            <w:tcW w:w="8520" w:type="dxa"/>
            <w:vAlign w:val="bottom"/>
          </w:tcPr>
          <w:p>
            <w:pPr>
              <w:ind w:left="160"/>
              <w:spacing w:after="0"/>
              <w:rPr>
                <w:sz w:val="20"/>
                <w:szCs w:val="20"/>
                <w:color w:val="auto"/>
              </w:rPr>
            </w:pPr>
            <w:r>
              <w:rPr>
                <w:rFonts w:ascii="Arial" w:cs="Arial" w:eastAsia="Arial" w:hAnsi="Arial"/>
                <w:sz w:val="22"/>
                <w:szCs w:val="22"/>
                <w:color w:val="auto"/>
              </w:rPr>
              <w:t>Compensation and Leadership Development Committee Chair Retainer</w:t>
            </w:r>
          </w:p>
        </w:tc>
        <w:tc>
          <w:tcPr>
            <w:tcW w:w="2020" w:type="dxa"/>
            <w:vAlign w:val="bottom"/>
            <w:gridSpan w:val="3"/>
          </w:tcPr>
          <w:p>
            <w:pPr>
              <w:jc w:val="right"/>
              <w:spacing w:after="0"/>
              <w:rPr>
                <w:sz w:val="20"/>
                <w:szCs w:val="20"/>
                <w:color w:val="auto"/>
              </w:rPr>
            </w:pPr>
            <w:r>
              <w:rPr>
                <w:rFonts w:ascii="Arial" w:cs="Arial" w:eastAsia="Arial" w:hAnsi="Arial"/>
                <w:sz w:val="22"/>
                <w:szCs w:val="22"/>
                <w:color w:val="auto"/>
              </w:rPr>
              <w:t>$20,000</w:t>
            </w:r>
          </w:p>
        </w:tc>
        <w:tc>
          <w:tcPr>
            <w:tcW w:w="0" w:type="dxa"/>
            <w:vAlign w:val="bottom"/>
          </w:tcPr>
          <w:p>
            <w:pPr>
              <w:spacing w:after="0"/>
              <w:rPr>
                <w:sz w:val="1"/>
                <w:szCs w:val="1"/>
                <w:color w:val="auto"/>
              </w:rPr>
            </w:pPr>
          </w:p>
        </w:tc>
      </w:tr>
      <w:tr>
        <w:trPr>
          <w:trHeight w:val="270"/>
        </w:trPr>
        <w:tc>
          <w:tcPr>
            <w:tcW w:w="8520" w:type="dxa"/>
            <w:vAlign w:val="bottom"/>
          </w:tcPr>
          <w:p>
            <w:pPr>
              <w:ind w:left="160"/>
              <w:spacing w:after="0"/>
              <w:rPr>
                <w:sz w:val="20"/>
                <w:szCs w:val="20"/>
                <w:color w:val="auto"/>
              </w:rPr>
            </w:pPr>
            <w:r>
              <w:rPr>
                <w:rFonts w:ascii="Arial" w:cs="Arial" w:eastAsia="Arial" w:hAnsi="Arial"/>
                <w:sz w:val="22"/>
                <w:szCs w:val="22"/>
                <w:color w:val="auto"/>
              </w:rPr>
              <w:t>Nominating, Governance, and Corporate Responsibility Committee Chair Retainer</w:t>
            </w:r>
          </w:p>
        </w:tc>
        <w:tc>
          <w:tcPr>
            <w:tcW w:w="2020" w:type="dxa"/>
            <w:vAlign w:val="bottom"/>
            <w:gridSpan w:val="3"/>
          </w:tcPr>
          <w:p>
            <w:pPr>
              <w:jc w:val="right"/>
              <w:spacing w:after="0"/>
              <w:rPr>
                <w:sz w:val="20"/>
                <w:szCs w:val="20"/>
                <w:color w:val="auto"/>
              </w:rPr>
            </w:pPr>
            <w:r>
              <w:rPr>
                <w:rFonts w:ascii="Arial" w:cs="Arial" w:eastAsia="Arial" w:hAnsi="Arial"/>
                <w:sz w:val="22"/>
                <w:szCs w:val="22"/>
                <w:color w:val="auto"/>
              </w:rPr>
              <w:t>$20,000</w:t>
            </w:r>
          </w:p>
        </w:tc>
        <w:tc>
          <w:tcPr>
            <w:tcW w:w="0" w:type="dxa"/>
            <w:vAlign w:val="bottom"/>
          </w:tcPr>
          <w:p>
            <w:pPr>
              <w:spacing w:after="0"/>
              <w:rPr>
                <w:sz w:val="1"/>
                <w:szCs w:val="1"/>
                <w:color w:val="auto"/>
              </w:rPr>
            </w:pPr>
          </w:p>
        </w:tc>
      </w:tr>
      <w:tr>
        <w:trPr>
          <w:trHeight w:val="270"/>
        </w:trPr>
        <w:tc>
          <w:tcPr>
            <w:tcW w:w="8520" w:type="dxa"/>
            <w:vAlign w:val="bottom"/>
          </w:tcPr>
          <w:p>
            <w:pPr>
              <w:ind w:left="160"/>
              <w:spacing w:after="0"/>
              <w:rPr>
                <w:sz w:val="20"/>
                <w:szCs w:val="20"/>
                <w:color w:val="auto"/>
              </w:rPr>
            </w:pPr>
            <w:r>
              <w:rPr>
                <w:rFonts w:ascii="Arial" w:cs="Arial" w:eastAsia="Arial" w:hAnsi="Arial"/>
                <w:sz w:val="22"/>
                <w:szCs w:val="22"/>
                <w:color w:val="auto"/>
              </w:rPr>
              <w:t>Finance Committee Chair Retainer</w:t>
            </w:r>
          </w:p>
        </w:tc>
        <w:tc>
          <w:tcPr>
            <w:tcW w:w="2020" w:type="dxa"/>
            <w:vAlign w:val="bottom"/>
            <w:gridSpan w:val="3"/>
          </w:tcPr>
          <w:p>
            <w:pPr>
              <w:jc w:val="right"/>
              <w:spacing w:after="0"/>
              <w:rPr>
                <w:sz w:val="20"/>
                <w:szCs w:val="20"/>
                <w:color w:val="auto"/>
              </w:rPr>
            </w:pPr>
            <w:r>
              <w:rPr>
                <w:rFonts w:ascii="Arial" w:cs="Arial" w:eastAsia="Arial" w:hAnsi="Arial"/>
                <w:sz w:val="22"/>
                <w:szCs w:val="22"/>
                <w:color w:val="auto"/>
              </w:rPr>
              <w:t>$20,000</w:t>
            </w:r>
          </w:p>
        </w:tc>
        <w:tc>
          <w:tcPr>
            <w:tcW w:w="0" w:type="dxa"/>
            <w:vAlign w:val="bottom"/>
          </w:tcPr>
          <w:p>
            <w:pPr>
              <w:spacing w:after="0"/>
              <w:rPr>
                <w:sz w:val="1"/>
                <w:szCs w:val="1"/>
                <w:color w:val="auto"/>
              </w:rPr>
            </w:pPr>
          </w:p>
        </w:tc>
      </w:tr>
      <w:tr>
        <w:trPr>
          <w:trHeight w:val="270"/>
        </w:trPr>
        <w:tc>
          <w:tcPr>
            <w:tcW w:w="8520" w:type="dxa"/>
            <w:vAlign w:val="bottom"/>
          </w:tcPr>
          <w:p>
            <w:pPr>
              <w:ind w:left="160"/>
              <w:spacing w:after="0"/>
              <w:rPr>
                <w:sz w:val="20"/>
                <w:szCs w:val="20"/>
                <w:color w:val="auto"/>
              </w:rPr>
            </w:pPr>
            <w:r>
              <w:rPr>
                <w:rFonts w:ascii="Arial" w:cs="Arial" w:eastAsia="Arial" w:hAnsi="Arial"/>
                <w:sz w:val="22"/>
                <w:szCs w:val="22"/>
                <w:color w:val="auto"/>
              </w:rPr>
              <w:t>Nuclear and Power Supply Committee Chair Retainer</w:t>
            </w:r>
          </w:p>
        </w:tc>
        <w:tc>
          <w:tcPr>
            <w:tcW w:w="2020" w:type="dxa"/>
            <w:vAlign w:val="bottom"/>
            <w:gridSpan w:val="3"/>
          </w:tcPr>
          <w:p>
            <w:pPr>
              <w:jc w:val="right"/>
              <w:spacing w:after="0"/>
              <w:rPr>
                <w:sz w:val="20"/>
                <w:szCs w:val="20"/>
                <w:color w:val="auto"/>
              </w:rPr>
            </w:pPr>
            <w:r>
              <w:rPr>
                <w:rFonts w:ascii="Arial" w:cs="Arial" w:eastAsia="Arial" w:hAnsi="Arial"/>
                <w:sz w:val="22"/>
                <w:szCs w:val="22"/>
                <w:color w:val="auto"/>
              </w:rPr>
              <w:t>$20,000</w:t>
            </w:r>
          </w:p>
        </w:tc>
        <w:tc>
          <w:tcPr>
            <w:tcW w:w="0" w:type="dxa"/>
            <w:vAlign w:val="bottom"/>
          </w:tcPr>
          <w:p>
            <w:pPr>
              <w:spacing w:after="0"/>
              <w:rPr>
                <w:sz w:val="1"/>
                <w:szCs w:val="1"/>
                <w:color w:val="auto"/>
              </w:rPr>
            </w:pPr>
          </w:p>
        </w:tc>
      </w:tr>
      <w:tr>
        <w:trPr>
          <w:trHeight w:val="274"/>
        </w:trPr>
        <w:tc>
          <w:tcPr>
            <w:tcW w:w="8520" w:type="dxa"/>
            <w:vAlign w:val="bottom"/>
          </w:tcPr>
          <w:p>
            <w:pPr>
              <w:ind w:left="160"/>
              <w:spacing w:after="0"/>
              <w:rPr>
                <w:sz w:val="20"/>
                <w:szCs w:val="20"/>
                <w:color w:val="auto"/>
              </w:rPr>
            </w:pPr>
            <w:r>
              <w:rPr>
                <w:rFonts w:ascii="Arial" w:cs="Arial" w:eastAsia="Arial" w:hAnsi="Arial"/>
                <w:sz w:val="22"/>
                <w:szCs w:val="22"/>
                <w:color w:val="auto"/>
              </w:rPr>
              <w:t>Safety and Power Delivery Committee Chair Retainer</w:t>
            </w:r>
          </w:p>
        </w:tc>
        <w:tc>
          <w:tcPr>
            <w:tcW w:w="2020" w:type="dxa"/>
            <w:vAlign w:val="bottom"/>
            <w:gridSpan w:val="3"/>
          </w:tcPr>
          <w:p>
            <w:pPr>
              <w:jc w:val="right"/>
              <w:spacing w:after="0"/>
              <w:rPr>
                <w:sz w:val="20"/>
                <w:szCs w:val="20"/>
                <w:color w:val="auto"/>
              </w:rPr>
            </w:pPr>
            <w:r>
              <w:rPr>
                <w:rFonts w:ascii="Arial" w:cs="Arial" w:eastAsia="Arial" w:hAnsi="Arial"/>
                <w:sz w:val="22"/>
                <w:szCs w:val="22"/>
                <w:color w:val="auto"/>
              </w:rPr>
              <w:t>$20,000</w:t>
            </w:r>
          </w:p>
        </w:tc>
        <w:tc>
          <w:tcPr>
            <w:tcW w:w="0" w:type="dxa"/>
            <w:vAlign w:val="bottom"/>
          </w:tcPr>
          <w:p>
            <w:pPr>
              <w:spacing w:after="0"/>
              <w:rPr>
                <w:sz w:val="1"/>
                <w:szCs w:val="1"/>
                <w:color w:val="auto"/>
              </w:rPr>
            </w:pPr>
          </w:p>
        </w:tc>
      </w:tr>
      <w:tr>
        <w:trPr>
          <w:trHeight w:val="540"/>
        </w:trPr>
        <w:tc>
          <w:tcPr>
            <w:tcW w:w="8520" w:type="dxa"/>
            <w:vAlign w:val="bottom"/>
          </w:tcPr>
          <w:p>
            <w:pPr>
              <w:spacing w:after="0"/>
              <w:rPr>
                <w:sz w:val="20"/>
                <w:szCs w:val="20"/>
                <w:color w:val="auto"/>
              </w:rPr>
            </w:pPr>
            <w:r>
              <w:rPr>
                <w:rFonts w:ascii="Arial" w:cs="Arial" w:eastAsia="Arial" w:hAnsi="Arial"/>
                <w:sz w:val="22"/>
                <w:szCs w:val="22"/>
                <w:b w:val="1"/>
                <w:bCs w:val="1"/>
                <w:color w:val="auto"/>
              </w:rPr>
              <w:t>Cash — Committee Member Retainers and Meeting Fees</w:t>
            </w:r>
          </w:p>
        </w:tc>
        <w:tc>
          <w:tcPr>
            <w:tcW w:w="124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22"/>
                <w:szCs w:val="22"/>
                <w:color w:val="auto"/>
                <w:w w:val="87"/>
              </w:rPr>
              <w:t>None</w:t>
            </w:r>
          </w:p>
        </w:tc>
        <w:tc>
          <w:tcPr>
            <w:tcW w:w="0" w:type="dxa"/>
            <w:vAlign w:val="bottom"/>
          </w:tcPr>
          <w:p>
            <w:pPr>
              <w:spacing w:after="0"/>
              <w:rPr>
                <w:sz w:val="1"/>
                <w:szCs w:val="1"/>
                <w:color w:val="auto"/>
              </w:rPr>
            </w:pPr>
          </w:p>
        </w:tc>
      </w:tr>
      <w:tr>
        <w:trPr>
          <w:trHeight w:val="536"/>
        </w:trPr>
        <w:tc>
          <w:tcPr>
            <w:tcW w:w="8520" w:type="dxa"/>
            <w:vAlign w:val="bottom"/>
          </w:tcPr>
          <w:p>
            <w:pPr>
              <w:spacing w:after="0"/>
              <w:rPr>
                <w:sz w:val="20"/>
                <w:szCs w:val="20"/>
                <w:color w:val="auto"/>
              </w:rPr>
            </w:pPr>
            <w:r>
              <w:rPr>
                <w:rFonts w:ascii="Arial" w:cs="Arial" w:eastAsia="Arial" w:hAnsi="Arial"/>
                <w:sz w:val="22"/>
                <w:szCs w:val="22"/>
                <w:b w:val="1"/>
                <w:bCs w:val="1"/>
                <w:color w:val="auto"/>
              </w:rPr>
              <w:t>Company Common Stock (Paid Annually Following Shareholder Meeting)</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20" w:type="dxa"/>
            <w:vAlign w:val="bottom"/>
          </w:tcPr>
          <w:p>
            <w:pPr>
              <w:ind w:left="160"/>
              <w:spacing w:after="0"/>
              <w:rPr>
                <w:sz w:val="20"/>
                <w:szCs w:val="20"/>
                <w:color w:val="auto"/>
              </w:rPr>
            </w:pPr>
            <w:r>
              <w:rPr>
                <w:rFonts w:ascii="Arial" w:cs="Arial" w:eastAsia="Arial" w:hAnsi="Arial"/>
                <w:sz w:val="22"/>
                <w:szCs w:val="22"/>
                <w:color w:val="auto"/>
              </w:rPr>
              <w:t>Annual Equity Compensation</w:t>
            </w:r>
          </w:p>
        </w:tc>
        <w:tc>
          <w:tcPr>
            <w:tcW w:w="2020" w:type="dxa"/>
            <w:vAlign w:val="bottom"/>
            <w:gridSpan w:val="3"/>
          </w:tcPr>
          <w:p>
            <w:pPr>
              <w:jc w:val="right"/>
              <w:spacing w:after="0"/>
              <w:rPr>
                <w:sz w:val="20"/>
                <w:szCs w:val="20"/>
                <w:color w:val="auto"/>
              </w:rPr>
            </w:pPr>
            <w:r>
              <w:rPr>
                <w:rFonts w:ascii="Arial" w:cs="Arial" w:eastAsia="Arial" w:hAnsi="Arial"/>
                <w:sz w:val="22"/>
                <w:szCs w:val="22"/>
                <w:color w:val="auto"/>
              </w:rPr>
              <w:t>$155,000</w:t>
            </w:r>
          </w:p>
        </w:tc>
        <w:tc>
          <w:tcPr>
            <w:tcW w:w="0" w:type="dxa"/>
            <w:vAlign w:val="bottom"/>
          </w:tcPr>
          <w:p>
            <w:pPr>
              <w:spacing w:after="0"/>
              <w:rPr>
                <w:sz w:val="1"/>
                <w:szCs w:val="1"/>
                <w:color w:val="auto"/>
              </w:rPr>
            </w:pPr>
          </w:p>
        </w:tc>
      </w:tr>
      <w:tr>
        <w:trPr>
          <w:trHeight w:val="274"/>
        </w:trPr>
        <w:tc>
          <w:tcPr>
            <w:tcW w:w="8520" w:type="dxa"/>
            <w:vAlign w:val="bottom"/>
          </w:tcPr>
          <w:p>
            <w:pPr>
              <w:ind w:left="160"/>
              <w:spacing w:after="0"/>
              <w:rPr>
                <w:sz w:val="20"/>
                <w:szCs w:val="20"/>
                <w:color w:val="auto"/>
              </w:rPr>
            </w:pPr>
            <w:r>
              <w:rPr>
                <w:rFonts w:ascii="Arial" w:cs="Arial" w:eastAsia="Arial" w:hAnsi="Arial"/>
                <w:sz w:val="22"/>
                <w:szCs w:val="22"/>
                <w:color w:val="auto"/>
              </w:rPr>
              <w:t>Non-Executive Chair</w:t>
            </w:r>
          </w:p>
        </w:tc>
        <w:tc>
          <w:tcPr>
            <w:tcW w:w="2020" w:type="dxa"/>
            <w:vAlign w:val="bottom"/>
            <w:gridSpan w:val="3"/>
          </w:tcPr>
          <w:p>
            <w:pPr>
              <w:jc w:val="right"/>
              <w:spacing w:after="0"/>
              <w:rPr>
                <w:sz w:val="20"/>
                <w:szCs w:val="20"/>
                <w:color w:val="auto"/>
              </w:rPr>
            </w:pPr>
            <w:r>
              <w:rPr>
                <w:rFonts w:ascii="Arial" w:cs="Arial" w:eastAsia="Arial" w:hAnsi="Arial"/>
                <w:sz w:val="22"/>
                <w:szCs w:val="22"/>
                <w:color w:val="auto"/>
              </w:rPr>
              <w:t>$65,000</w:t>
            </w:r>
          </w:p>
        </w:tc>
        <w:tc>
          <w:tcPr>
            <w:tcW w:w="0" w:type="dxa"/>
            <w:vAlign w:val="bottom"/>
          </w:tcPr>
          <w:p>
            <w:pPr>
              <w:spacing w:after="0"/>
              <w:rPr>
                <w:sz w:val="1"/>
                <w:szCs w:val="1"/>
                <w:color w:val="auto"/>
              </w:rPr>
            </w:pPr>
          </w:p>
        </w:tc>
      </w:tr>
    </w:tbl>
    <w:p>
      <w:pPr>
        <w:spacing w:after="0" w:line="266" w:lineRule="exact"/>
        <w:rPr>
          <w:sz w:val="20"/>
          <w:szCs w:val="20"/>
          <w:color w:val="auto"/>
        </w:rPr>
      </w:pPr>
    </w:p>
    <w:p>
      <w:pPr>
        <w:ind w:right="240"/>
        <w:spacing w:after="0" w:line="223" w:lineRule="auto"/>
        <w:rPr>
          <w:sz w:val="20"/>
          <w:szCs w:val="20"/>
          <w:color w:val="auto"/>
        </w:rPr>
      </w:pPr>
      <w:r>
        <w:rPr>
          <w:rFonts w:ascii="Arial" w:cs="Arial" w:eastAsia="Arial" w:hAnsi="Arial"/>
          <w:sz w:val="22"/>
          <w:szCs w:val="22"/>
          <w:color w:val="auto"/>
        </w:rPr>
        <w:t>All members of the Board of Directors are entitled to be reimbursed for expenses, as set forth in Evergy, Inc.’s corporate governance guidelines. Evergy, Inc. also provides liability insurance to its directors under its directors and officers insurance policies.</w:t>
      </w:r>
    </w:p>
    <w:p>
      <w:pPr>
        <w:sectPr>
          <w:pgSz w:w="11900" w:h="16838" w:orient="portrait"/>
          <w:cols w:equalWidth="0" w:num="1">
            <w:col w:w="10640"/>
          </w:cols>
          <w:pgMar w:left="920" w:top="61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60" w:hanging="644"/>
        <w:spacing w:after="0" w:line="263" w:lineRule="auto"/>
        <w:tabs>
          <w:tab w:leader="none" w:pos="103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04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032"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hanging="644"/>
        <w:spacing w:after="0" w:line="263" w:lineRule="auto"/>
        <w:tabs>
          <w:tab w:leader="none" w:pos="104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60" w:hanging="652"/>
        <w:spacing w:after="0" w:line="308" w:lineRule="auto"/>
        <w:tabs>
          <w:tab w:leader="none" w:pos="3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40" w:hanging="644"/>
        <w:spacing w:after="0" w:line="342" w:lineRule="auto"/>
        <w:tabs>
          <w:tab w:leader="none" w:pos="1022"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03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480" w:type="dxa"/>
            <w:vAlign w:val="bottom"/>
          </w:tcPr>
          <w:p>
            <w:pPr>
              <w:ind w:left="200"/>
              <w:spacing w:after="0"/>
              <w:rPr>
                <w:sz w:val="20"/>
                <w:szCs w:val="20"/>
                <w:color w:val="auto"/>
              </w:rPr>
            </w:pPr>
            <w:r>
              <w:rPr>
                <w:rFonts w:ascii="Arial" w:cs="Arial" w:eastAsia="Arial" w:hAnsi="Arial"/>
                <w:sz w:val="18"/>
                <w:szCs w:val="18"/>
                <w:color w:val="auto"/>
              </w:rPr>
              <w:t>May 4, 2023</w:t>
            </w:r>
          </w:p>
        </w:tc>
        <w:tc>
          <w:tcPr>
            <w:tcW w:w="5120" w:type="dxa"/>
            <w:vAlign w:val="bottom"/>
            <w:gridSpan w:val="3"/>
          </w:tcPr>
          <w:p>
            <w:pPr>
              <w:ind w:left="2380"/>
              <w:spacing w:after="0"/>
              <w:rPr>
                <w:sz w:val="20"/>
                <w:szCs w:val="20"/>
                <w:color w:val="auto"/>
              </w:rPr>
            </w:pPr>
            <w:r>
              <w:rPr>
                <w:rFonts w:ascii="Arial" w:cs="Arial" w:eastAsia="Arial" w:hAnsi="Arial"/>
                <w:sz w:val="18"/>
                <w:szCs w:val="18"/>
                <w:color w:val="auto"/>
              </w:rPr>
              <w:t>/s/ David A. Campbell</w:t>
            </w:r>
          </w:p>
        </w:tc>
      </w:tr>
      <w:tr>
        <w:trPr>
          <w:trHeight w:val="20"/>
        </w:trPr>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5120" w:type="dxa"/>
            <w:vAlign w:val="bottom"/>
            <w:gridSpan w:val="3"/>
          </w:tcPr>
          <w:p>
            <w:pPr>
              <w:ind w:left="2380"/>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6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120" w:type="dxa"/>
            <w:vAlign w:val="bottom"/>
            <w:gridSpan w:val="3"/>
          </w:tcPr>
          <w:p>
            <w:pPr>
              <w:ind w:left="238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tcPr>
          <w:p>
            <w:pPr>
              <w:ind w:left="200"/>
              <w:spacing w:after="0"/>
              <w:rPr>
                <w:sz w:val="20"/>
                <w:szCs w:val="20"/>
                <w:color w:val="auto"/>
              </w:rPr>
            </w:pPr>
            <w:r>
              <w:rPr>
                <w:rFonts w:ascii="Arial" w:cs="Arial" w:eastAsia="Arial" w:hAnsi="Arial"/>
                <w:sz w:val="18"/>
                <w:szCs w:val="18"/>
                <w:color w:val="auto"/>
              </w:rPr>
              <w:t>May 4, 2023</w:t>
            </w:r>
          </w:p>
        </w:tc>
        <w:tc>
          <w:tcPr>
            <w:tcW w:w="2100" w:type="dxa"/>
            <w:vAlign w:val="bottom"/>
            <w:gridSpan w:val="2"/>
          </w:tcPr>
          <w:p>
            <w:pPr>
              <w:spacing w:after="0"/>
              <w:rPr>
                <w:sz w:val="20"/>
                <w:szCs w:val="20"/>
                <w:color w:val="auto"/>
              </w:rPr>
            </w:pPr>
            <w:r>
              <w:rPr>
                <w:rFonts w:ascii="Arial" w:cs="Arial" w:eastAsia="Arial" w:hAnsi="Arial"/>
                <w:sz w:val="18"/>
                <w:szCs w:val="18"/>
                <w:color w:val="auto"/>
              </w:rPr>
              <w:t>/s/Kirkland B. Andrews</w:t>
            </w: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7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Kirkland B. Andrews</w:t>
            </w:r>
          </w:p>
        </w:tc>
        <w:tc>
          <w:tcPr>
            <w:tcW w:w="400" w:type="dxa"/>
            <w:vAlign w:val="bottom"/>
          </w:tcPr>
          <w:p>
            <w:pPr>
              <w:spacing w:after="0"/>
              <w:rPr>
                <w:sz w:val="17"/>
                <w:szCs w:val="17"/>
                <w:color w:val="auto"/>
              </w:rPr>
            </w:pPr>
          </w:p>
        </w:tc>
      </w:tr>
      <w:tr>
        <w:trPr>
          <w:trHeight w:val="204"/>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gridSpan w:val="2"/>
          </w:tcPr>
          <w:p>
            <w:pPr>
              <w:spacing w:after="0" w:line="204" w:lineRule="exact"/>
              <w:rPr>
                <w:sz w:val="20"/>
                <w:szCs w:val="20"/>
                <w:color w:val="auto"/>
              </w:rPr>
            </w:pPr>
            <w:r>
              <w:rPr>
                <w:rFonts w:ascii="Arial" w:cs="Arial" w:eastAsia="Arial" w:hAnsi="Arial"/>
                <w:sz w:val="18"/>
                <w:szCs w:val="18"/>
                <w:color w:val="auto"/>
                <w:w w:val="88"/>
              </w:rPr>
              <w:t>Executive Vice President and</w:t>
            </w:r>
          </w:p>
        </w:tc>
      </w:tr>
    </w:tbl>
    <w:p>
      <w:pPr>
        <w:ind w:left="6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auto"/>
              </w:rPr>
              <w:t>May 4, 2023</w:t>
            </w:r>
          </w:p>
        </w:tc>
        <w:tc>
          <w:tcPr>
            <w:tcW w:w="2740" w:type="dxa"/>
            <w:vAlign w:val="bottom"/>
            <w:gridSpan w:val="2"/>
          </w:tcPr>
          <w:p>
            <w:pPr>
              <w:spacing w:after="0"/>
              <w:rPr>
                <w:sz w:val="20"/>
                <w:szCs w:val="20"/>
                <w:color w:val="auto"/>
              </w:rPr>
            </w:pPr>
            <w:r>
              <w:rPr>
                <w:rFonts w:ascii="Arial" w:cs="Arial" w:eastAsia="Arial" w:hAnsi="Arial"/>
                <w:sz w:val="18"/>
                <w:szCs w:val="18"/>
                <w:color w:val="auto"/>
              </w:rPr>
              <w:t>/s/ David A. Campbell</w:t>
            </w: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David A. Campbell</w:t>
            </w:r>
          </w:p>
        </w:tc>
        <w:tc>
          <w:tcPr>
            <w:tcW w:w="1120" w:type="dxa"/>
            <w:vAlign w:val="bottom"/>
          </w:tcPr>
          <w:p>
            <w:pPr>
              <w:spacing w:after="0"/>
              <w:rPr>
                <w:sz w:val="17"/>
                <w:szCs w:val="17"/>
                <w:color w:val="auto"/>
              </w:rPr>
            </w:pP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auto"/>
              </w:rPr>
              <w:t>May 4, 2023</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04"/>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204" w:lineRule="exact"/>
              <w:rPr>
                <w:sz w:val="20"/>
                <w:szCs w:val="20"/>
                <w:color w:val="auto"/>
              </w:rPr>
            </w:pPr>
            <w:r>
              <w:rPr>
                <w:rFonts w:ascii="Arial" w:cs="Arial" w:eastAsia="Arial" w:hAnsi="Arial"/>
                <w:sz w:val="18"/>
                <w:szCs w:val="18"/>
                <w:color w:val="auto"/>
                <w:w w:val="88"/>
              </w:rPr>
              <w:t>Executive Vice President and</w:t>
            </w:r>
          </w:p>
        </w:tc>
      </w:tr>
    </w:tbl>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auto"/>
              </w:rPr>
              <w:t>May 4, 2023</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/s/David A. Campbell</w:t>
            </w:r>
          </w:p>
        </w:tc>
        <w:tc>
          <w:tcPr>
            <w:tcW w:w="116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2"/>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2"/>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2"/>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2"/>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571"/>
        <w:spacing w:after="0" w:line="342"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2"/>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auto"/>
              </w:rPr>
              <w:t>May 4, 2023</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04"/>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204" w:lineRule="exact"/>
              <w:rPr>
                <w:sz w:val="20"/>
                <w:szCs w:val="20"/>
                <w:color w:val="auto"/>
              </w:rPr>
            </w:pPr>
            <w:r>
              <w:rPr>
                <w:rFonts w:ascii="Arial" w:cs="Arial" w:eastAsia="Arial" w:hAnsi="Arial"/>
                <w:sz w:val="18"/>
                <w:szCs w:val="18"/>
                <w:color w:val="auto"/>
                <w:w w:val="88"/>
              </w:rPr>
              <w:t>Executive Vice President and</w:t>
            </w:r>
          </w:p>
        </w:tc>
      </w:tr>
    </w:tbl>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Quarterly Report on Form 10-Q of Evergy, Inc. (the "Company") for the quarterly period ended March 31, 2023,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820" w:hanging="488"/>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right="760" w:hanging="488"/>
        <w:spacing w:after="0" w:line="277" w:lineRule="auto"/>
        <w:tabs>
          <w:tab w:leader="none" w:pos="81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42"/>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May 4, 2023</w:t>
            </w:r>
          </w:p>
        </w:tc>
      </w:tr>
      <w:tr>
        <w:trPr>
          <w:trHeight w:val="418"/>
        </w:trPr>
        <w:tc>
          <w:tcPr>
            <w:tcW w:w="146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42"/>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May 4, 2023</w:t>
            </w:r>
          </w:p>
        </w:tc>
      </w:tr>
    </w:tbl>
    <w:p>
      <w:pPr>
        <w:sectPr>
          <w:pgSz w:w="11900" w:h="16838" w:orient="portrait"/>
          <w:cols w:equalWidth="0" w:num="1">
            <w:col w:w="11240"/>
          </w:cols>
          <w:pgMar w:left="320" w:top="89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Quarterly Report on Form 10-Q of Evergy Metro, Inc. (the "Company") for the quarterly period ended March 31, 2023,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May 4, 2023</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May 4, 2023</w:t>
            </w:r>
          </w:p>
        </w:tc>
      </w:tr>
    </w:tbl>
    <w:p>
      <w:pPr>
        <w:sectPr>
          <w:pgSz w:w="11900" w:h="16838" w:orient="portrait"/>
          <w:cols w:equalWidth="0" w:num="1">
            <w:col w:w="11240"/>
          </w:cols>
          <w:pgMar w:left="320" w:top="89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In connection with the Quarterly Report on Form 10-Q of Evergy Kansas Central, Inc. (the "Company") for the quarterly period ended March 31, 2023,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May 4, 2023</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May 4, 2023</w:t>
            </w: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4"/>
    </w:lvl>
    <w:lvl w:ilvl="1">
      <w:lvlJc w:val="left"/>
      <w:lvlText w:val="•"/>
      <w:numFmt w:val="bullet"/>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Roman"/>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decimal"/>
      <w:start w:val="1"/>
    </w:lvl>
    <w:lvl w:ilvl="1">
      <w:lvlJc w:val="left"/>
      <w:lvlText w:val="(%2)"/>
      <w:numFmt w:val="lowerLetter"/>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abstractNum>
  <w:abstractNum w:abstractNumId="38">
    <w:nsid w:val="70A64E2A"/>
    <w:multiLevelType w:val="hybridMultilevel"/>
    <w:lvl w:ilvl="0">
      <w:lvlJc w:val="left"/>
      <w:lvlText w:val="%1."/>
      <w:numFmt w:val="decimal"/>
      <w:start w:val="1"/>
    </w:lvl>
    <w:lvl w:ilvl="1">
      <w:lvlJc w:val="left"/>
      <w:lvlText w:val="(%2)"/>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88" Type="http://schemas.openxmlformats.org/officeDocument/2006/relationships/hyperlink" Target="http://www.sec.gov/Archives/edgar/data/1711269/000119312523094013/d484538dex41.htm" TargetMode="External"/><Relationship Id="rId89" Type="http://schemas.openxmlformats.org/officeDocument/2006/relationships/hyperlink" Target="http://www.sec.gov/Archives/edgar/data/1711269/000119312523070175/d409842dex41.htm" TargetMode="External"/><Relationship Id="rId90" Type="http://schemas.openxmlformats.org/officeDocument/2006/relationships/hyperlink" Target="http://www.sec.gov/Archives/edgar/data/1711269/000119312523050783/d473084dex101.htm" TargetMode="External"/><Relationship Id="rId91" Type="http://schemas.openxmlformats.org/officeDocument/2006/relationships/hyperlink" Target="http://www.sec.gov/Archives/edgar/data/1711269/000171126923000011/evrg-12312022xex109perform.htm" TargetMode="External"/><Relationship Id="rId92" Type="http://schemas.openxmlformats.org/officeDocument/2006/relationships/hyperlink" Target="http://www.sec.gov/Archives/edgar/data/1711269/000171126923000011/evrg-12312022xex1010timexb.htm" TargetMode="External"/><Relationship Id="rId93" Type="http://schemas.openxmlformats.org/officeDocument/2006/relationships/hyperlink" Target="http://www.sec.gov/Archives/edgar/data/1711269/000171126923000011/evrg-12312022xex1013execut.htm" TargetMode="External"/><Relationship Id="rId94" Type="http://schemas.openxmlformats.org/officeDocument/2006/relationships/hyperlink" Target="http://www.sec.gov/Archives/edgar/data/1711269/000171126923000011/evrg-12312022xex1026nqdcp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2023-05-05T07:06:44Z</dcterms:created>
  <dcterms:modified xsi:type="dcterms:W3CDTF">2023-05-05T07:06:44Z</dcterms:modified>
</cp:coreProperties>
</file>