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9416d424b5.htm"/>
        <w:bookmarkStart w:id="1" w:name="ksd19416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Registration No. 333-281614</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This preliminary prospectus supplement relates to an effective registration statement under the Securities Act of 1933, as amended, but is not complete and may be changed. This preliminary prospectus supplement and the accompanying prospectus are not offers to sell these securities and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16"/>
        </w:rPr>
      </w:pPr>
      <w:r>
        <w:rPr>
          <w:rFonts w:ascii="Times New Roman" w:hAnsi="Times New Roman"/>
          <w:b/>
          <w:color w:val="FF4338"/>
          <w:sz w:val="16"/>
        </w:rPr>
        <w:t xml:space="preserve">Subject to Completion </w:t>
      </w:r>
    </w:p>
    <w:p>
      <w:pPr>
        <w:pStyle w:val="TextBody"/>
        <w:bidi w:val="0"/>
        <w:spacing w:before="0" w:after="0"/>
        <w:ind w:left="960" w:right="960" w:hanging="0"/>
        <w:jc w:val="center"/>
        <w:rPr>
          <w:rFonts w:ascii="Times New Roman" w:hAnsi="Times New Roman"/>
          <w:b/>
          <w:color w:val="FF4338"/>
          <w:sz w:val="16"/>
        </w:rPr>
      </w:pPr>
      <w:r>
        <w:rPr>
          <w:rFonts w:ascii="Times New Roman" w:hAnsi="Times New Roman"/>
          <w:b/>
          <w:color w:val="FF4338"/>
          <w:sz w:val="16"/>
        </w:rPr>
        <w:t xml:space="preserve">Preliminary Prospectus Supplement dated August 17, 2026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PROSPECTUS SUPPLEMENT </w:t>
      </w:r>
    </w:p>
    <w:p>
      <w:pPr>
        <w:pStyle w:val="TextBody"/>
        <w:bidi w:val="0"/>
        <w:spacing w:before="0" w:after="0"/>
        <w:ind w:left="960" w:right="960" w:hanging="0"/>
        <w:jc w:val="left"/>
        <w:rPr>
          <w:rFonts w:ascii="Times New Roman" w:hAnsi="Times New Roman"/>
          <w:b/>
          <w:sz w:val="16"/>
        </w:rPr>
      </w:pPr>
      <w:r>
        <w:rPr>
          <w:rFonts w:ascii="Times New Roman" w:hAnsi="Times New Roman"/>
          <w:b/>
          <w:sz w:val="16"/>
        </w:rPr>
        <w:t xml:space="preserve">(To Prospectus dated August 16, 2024)  </w:t>
      </w:r>
    </w:p>
    <w:p>
      <w:pPr>
        <w:pStyle w:val="TextBody"/>
        <w:bidi w:val="0"/>
        <w:spacing w:before="0" w:after="0"/>
        <w:ind w:left="960" w:right="960" w:hanging="0"/>
        <w:jc w:val="center"/>
        <w:rPr>
          <w:rFonts w:ascii="Times New Roman" w:hAnsi="Times New Roman"/>
          <w:b/>
          <w:sz w:val="32"/>
        </w:rPr>
      </w:pPr>
      <w:r>
        <w:rPr>
          <w:rFonts w:ascii="Times New Roman" w:hAnsi="Times New Roman"/>
          <w:b/>
          <w:sz w:val="32"/>
        </w:rPr>
        <w:t xml:space="preserve">$    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541145" cy="3409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1145" cy="340995"/>
                    </a:xfrm>
                    <a:prstGeom prst="rect">
                      <a:avLst/>
                    </a:prstGeom>
                  </pic:spPr>
                </pic:pic>
              </a:graphicData>
            </a:graphic>
          </wp:inline>
        </w:drawing>
      </w:r>
      <w:r>
        <w:rPr/>
        <w:t xml:space="preserve"> </w:t>
      </w:r>
    </w:p>
    <w:p>
      <w:pPr>
        <w:pStyle w:val="TextBody"/>
        <w:bidi w:val="0"/>
        <w:spacing w:before="60" w:after="0"/>
        <w:ind w:left="960" w:right="960" w:hanging="0"/>
        <w:jc w:val="center"/>
        <w:rPr>
          <w:rFonts w:ascii="Times New Roman" w:hAnsi="Times New Roman"/>
          <w:b/>
          <w:sz w:val="40"/>
        </w:rPr>
      </w:pPr>
      <w:r>
        <w:rPr>
          <w:rFonts w:ascii="Times New Roman" w:hAnsi="Times New Roman"/>
          <w:b/>
          <w:sz w:val="40"/>
        </w:rPr>
        <w:t xml:space="preserve">Evergy, Inc. </w:t>
      </w:r>
    </w:p>
    <w:p>
      <w:pPr>
        <w:pStyle w:val="TextBody"/>
        <w:bidi w:val="0"/>
        <w:spacing w:before="60" w:after="0"/>
        <w:ind w:left="960" w:right="960" w:hanging="0"/>
        <w:jc w:val="center"/>
        <w:rPr/>
      </w:pPr>
      <w:r>
        <w:rPr/>
        <w:t> </w:t>
      </w:r>
      <w:r>
        <w:rPr>
          <w:rFonts w:ascii="Times New Roman" w:hAnsi="Times New Roman"/>
          <w:b/>
          <w:sz w:val="22"/>
        </w:rPr>
        <w:t xml:space="preserve">% Fixed-to-Fixed Reset Rate Junior Subordinated Notes due 2057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We are offering $   aggregate principal amount of our % Fixed-to-Fixed Reset Rate Junior Subordinated Notes due 2057 (the “Notes”). The Notes will bear interest (i) from and including August , 2026 (the “original issue date”) to, but excluding, February 15, 2032 at the rate of % per annum and (ii) from and including February 15, 2032 (the “First Reset Date”), during each Reset Period (as defined herein) at a rate per annum equal to the Five-year U.S. Treasury Rate (as defined herein) as of the most recent Reset Interest Determination Date (as defined herein) plus a spread of %, to be reset on each Reset Date (as defined herein); provided that the interest rate during any Reset Period will not reset below % per annum (which is the same interest rate as in effect from and including the original issue date to, but excluding, the First Reset Date (the “Initial Fixed Period”)). The Notes will mature on February 15, 2057. Interest on the Notes will accrue from and including the original issue date and will be payable semi-annually in arrears on February 15 and August 15 of each year, beginning on February 15, 2027.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So long as no event of default (as defined herein) with respect to the Notes has occurred and is continuing, we may, at our option, defer interest payments on the Notes, from time to time, for one or more deferral periods of up to 20 consecutive semi-annual Interest Payment Periods (as defined herein) each. During any deferral period, interest on the Notes will continue to accrue at the then-applicable interest rate on the Notes (as reset from time to time on any Reset Date occurring during such deferral period in accordance with the terms of the Notes) and, in addition, interest on deferred interest will accrue at the then-applicable interest rate on the Notes (as reset from time to time on any Reset Date occurring during such deferral period in accordance with the terms of the Notes), compounded semi-annually, to the extent permitted by applicable law. See “Description of the Notes—Option to Defer Interest Payments.”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At our option, we may redeem some or all of the Notes at the times and at the applicable redemption prices described herein.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The Notes will be issued in minimum denominations of $2,000 and integral multiples of $1,000 in excess thereof.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The Notes will be our unsecured obligations exclusively (and not the obligation of any of our subsidiaries) and will rank junior and subordinate in right of payment to the prior payment in full of our existing and future Senior Indebtedness (as defined herein). The Notes will rank equally in right of payment with our outstanding $500 million aggregate principal amount of 6.65% Fixed-to-Fixed Reset Rate Junior Subordinated Notes due 2055 (the “Existing Junior Subordinated Notes”) and any other unsecured indebtedness that we may incur from time to time in the future if the terms of such indebtedness provide that it ranks equally with the Notes in right of payment.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The Notes will not be listed on any securities exchange or included in any automated dealer quotation system. Currently, there is no public market for the Notes.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left"/>
        <w:rPr/>
      </w:pPr>
      <w:r>
        <w:rPr>
          <w:rFonts w:ascii="Times New Roman" w:hAnsi="Times New Roman"/>
          <w:b/>
          <w:sz w:val="20"/>
        </w:rPr>
        <w:t>Investing in the Notes involves risks that are described in the section entitled “</w:t>
      </w:r>
      <w:hyperlink w:anchor="stoc19416_5">
        <w:r>
          <w:rPr>
            <w:rStyle w:val="InternetLink"/>
            <w:rFonts w:ascii="Times New Roman" w:hAnsi="Times New Roman"/>
            <w:b/>
            <w:sz w:val="20"/>
          </w:rPr>
          <w:t>Risk Factors</w:t>
        </w:r>
      </w:hyperlink>
      <w:r>
        <w:rPr>
          <w:rFonts w:ascii="Times New Roman" w:hAnsi="Times New Roman"/>
          <w:b/>
          <w:sz w:val="20"/>
        </w:rPr>
        <w:t xml:space="preserve">” beginning on page S-14 of this prospectus supplement.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1309"/>
        <w:gridCol w:w="246"/>
        <w:gridCol w:w="173"/>
        <w:gridCol w:w="1286"/>
        <w:gridCol w:w="338"/>
        <w:gridCol w:w="162"/>
        <w:gridCol w:w="205"/>
        <w:gridCol w:w="1546"/>
        <w:gridCol w:w="339"/>
        <w:gridCol w:w="161"/>
        <w:gridCol w:w="292"/>
        <w:gridCol w:w="2169"/>
        <w:gridCol w:w="346"/>
      </w:tblGrid>
      <w:tr>
        <w:trPr/>
        <w:tc>
          <w:tcPr>
            <w:tcW w:w="1309"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09"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 the</w:t>
              <w:br/>
              <w:t>Public(1)</w:t>
            </w:r>
          </w:p>
        </w:tc>
        <w:tc>
          <w:tcPr>
            <w:tcW w:w="33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7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33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to Evergy</w:t>
              <w:br/>
              <w:t>Before Expenses</w:t>
            </w:r>
          </w:p>
        </w:tc>
        <w:tc>
          <w:tcPr>
            <w:tcW w:w="346" w:type="dxa"/>
            <w:tcBorders/>
            <w:vAlign w:val="bottom"/>
          </w:tcPr>
          <w:p>
            <w:pPr>
              <w:pStyle w:val="TableContents"/>
              <w:bidi w:val="0"/>
              <w:spacing w:before="0" w:after="283"/>
              <w:jc w:val="left"/>
              <w:rPr/>
            </w:pPr>
            <w:r>
              <w:rPr/>
              <w:t> </w:t>
            </w:r>
          </w:p>
        </w:tc>
      </w:tr>
      <w:tr>
        <w:trPr/>
        <w:tc>
          <w:tcPr>
            <w:tcW w:w="1309"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Note</w:t>
            </w:r>
          </w:p>
        </w:tc>
        <w:tc>
          <w:tcPr>
            <w:tcW w:w="24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69" w:type="dxa"/>
            <w:tcBorders/>
            <w:shd w:fill="CCEEFF" w:val="clear"/>
            <w:vAlign w:val="bottom"/>
          </w:tcPr>
          <w:p>
            <w:pPr>
              <w:pStyle w:val="TableContents"/>
              <w:bidi w:val="0"/>
              <w:spacing w:before="0" w:after="283"/>
              <w:jc w:val="right"/>
              <w:rPr/>
            </w:pPr>
            <w:r>
              <w:rPr/>
              <w:t> </w:t>
            </w:r>
          </w:p>
        </w:tc>
        <w:tc>
          <w:tcPr>
            <w:tcW w:w="346" w:type="dxa"/>
            <w:tcBorders/>
            <w:shd w:fill="CCEEFF" w:val="clear"/>
            <w:vAlign w:val="bottom"/>
          </w:tcPr>
          <w:p>
            <w:pPr>
              <w:pStyle w:val="TableContents"/>
              <w:bidi w:val="0"/>
              <w:spacing w:before="0" w:after="283"/>
              <w:jc w:val="left"/>
              <w:rPr/>
            </w:pPr>
            <w:r>
              <w:rPr/>
              <w:t>% </w:t>
            </w:r>
          </w:p>
        </w:tc>
      </w:tr>
      <w:tr>
        <w:trPr/>
        <w:tc>
          <w:tcPr>
            <w:tcW w:w="1309" w:type="dxa"/>
            <w:tcBorders/>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24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86" w:type="dxa"/>
            <w:tcBorders/>
            <w:vAlign w:val="bottom"/>
          </w:tcPr>
          <w:p>
            <w:pPr>
              <w:pStyle w:val="TableContents"/>
              <w:bidi w:val="0"/>
              <w:spacing w:before="0" w:after="283"/>
              <w:jc w:val="right"/>
              <w:rPr/>
            </w:pPr>
            <w:r>
              <w:rPr/>
              <w:t>     </w:t>
            </w:r>
          </w:p>
        </w:tc>
        <w:tc>
          <w:tcPr>
            <w:tcW w:w="33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546"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2169" w:type="dxa"/>
            <w:tcBorders/>
            <w:vAlign w:val="bottom"/>
          </w:tcPr>
          <w:p>
            <w:pPr>
              <w:pStyle w:val="TableContents"/>
              <w:bidi w:val="0"/>
              <w:spacing w:before="0" w:after="283"/>
              <w:jc w:val="right"/>
              <w:rPr/>
            </w:pPr>
            <w:r>
              <w:rPr/>
              <w:t>     </w:t>
            </w:r>
          </w:p>
        </w:tc>
        <w:tc>
          <w:tcPr>
            <w:tcW w:w="346" w:type="dxa"/>
            <w:tcBorders/>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August , 2026, if settlement occurs after that date. </w:t>
            </w:r>
          </w:p>
        </w:tc>
      </w:tr>
    </w:tbl>
    <w:p>
      <w:pPr>
        <w:pStyle w:val="TextBody"/>
        <w:bidi w:val="0"/>
        <w:spacing w:before="60" w:after="0"/>
        <w:ind w:left="960" w:right="960" w:hanging="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60" w:after="0"/>
        <w:ind w:left="960" w:right="960" w:hanging="0"/>
        <w:jc w:val="left"/>
        <w:rPr>
          <w:rFonts w:ascii="Times New Roman" w:hAnsi="Times New Roman"/>
          <w:b/>
          <w:sz w:val="16"/>
        </w:rPr>
      </w:pPr>
      <w:r>
        <w:rPr>
          <w:rFonts w:ascii="Times New Roman" w:hAnsi="Times New Roman"/>
          <w:b/>
          <w:sz w:val="16"/>
        </w:rPr>
        <w:t xml:space="preserve">This prospectus supplement and the accompanying prospectus are not intended to constitute an offer to, and the Notes should not be purchased, held or otherwise acquired by, a “specified foreign entity” as defined in Section 7701(a)(51)(B) of the Internal Revenue Code of 1986, as amended (a “specified foreign entity”). Each initial purchaser of any Notes, by accepting such Notes, will be deemed to have represented, warranted and agreed that it is not a specified foreign entity for its taxable year that includes the date of the original issuance of the Notes.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The Notes will be ready for delivery in book-entry form only through the facilities of The Depository Trust Company (“DTC”) for the accounts of its participants, including Clearstream Banking S.A. and Euroclear Bank SA/NV, as operator of the Euroclear System, on or about August ,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center"/>
        <w:rPr>
          <w:rFonts w:ascii="Times New Roman" w:hAnsi="Times New Roman"/>
          <w:i/>
          <w:sz w:val="18"/>
        </w:rPr>
      </w:pPr>
      <w:r>
        <w:rPr>
          <w:rFonts w:ascii="Times New Roman" w:hAnsi="Times New Roman"/>
          <w:i/>
          <w:sz w:val="18"/>
        </w:rPr>
        <w:t xml:space="preserve">Joint Book-Running Managers </w:t>
      </w:r>
    </w:p>
    <w:p>
      <w:pPr>
        <w:pStyle w:val="TextBody"/>
        <w:bidi w:val="0"/>
        <w:spacing w:before="0" w:after="0"/>
        <w:ind w:left="960" w:right="960" w:hanging="0"/>
        <w:jc w:val="left"/>
        <w:rPr/>
      </w:pPr>
      <w:r>
        <w:rPr/>
        <w:t> </w:t>
      </w:r>
    </w:p>
    <w:tbl>
      <w:tblPr>
        <w:tblW w:w="9385" w:type="dxa"/>
        <w:jc w:val="center"/>
        <w:tblInd w:w="0" w:type="dxa"/>
        <w:tblLayout w:type="fixed"/>
        <w:tblCellMar>
          <w:top w:w="0" w:type="dxa"/>
          <w:left w:w="0" w:type="dxa"/>
          <w:bottom w:w="0" w:type="dxa"/>
          <w:right w:w="0" w:type="dxa"/>
        </w:tblCellMar>
      </w:tblPr>
      <w:tblGrid>
        <w:gridCol w:w="1595"/>
        <w:gridCol w:w="60"/>
        <w:gridCol w:w="2855"/>
        <w:gridCol w:w="60"/>
        <w:gridCol w:w="1655"/>
        <w:gridCol w:w="60"/>
        <w:gridCol w:w="755"/>
        <w:gridCol w:w="60"/>
        <w:gridCol w:w="228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b/>
              </w:rPr>
            </w:pPr>
            <w:r>
              <w:rPr>
                <w:b/>
              </w:rPr>
              <w:t>BofA Securities</w:t>
            </w:r>
          </w:p>
        </w:tc>
        <w:tc>
          <w:tcPr>
            <w:tcW w:w="60" w:type="dxa"/>
            <w:tcBorders/>
            <w:vAlign w:val="bottom"/>
          </w:tcPr>
          <w:p>
            <w:pPr>
              <w:pStyle w:val="TableContents"/>
              <w:bidi w:val="0"/>
              <w:spacing w:before="0" w:after="283"/>
              <w:jc w:val="left"/>
              <w:rPr/>
            </w:pPr>
            <w:r>
              <w:rPr/>
              <w:t> </w:t>
            </w:r>
          </w:p>
        </w:tc>
        <w:tc>
          <w:tcPr>
            <w:tcW w:w="2855" w:type="dxa"/>
            <w:tcBorders/>
          </w:tcPr>
          <w:p>
            <w:pPr>
              <w:pStyle w:val="TableContents"/>
              <w:bidi w:val="0"/>
              <w:spacing w:before="0" w:after="283"/>
              <w:jc w:val="center"/>
              <w:rPr>
                <w:b/>
              </w:rPr>
            </w:pPr>
            <w:r>
              <w:rPr>
                <w:b/>
              </w:rPr>
              <w:t>Goldman Sachs &amp; Co. LLC</w:t>
            </w:r>
          </w:p>
        </w:tc>
        <w:tc>
          <w:tcPr>
            <w:tcW w:w="60" w:type="dxa"/>
            <w:tcBorders/>
            <w:vAlign w:val="bottom"/>
          </w:tcPr>
          <w:p>
            <w:pPr>
              <w:pStyle w:val="TableContents"/>
              <w:bidi w:val="0"/>
              <w:spacing w:before="0" w:after="283"/>
              <w:jc w:val="left"/>
              <w:rPr/>
            </w:pPr>
            <w:r>
              <w:rPr/>
              <w:t> </w:t>
            </w:r>
          </w:p>
        </w:tc>
        <w:tc>
          <w:tcPr>
            <w:tcW w:w="1655" w:type="dxa"/>
            <w:tcBorders/>
          </w:tcPr>
          <w:p>
            <w:pPr>
              <w:pStyle w:val="TableContents"/>
              <w:bidi w:val="0"/>
              <w:spacing w:before="0" w:after="283"/>
              <w:jc w:val="center"/>
              <w:rPr>
                <w:b/>
              </w:rPr>
            </w:pPr>
            <w:r>
              <w:rPr>
                <w:b/>
              </w:rPr>
              <w:t>Morgan Stanley</w:t>
            </w:r>
          </w:p>
        </w:tc>
        <w:tc>
          <w:tcPr>
            <w:tcW w:w="60"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center"/>
              <w:rPr>
                <w:b/>
              </w:rPr>
            </w:pPr>
            <w:r>
              <w:rPr>
                <w:b/>
              </w:rPr>
              <w:t>MUFG</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right"/>
              <w:rPr>
                <w:b/>
              </w:rPr>
            </w:pPr>
            <w:r>
              <w:rPr>
                <w:b/>
              </w:rPr>
              <w:t>Wells Fargo Securities</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1734"/>
        <w:gridCol w:w="102"/>
        <w:gridCol w:w="2041"/>
        <w:gridCol w:w="102"/>
        <w:gridCol w:w="2042"/>
        <w:gridCol w:w="101"/>
        <w:gridCol w:w="2042"/>
        <w:gridCol w:w="102"/>
        <w:gridCol w:w="1939"/>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283"/>
              <w:jc w:val="left"/>
              <w:rPr>
                <w:b/>
              </w:rPr>
            </w:pPr>
            <w:r>
              <w:rPr>
                <w:b/>
              </w:rPr>
              <w:t>Barclays</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center"/>
              <w:rPr>
                <w:b/>
              </w:rPr>
            </w:pPr>
            <w:r>
              <w:rPr>
                <w:b/>
              </w:rPr>
              <w:t>Citigroup</w:t>
            </w:r>
          </w:p>
        </w:tc>
        <w:tc>
          <w:tcPr>
            <w:tcW w:w="1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J.P. Morgan</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TD Securities</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right"/>
              <w:rPr>
                <w:b/>
              </w:rPr>
            </w:pPr>
            <w:r>
              <w:rPr>
                <w:b/>
              </w:rPr>
              <w:t>US Bancorp</w:t>
            </w:r>
          </w:p>
        </w:tc>
      </w:tr>
    </w:tbl>
    <w:p>
      <w:pPr>
        <w:pStyle w:val="TextBody"/>
        <w:bidi w:val="0"/>
        <w:spacing w:before="240" w:after="0"/>
        <w:ind w:left="960" w:right="960" w:hanging="0"/>
        <w:jc w:val="center"/>
        <w:rPr>
          <w:rFonts w:ascii="Times New Roman" w:hAnsi="Times New Roman"/>
          <w:b/>
          <w:sz w:val="18"/>
        </w:rPr>
      </w:pPr>
      <w:r>
        <w:rPr>
          <w:rFonts w:ascii="Times New Roman" w:hAnsi="Times New Roman"/>
          <w:b/>
          <w:sz w:val="18"/>
        </w:rPr>
        <w:t xml:space="preserve">Prospectus Supplement dated August ,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2">
              <w:r>
                <w:rPr>
                  <w:rStyle w:val="InternetLink"/>
                  <w:rFonts w:ascii="Times New Roman" w:hAnsi="Times New Roman"/>
                  <w:sz w:val="20"/>
                </w:rPr>
                <w:t>CAUTIONARY STATEMENTS REGARDING CERTAIN FORWARD-LOOKING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7">
              <w:r>
                <w:rPr>
                  <w:rStyle w:val="InternetLink"/>
                  <w:rFonts w:ascii="Times New Roman" w:hAnsi="Times New Roman"/>
                  <w:sz w:val="20"/>
                </w:rPr>
                <w:t>DESCRIPTION OF THE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8">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9">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toc19416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2">
              <w:r>
                <w:rPr>
                  <w:rStyle w:val="InternetLink"/>
                  <w:rFonts w:ascii="Times New Roman" w:hAnsi="Times New Roman"/>
                  <w:sz w:val="20"/>
                </w:rPr>
                <w:t>CAUTIONARY STATEMENTS REGARDING CERTAIN FORWARD-LOOKING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3">
              <w:r>
                <w:rPr>
                  <w:rStyle w:val="InternetLink"/>
                  <w:rFonts w:ascii="Times New Roman" w:hAnsi="Times New Roman"/>
                  <w:sz w:val="20"/>
                </w:rPr>
                <w:t>EVERGY,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6">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7">
              <w:r>
                <w:rPr>
                  <w:rStyle w:val="InternetLink"/>
                  <w:rFonts w:ascii="Times New Roman" w:hAnsi="Times New Roman"/>
                  <w:sz w:val="20"/>
                </w:rPr>
                <w:t>DESCRIPTION OF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8">
              <w:r>
                <w:rPr>
                  <w:rStyle w:val="InternetLink"/>
                  <w:rFonts w:ascii="Times New Roman" w:hAnsi="Times New Roman"/>
                  <w:sz w:val="20"/>
                </w:rPr>
                <w:t>DESCRIPTION OF PREFERENCE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9">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283"/>
              <w:jc w:val="left"/>
              <w:rPr/>
            </w:pPr>
            <w:hyperlink w:anchor="tx90554_10">
              <w:r>
                <w:rPr>
                  <w:rStyle w:val="InternetLink"/>
                </w:rPr>
                <w:t>DESCRIPTION OF STOCK PURCHASE CONTRACTS AND STOCK PURCHASE UNITS OR WARRANTS FOR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1">
              <w:r>
                <w:rPr>
                  <w:rStyle w:val="InternetLink"/>
                  <w:rFonts w:ascii="Times New Roman" w:hAnsi="Times New Roman"/>
                  <w:sz w:val="20"/>
                </w:rPr>
                <w:t>BOOK-ENTRY SYSTEM</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0554_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toc1941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The second part is the accompanying prospectus dated August 16, 2024, which we refer to as the “accompanying prospectus.” The accompanying prospectus contains a description of the securities we may offer under the registration statement of which this prospectus supplement and the accompanying prospectus form a part and gives more general information, some of which may not apply to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any free writing prospectus that we file with the Securities and Exchange Commission (the “SEC”)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against payment for the Notes on or about the date specified in the last paragraph of the cover page of this prospectus supplement, which will be the  business day following the date of this prospectus supplement (“T+  ”). Under Rule 15c6-1 under the Securities Exchange Act of 1934, as amended (the “Exchange Act”), trades in the secondary market generally are required to settle in one business day, unless the parties to a trade expressly agree otherwise. Accordingly, purchasers who wish to trade the Notes on any date prior to the first business day before delivery of the Notes will be required, by virtue of the fact that the Notes initially will settle in T+  , to specify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in the Notes, you should carefully read the registration statement (including the exhibits thereto) of which this prospectus supplement and the accompanying prospectus form a part, this prospectus supplement, the accompanying prospectus and the documents incorporated by reference herein. The incorporated documents are described in this prospectus supplement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“Evergy,” the “Company,” “we,” “us” or “our” in this prospectus supplement or the accompanying prospectus or when we otherwise refer to ourselves herein or therein, we mean Evergy, Inc. and its subsidiaries, unless expressly stated or the context clearly indicates otherwise. When we refer to “you” or “your” in this prospectus supplement, we mean a prospective investor or holder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toc19416_2"/>
      <w:bookmarkEnd w:id="4"/>
      <w:r>
        <w:rPr>
          <w:rFonts w:ascii="Times New Roman" w:hAnsi="Times New Roman"/>
          <w:b/>
          <w:sz w:val="20"/>
        </w:rPr>
        <w:t xml:space="preserve">CAUTIONARY STATEMENTS REGARDING CERTAIN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prospectus supplement, the accompanying prospectus and the documents incorporated by reference herein as described under the heading “Where You Can Find More Information” that are not based on historical facts are forward-looking, may involve risks and uncertainties and are intended to be as of the date when made.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safe harbor provisions of the Private Securities Litigation Reform Act of 1995, the Company is providing a number of risks, uncertainties and other factors that could cause actual results to differ from the forward-looking information. These risks, uncertainties and other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and weather conditions and any impact on sales, prices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the demand for electricity, including, demand from data centers and other large load customers, and customer adoption of alternative energy sources, such as distributed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strategy or operations, including with respect to our strategy to meet demand requirements of existing and future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federal, state and local political, legislative, judicial and regulatory actions or developments, including deregulation, re-regulation, securitization and restructuring of the electric utility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prolonged or recurring U.S. federal government shutdowns;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trade policies (including tariffs and other trade measures) and responses from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build or acquire generation, battery storage and transmission facilities to meet the future demand for electricity from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of regulators regarding, among other things, customer rates and the prudency of operational decisions such as capital expenditures and asset retirements;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regulations, rules, principles or practices, or the interpretations thereof, governing tax, accounting and environmental matters, including air and water quality and waste management and disposal;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adoption and use of artificial intelligence by us and our third-party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climate change, including increased frequency and severity of significant weather events;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potential wildfires, including costs of litigation, potential regulatory penalties and damages in excess of insurance liability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insurance coverage, including availability, cost, coverage and terms and ability to recover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counterparties are willing to do business with, finance the operations of or purchase energy from us due to the fact that we operate coal-fired generation;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and availability of electricity and natural gas in wholesale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perception of the energy industry and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future pandemic health events on, among other things, sales, results of operations, financial position, liquidity and cash flows, and also on operational issues, such as supply chain issues and the availability and ability of employees and suppliers to perform the functions that are necessary to operate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energy trading markets in which Evergy participates, including retroactive repricing of transactions by regional transmission organizations and independent system operators;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impairments of long-lived assets or goodwill;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effectiveness of risk management policies and procedures and the ability of counterparties to satisfy their contractual commitments, including new large data center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physical and cybersecurity breaches, criminal activity, terrorist attacks, acts of war and other disruptions to facilities or information technology infrastructure or the facilities and infrastructure of third-party service providers on which we rely;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geopolitical conflicts on the global energy market, including the ability to contract for non-Russian sourced uranium;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carry out marketing and sales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availability, quality and timely provision of equipment, supplies, labor and fuel;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achieve generation goals and the occurrence and duration of planned and unplanned generation outages;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manage our generation, transmission and distribution development plans and transmission joint ventures;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inherent risks associated with the ownership and operation of a nuclear facility, including environmental, health, safety, regulatory and financial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risks, including those related to our ability to attract and retain qualified personnel, maintain satisfactory relationships with their labor unions and manage costs of, or changes in, wages, retirement, health care and other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costs and uncertainties caused by or related to the actions of individuals or entities, such as activist shareholders or special interest groups, that seek to influence our strategic plan, financial results or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changing expectations and demands of customers, regulators, investors and stakeholders, including differing views on environmental, social and governance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strategic initiatives, including mergers, acquisitions, joint ventures and divestitures, and long-term financial plans, may not create the value that they are expected to achieve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maintaining relationships with customers, employees, contractors, regulators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litigation involving Evergy;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list of factors is not all-inclusive because it is not possible to predict all factors. In addition, actual results may differ materially from those contemplated in any forward-looking statement due to other risk factors discussed under “Risk Factors” in this prospectus supplement and under Item 1A of Part I of Evergy, Inc.’s Annual Report on Form 10-K for the year ended December 31, 2025, which is incorporated by reference herein. Other sections of Evergy, Inc.’s Annual Report on Form 10-K for the year ended December 31, 2025 and other reports filed by Evergy, Inc. with the SEC should also be read for more information regarding risk factors. New factors emerge from time to time, and it is not possible for Evergy, Inc. to predict all such factors, nor can Evergy, Inc.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Evergy, Inc. undertakes no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toc19416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through the SEC’s Electronic Data Gathering, Analysis and Retrieval system and these filings are publicly available through the SEC’s website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the information we file with the SEC, which means that we can disclose important information to you by referring you to the documents containing the information. The information we incorporate by reference is considered to be included in and an important part of this prospectus supplement and should be read with the same care. Information that we file later with the SEC that is incorporated by reference herein will automatically update and supersede this information. Our Annual Report on Form 10-K, our Quarterly Reports on Form 10-Q and certain of our Current Reports on Form 8-K listed below have been filed with the SEC on a combined basis by us and two of our subsidiaries, Evergy Kansas Central and Evergy Metro (each as defined below). We are only incorporating the information that relates to us and, where required, the information that relates to Evergy Kansas Central and Evergy Metro.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herein shall be considered to be modified or superseded for purposes of this prospectus supplement to the extent a statement contained in this prospectus supplement or in any other subsequently filed document that is or is considered to be incorporated by reference herein modifies or supersedes such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following documents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19, 2026 (including the portion of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March 26, 2026, incorporated by reference into Part III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5">
              <w:r>
                <w:rPr>
                  <w:rStyle w:val="InternetLink"/>
                  <w:rFonts w:ascii="Times New Roman" w:hAnsi="Times New Roman"/>
                  <w:sz w:val="20"/>
                </w:rPr>
                <w:t>March  31, 2026</w:t>
              </w:r>
            </w:hyperlink>
            <w:r>
              <w:rPr>
                <w:rFonts w:ascii="Times New Roman" w:hAnsi="Times New Roman"/>
                <w:sz w:val="20"/>
              </w:rPr>
              <w:t xml:space="preserve"> and </w:t>
            </w:r>
            <w:hyperlink r:id="rId6">
              <w:r>
                <w:rPr>
                  <w:rStyle w:val="InternetLink"/>
                  <w:rFonts w:ascii="Times New Roman" w:hAnsi="Times New Roman"/>
                  <w:sz w:val="20"/>
                </w:rPr>
                <w:t>June 30, 2026</w:t>
              </w:r>
            </w:hyperlink>
            <w:r>
              <w:rPr>
                <w:rFonts w:ascii="Times New Roman" w:hAnsi="Times New Roman"/>
                <w:sz w:val="20"/>
              </w:rPr>
              <w:t xml:space="preserve">, filed with the SEC on May 7, 2026 and August 6, 2026,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7, 2026</w:t>
              </w:r>
            </w:hyperlink>
            <w:r>
              <w:rPr>
                <w:rFonts w:ascii="Times New Roman" w:hAnsi="Times New Roman"/>
                <w:sz w:val="20"/>
              </w:rPr>
              <w:t xml:space="preserve">, </w:t>
            </w:r>
            <w:hyperlink r:id="rId8">
              <w:r>
                <w:rPr>
                  <w:rStyle w:val="InternetLink"/>
                  <w:rFonts w:ascii="Times New Roman" w:hAnsi="Times New Roman"/>
                  <w:sz w:val="20"/>
                </w:rPr>
                <w:t>February  11, 2026</w:t>
              </w:r>
            </w:hyperlink>
            <w:r>
              <w:rPr>
                <w:rFonts w:ascii="Times New Roman" w:hAnsi="Times New Roman"/>
                <w:sz w:val="20"/>
              </w:rPr>
              <w:t xml:space="preserve">, </w:t>
            </w:r>
            <w:hyperlink r:id="rId9">
              <w:r>
                <w:rPr>
                  <w:rStyle w:val="InternetLink"/>
                  <w:rFonts w:ascii="Times New Roman" w:hAnsi="Times New Roman"/>
                  <w:sz w:val="20"/>
                </w:rPr>
                <w:t>March  10, 2026</w:t>
              </w:r>
            </w:hyperlink>
            <w:r>
              <w:rPr>
                <w:rFonts w:ascii="Times New Roman" w:hAnsi="Times New Roman"/>
                <w:sz w:val="20"/>
              </w:rPr>
              <w:t xml:space="preserve"> and </w:t>
            </w:r>
            <w:hyperlink r:id="rId10">
              <w:r>
                <w:rPr>
                  <w:rStyle w:val="InternetLink"/>
                  <w:rFonts w:ascii="Times New Roman" w:hAnsi="Times New Roman"/>
                  <w:sz w:val="20"/>
                </w:rPr>
                <w:t>July 1, 2026</w:t>
              </w:r>
            </w:hyperlink>
            <w:r>
              <w:rPr>
                <w:rFonts w:ascii="Times New Roman" w:hAnsi="Times New Roman"/>
                <w:sz w:val="20"/>
              </w:rPr>
              <w:t xml:space="preserve"> (two filings on such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future filings we make with the SEC pursuant to Section 13(a), 13(c), 14 or 15(d) of the Exchange Act from the date of this prospectus supplement until we have sold all of the Notes to which this prospectus supplement relates or this offering is otherwise terminated. We are not incorporating by reference information furnished under Item 2.02 or 7.01 of any Current Report on Form 8-K, including the related exhibits, nor in any documents or other information that is deemed to have been “furnished” to and not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Our website is www.evergy.com. Information contained on our website is not incorporated by reference herein. We make available, free of charge, on or through the Investor Relations tab on our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website all other reports, notifications and certifications filed electronically with the SEC. You may obtain a free copy of our filings with the SEC by writing or telephoning us at the following address: Evergy, Inc., 1200 Main Street, Kansas City, Missouri 64105 (Telephone No.: 816-556-2200), Attention: Corporate Secretary, or by contacting us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toc19416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You should read the following summary in conjunction with the more detailed information in this prospectus supplement, the accompanying prospectus and the documents incorporated by reference herein.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Evergy, Inc., a Missouri corporation, is a public utility holding company incorporated in 2017 and headquartered in Kansas City, Missouri. Evergy operates primarily through the following wholly-owned direct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Kansas Central, Inc. (“Evergy Kansas Central”) is an integrated, regulated electric utility that provides electricity to customers in the state of Kansas. Evergy Kansas Central has one active wholly-owned subsidiary with significant operations, Evergy Kansas South,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Metro, Inc. (“Evergy Metro”) is an integrated, regulated electric utility that provides electricity to customers in the states of Missouri and Kansas.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Missouri West, Inc. (“Evergy Missouri West”) is an integrated, regulated electric utility that provides electricity to customers in the state of Missouri.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Transmission Company, LLC owns 13.5% of Transource Energy, LLC, which is focused on the development of competitive electric transmission projects, with the remaining 86.5% owned by a subsidiary of American Electric Power Company, Inc.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1200 Main Street, Kansas City, Missouri 64105, and our telephone number is (816) 556-2200.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Notes. It does not contain all the information that is important to you. For a more complete understanding of the Notes, please refer to the section of this prospectus supplement entitled “Description of the Notes” and the section of the accompanying prospectus entitled “Description of Debt Securities” and the information included or incorporated by reference herein before making an investment decision.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As used in this section, references to “Evergy,” “we,” “us,” and “our” mean Evergy, Inc. excluding our subsidiaries, unless expressly stated or the context clearly indicates otherwise.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Evergy, Inc., a Missouri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Offered</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We are offering $    aggregate principal amount of   % Fixed-to-Fixed Reset Rate Junior Subordinated Notes due 2057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023" w:type="dxa"/>
            <w:tcBorders/>
          </w:tcPr>
          <w:p>
            <w:pPr>
              <w:pStyle w:val="TableContents"/>
              <w:bidi w:val="0"/>
              <w:spacing w:before="0" w:after="283"/>
              <w:jc w:val="left"/>
              <w:rPr/>
            </w:pPr>
            <w:r>
              <w:rPr/>
              <w:t xml:space="preserve">The Notes will mature on February 15, 2057 (the “final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Rate</w:t>
            </w:r>
            <w:r>
              <w:rPr>
                <w:rFonts w:ascii="Times New Roman" w:hAnsi="Times New Roman"/>
                <w:sz w:val="20"/>
              </w:rPr>
              <w:t xml:space="preserve"> </w:t>
            </w:r>
          </w:p>
        </w:tc>
        <w:tc>
          <w:tcPr>
            <w:tcW w:w="6023" w:type="dxa"/>
            <w:tcBorders/>
          </w:tcPr>
          <w:p>
            <w:pPr>
              <w:pStyle w:val="TableContents"/>
              <w:bidi w:val="0"/>
              <w:spacing w:before="0" w:after="283"/>
              <w:jc w:val="left"/>
              <w:rPr/>
            </w:pPr>
            <w:r>
              <w:rPr/>
              <w:t xml:space="preserve">The Notes will bear interest (i) from and including August  , 2026 (the “original issue date”) to, but excluding, the First Reset Date at the rate of  % per annum and (ii) from and including the First Reset Date, during each Reset Period at a rate per annum equal to the Five-year U.S. Treasury Rate as of the most recent Reset Interest Determination Date plus a spread of  %, to be reset on each Reset Date; provided that the interest rate during any Reset Period will not reset below  % per annum (which is the same interest rate as in effect during the Initial Fixed Period). For the definitions of the terms “First Reset Date,” “Reset Period,” “Five-year U.S. Treasury Rate,” “Reset Interest Determination Date,” “Reset Date” and “Initial Fixed Period” and for other important information concerning the calculation of interest on the Notes, see “Description of the Notes—Maturity, Interest and Payment”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 Dates</w:t>
            </w:r>
            <w:r>
              <w:rPr>
                <w:rFonts w:ascii="Times New Roman" w:hAnsi="Times New Roman"/>
                <w:sz w:val="20"/>
              </w:rPr>
              <w:t xml:space="preserve"> </w:t>
            </w:r>
          </w:p>
        </w:tc>
        <w:tc>
          <w:tcPr>
            <w:tcW w:w="6022" w:type="dxa"/>
            <w:tcBorders/>
          </w:tcPr>
          <w:p>
            <w:pPr>
              <w:pStyle w:val="TableContents"/>
              <w:bidi w:val="0"/>
              <w:spacing w:before="0" w:after="283"/>
              <w:jc w:val="left"/>
              <w:rPr/>
            </w:pPr>
            <w:r>
              <w:rPr/>
              <w:t xml:space="preserve">Subject to our right to defer interest payments as described under “Optional Interest Deferral” below, interest on the Notes will be payable semi-annually in arrears on February 15 and August 15 of each year, beginning on February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Interest Deferral</w:t>
            </w:r>
            <w:r>
              <w:rPr>
                <w:rFonts w:ascii="Times New Roman" w:hAnsi="Times New Roman"/>
                <w:sz w:val="20"/>
              </w:rPr>
              <w:t xml:space="preserve"> </w:t>
            </w:r>
          </w:p>
        </w:tc>
        <w:tc>
          <w:tcPr>
            <w:tcW w:w="602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long as no event of default with respect to the Notes has occurred and is continuing, we may, at our option, defer interest payments on the Notes, from time to time, for one or more deferral periods of up to 20 consecutive semi-annual Interest Payment Periods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or end on a day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than the day immediately preceding an interest payment date. In other words, we may declare at our discretion up to a ten-year interest payment moratorium on the Notes and may choose to do that on one or more occasions. No interest will be due or payable on the Notes during any such Optional Deferral Period unless we elect, at our option, to redeem the Notes during such Optional Deferral Period, in which case accrued and unpaid interest to, but excluding, the redemption date will be due and payable on such redemption date only on the Notes being redeemed, or unless the principal of and interest on the Notes shall have been declared due and payable as the result of an event of default with respect to the Notes, in which case all accrued and unpaid interest on the Notes shall become due and payable.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and to shorten the length of any Optional Deferral Period. We cannot begin a new Optional Deferral Period until we have paid all accrued and unpaid interest on the Notes from any previous Optional Deferral Period. During any Optional Deferral Period, interest on the Notes will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will accrue at the then-applicable interest rate on the Notes (as reset from time to time on any Reset Date occurring during such Optional Deferral Period in accordance with the terms of the Notes), compounded semi-annually, to the extent permitted by applicable law. For the definition of the term “event of default,” see “Description of the Notes—Events of Default” in this prospectus supplement, and for the definition of the term “Interest Payment Period” and other important information concerning our right to defer interest payments on the Notes, see “Description of the Notes—Option to Defer Interest Payments”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vAlign w:val="center"/>
          </w:tcPr>
          <w:p>
            <w:pPr>
              <w:pStyle w:val="TableContents"/>
              <w:bidi w:val="0"/>
              <w:spacing w:before="0" w:after="283"/>
              <w:jc w:val="left"/>
              <w:rPr/>
            </w:pPr>
            <w:r>
              <w:rPr/>
              <w:t> </w:t>
            </w:r>
          </w:p>
        </w:tc>
        <w:tc>
          <w:tcPr>
            <w:tcW w:w="60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defer payments of interest on the Notes, the Notes will be treated at that time, for purposes of the original issue discount rules, as having been retired and reissued with original issue discount for U.S. federal income tax purposes. This means that if you are subject to U.S. federal income taxation on a net income basis, you would be required to include in your gross income for U.S. federal income tax purposes the deferred interest payments on your Notes using a constant yield method and before you receive any cash, regardless of your regular method of accounting for U.S. federal income tax purposes. For more information concerning the tax consequences you may have if payments of interest are deferred, see “Risk Factors—Holders of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subject to U.S. federal income taxation may have to pay taxes on interest before they receive payments from us” and “Material U.S. Federal Income Tax Considerations—U.S. Holders—Interest Income and Original Issue Discount”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Certain Restrictions during an Optional Deferral</w:t>
              <w:br/>
              <w:t>Period</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During an Optional Deferral Period, we may not do any of the following (subject to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8"/>
        <w:gridCol w:w="102"/>
        <w:gridCol w:w="102"/>
        <w:gridCol w:w="5613"/>
      </w:tblGrid>
      <w:tr>
        <w:trPr/>
        <w:tc>
          <w:tcPr>
            <w:tcW w:w="438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or distributions on any Capital Stock (as defined under “Description of the Notes—Option to Defer Interest Payments”) of Evergy;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8"/>
        <w:gridCol w:w="101"/>
        <w:gridCol w:w="102"/>
        <w:gridCol w:w="5614"/>
      </w:tblGrid>
      <w:tr>
        <w:trPr/>
        <w:tc>
          <w:tcPr>
            <w:tcW w:w="438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acquire or make a liquidation payment with respect to any Capital Stock of Evergy;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0"/>
        <w:gridCol w:w="101"/>
        <w:gridCol w:w="5615"/>
      </w:tblGrid>
      <w:tr>
        <w:trPr/>
        <w:tc>
          <w:tcPr>
            <w:tcW w:w="438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interest (to the extent such interest is deferrable) or premium on, or repay, repurchase or redeem, any indebtedness of Evergy that ranks equally with or junior to the Notes in right of payment (including the Existing Junior Subordinated Notes);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8"/>
        <w:gridCol w:w="101"/>
        <w:gridCol w:w="102"/>
        <w:gridCol w:w="5614"/>
      </w:tblGrid>
      <w:tr>
        <w:trPr/>
        <w:tc>
          <w:tcPr>
            <w:tcW w:w="438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with respect to any guarantees by Evergy of any indebtedness if such guarantees rank equally with or junior to the Notes in right of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 xml:space="preserve">For further important information, including information concerning the exceptions referred to above, see “Description of the Notes—Option to Defer Interest Payments”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At our option, we may redeem some or all of the Notes, as applicable, before their maturity, as follows: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1"/>
        <w:gridCol w:w="100"/>
        <w:gridCol w:w="5615"/>
      </w:tblGrid>
      <w:tr>
        <w:trPr/>
        <w:tc>
          <w:tcPr>
            <w:tcW w:w="438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or in part (i) on any day in the period commencing on the date falling 90 days prior to the First Reset Date and ending on and including the First Reset Date and (ii) after the First Reset Date, on any interest payment date, at a redemption price in cash equal to 100% of the principal amount of the Notes being redeemed, plus, subject to the terms described in the first paragraph under “Description of the Notes—Redemption—Redemption Procedures; Cancellation of Redemption” in this prospectus supplement, accrued and unpaid interest on the Notes to be redeemed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1"/>
        <w:gridCol w:w="100"/>
        <w:gridCol w:w="5615"/>
      </w:tblGrid>
      <w:tr>
        <w:trPr/>
        <w:tc>
          <w:tcPr>
            <w:tcW w:w="438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but not in part, at any time following the occurrence and during the continuance of a Tax Event (as defined under “Description of the Notes—Redemption—Redemption Following a Tax Event” in this prospectus supplement) at a redemption price in cash equal to 100% of the principal amount of the Notes, plus, subject to the terms described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591"/>
        <w:gridCol w:w="5614"/>
      </w:tblGrid>
      <w:tr>
        <w:trPr/>
        <w:tc>
          <w:tcPr>
            <w:tcW w:w="4591" w:type="dxa"/>
            <w:tcBorders/>
            <w:vAlign w:val="center"/>
          </w:tcPr>
          <w:p>
            <w:pPr>
              <w:pStyle w:val="TableContents"/>
              <w:bidi w:val="0"/>
              <w:spacing w:before="0" w:after="283"/>
              <w:jc w:val="left"/>
              <w:rPr/>
            </w:pPr>
            <w:r>
              <w:rPr/>
              <w:t> </w:t>
            </w:r>
          </w:p>
        </w:tc>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paragraph under “Description of the Notes—Redemption—Redemption Procedures; Cancellation of Redemption” in this prospectus supplement, accrued and unpaid interest on the Notes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1"/>
        <w:gridCol w:w="100"/>
        <w:gridCol w:w="5615"/>
      </w:tblGrid>
      <w:tr>
        <w:trPr/>
        <w:tc>
          <w:tcPr>
            <w:tcW w:w="438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but not in part, at any time following the occurrence and during the continuance of a Rating Agency Event (as defined under “Description of the Notes—Redemption—Redemption Following a Rating Agency Event” in this prospectus supplement) at a redemption price in cash equal to 102% of the principal amount of the Notes, plus, subject to the terms described in the first paragraph under “Description of the Notes—Redemption—Redemption Procedures; Cancellation of Redemption” in this prospectus supplement, accrued and unpaid interest on the Notes to, but excluding, the redemption date;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9"/>
        <w:gridCol w:w="101"/>
        <w:gridCol w:w="100"/>
        <w:gridCol w:w="5615"/>
      </w:tblGrid>
      <w:tr>
        <w:trPr/>
        <w:tc>
          <w:tcPr>
            <w:tcW w:w="438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61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but not in part, following the occurrence of a Tax Credit Event (as defined under “Description of the Notes—Redemption—Redemption Following a Tax Credit Event” in this prospectus supplement) at a redemption price in cash equal to 101% of the principal amount of the Notes, plus, subject to the terms described in the first paragraph under “Description of the Notes—Redemption—Redemption Procedures; Cancellation of Redemption” in this prospectus supplement, accrued and unpaid interest on the Notes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The Notes will be our unsecured obligations and will rank junior and subordinate in right of payment to the prior payment in full of our existing and future Senior Indebtedness, to the extent and in the manner set forth under the caption “Description of the Notes—Subordination” in this prospectus supplement. For the definition of the term “Senior Indebtedness,” see “Description of the Notes—Subordination”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vAlign w:val="center"/>
          </w:tcPr>
          <w:p>
            <w:pPr>
              <w:pStyle w:val="TableContents"/>
              <w:bidi w:val="0"/>
              <w:spacing w:before="0" w:after="283"/>
              <w:jc w:val="left"/>
              <w:rPr/>
            </w:pPr>
            <w:r>
              <w:rPr/>
              <w:t> </w:t>
            </w:r>
          </w:p>
        </w:tc>
        <w:tc>
          <w:tcPr>
            <w:tcW w:w="6023" w:type="dxa"/>
            <w:tcBorders/>
          </w:tcPr>
          <w:p>
            <w:pPr>
              <w:pStyle w:val="TableContents"/>
              <w:bidi w:val="0"/>
              <w:spacing w:before="0" w:after="283"/>
              <w:jc w:val="left"/>
              <w:rPr/>
            </w:pPr>
            <w:r>
              <w:rPr/>
              <w:t xml:space="preserve">The Notes will rank equally in right of payment with the Existing Junior Subordinated Notes and any other unsecured indebtedness that we may incur from time to time in the future if the terms of such indebtedness provide that it ranks equally with the Notes in right of payment. As of June 30, 2026, $500 million aggregate principal amount of such indebtedness (consisting of the Existing Junior Subordinated Notes) was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vAlign w:val="center"/>
          </w:tcPr>
          <w:p>
            <w:pPr>
              <w:pStyle w:val="TableContents"/>
              <w:bidi w:val="0"/>
              <w:spacing w:before="0" w:after="283"/>
              <w:jc w:val="left"/>
              <w:rPr/>
            </w:pPr>
            <w:r>
              <w:rPr/>
              <w:t> </w:t>
            </w:r>
          </w:p>
        </w:tc>
        <w:tc>
          <w:tcPr>
            <w:tcW w:w="602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effectively subordinated to any of our future secured indebtedness to the extent of the value of the related collateral securing such indebtedness. The Notes are our obligations exclusively, and not the obligations of any of our subsidiaries. Because we are a holding company that derives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vAlign w:val="center"/>
          </w:tcPr>
          <w:p>
            <w:pPr>
              <w:pStyle w:val="TableContents"/>
              <w:bidi w:val="0"/>
              <w:spacing w:before="0" w:after="283"/>
              <w:jc w:val="left"/>
              <w:rPr/>
            </w:pPr>
            <w:r>
              <w:rPr/>
              <w:t> </w:t>
            </w:r>
          </w:p>
        </w:tc>
        <w:tc>
          <w:tcPr>
            <w:tcW w:w="602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substantially all of our income from our operating subsidiaries, the Notes will be structurally subordinated to the indebtedness and other liabilities and any preferred stock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vAlign w:val="center"/>
          </w:tcPr>
          <w:p>
            <w:pPr>
              <w:pStyle w:val="TableContents"/>
              <w:bidi w:val="0"/>
              <w:spacing w:before="0" w:after="283"/>
              <w:jc w:val="left"/>
              <w:rPr/>
            </w:pPr>
            <w:r>
              <w:rPr/>
              <w:t> </w:t>
            </w:r>
          </w:p>
        </w:tc>
        <w:tc>
          <w:tcPr>
            <w:tcW w:w="6021" w:type="dxa"/>
            <w:tcBorders/>
          </w:tcPr>
          <w:p>
            <w:pPr>
              <w:pStyle w:val="TableContents"/>
              <w:bidi w:val="0"/>
              <w:spacing w:before="0" w:after="283"/>
              <w:jc w:val="left"/>
              <w:rPr/>
            </w:pPr>
            <w:r>
              <w:rPr/>
              <w:t xml:space="preserve">For additional information, see “Risk Factors—The Notes are our obligations exclusively and not of our subsidiaries and will be subordinated to all our other indebtedness (other than the Existing Junior Subordinated Notes and any other unsecured indebtedness that we may incur in the future that ranks equally with or junior to the Notes in right of payment) and structurally subordinated to the claims of our subsidiaries’ creditors” and “Description of the Notes—Ranking” in this prospectus supplement and “Risk Factors—Financial Risks— Evergy is a holding company and relies on the earnings of its subsidiaries to meet its financial obligations” in Evergy, Inc.’s Annual Report on Form 10-K for the year ended December 31, 2025, which is incorporated by reference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 xml:space="preserve">As of June 30, 2026, we had approximately $3.8 billion in outstanding Senior Indebtedness (all of which was unsecured, and excluding long-term debt fair value adjustments), which included guarantees of $0.7 billion of our subsidiaries’ indebtedness, and our subsidiaries had outstanding approximately $21.2 billion of total liabilities (excluding intercompany indebtedness, long-term debt fair value adjustments and debt of variable interest entities), which included approximately $10.7 billion, including current maturities, of total long-term debt, excluding unused commitments and contractual obligations and other commitments.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vAlign w:val="center"/>
          </w:tcPr>
          <w:p>
            <w:pPr>
              <w:pStyle w:val="TableContents"/>
              <w:bidi w:val="0"/>
              <w:spacing w:before="0" w:after="283"/>
              <w:jc w:val="left"/>
              <w:rPr/>
            </w:pPr>
            <w:r>
              <w:rPr/>
              <w:t> </w:t>
            </w:r>
          </w:p>
        </w:tc>
        <w:tc>
          <w:tcPr>
            <w:tcW w:w="6021" w:type="dxa"/>
            <w:tcBorders/>
          </w:tcPr>
          <w:p>
            <w:pPr>
              <w:pStyle w:val="TableContents"/>
              <w:bidi w:val="0"/>
              <w:spacing w:before="0" w:after="283"/>
              <w:jc w:val="left"/>
              <w:rPr/>
            </w:pPr>
            <w:r>
              <w:rPr/>
              <w:t xml:space="preserve">The Indenture (as defined herein) governing the Notes does not limit the amount of debt that we or any of our subsidiaries may incur (whether secured or unsecured) or the amount of preferred stock that we or any of our subsidiaries may issue.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022" w:type="dxa"/>
            <w:tcBorders/>
          </w:tcPr>
          <w:p>
            <w:pPr>
              <w:pStyle w:val="TableContents"/>
              <w:bidi w:val="0"/>
              <w:spacing w:before="0" w:after="283"/>
              <w:jc w:val="left"/>
              <w:rPr/>
            </w:pPr>
            <w:r>
              <w:rPr/>
              <w:t xml:space="preserve">The net proceeds to us from the sale of the Notes, after deducting the underwriting discount and estimated expenses of this offering, are expected to be approximately $    . We intend to use the net proceeds of this offering (i) to repay a portion of our outstanding $500 million unsecured term loan due February 10, 2027 (the “Term Loan”) and (ii) for general corporate purposes. At July 31, 2026, the weighted-average interest rate on the Term Loan was 4.73%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Conflicts of Interest</w:t>
            </w:r>
            <w:r>
              <w:rPr>
                <w:rFonts w:ascii="Times New Roman" w:hAnsi="Times New Roman"/>
                <w:sz w:val="20"/>
              </w:rPr>
              <w:t xml:space="preserve"> </w:t>
            </w:r>
          </w:p>
        </w:tc>
        <w:tc>
          <w:tcPr>
            <w:tcW w:w="602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described under “Use of Proceeds,” a portion of the net proceeds of this offering is expected to be used to repay a portion of the Term Loan. Because certain of the underwriters or their respective affiliates are lenders under the Term Loan and therefore may receive a portion of the net proceeds of this offering, any such underwriter would be deemed to have a conflict of interest under Rule 5121 of the Financial Industry Regulatory Authority, Inc. (“FINRA Rule 5121”) if such underwriter or its affiliates receive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vAlign w:val="center"/>
          </w:tcPr>
          <w:p>
            <w:pPr>
              <w:pStyle w:val="TableContents"/>
              <w:bidi w:val="0"/>
              <w:spacing w:before="0" w:after="283"/>
              <w:jc w:val="left"/>
              <w:rPr/>
            </w:pPr>
            <w:r>
              <w:rPr/>
              <w:t> </w:t>
            </w:r>
          </w:p>
        </w:tc>
        <w:tc>
          <w:tcPr>
            <w:tcW w:w="6021"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least 5% of the net proceeds of this offering. Any underwriter deemed to have a conflict of interest would be required to conduct the distribution of the Notes in accordance with FINRA Rule 5121. If this offering is conducted in accordance with FINRA Rule 5121, such underwriter would not be permitted to confirm a sale to an account over which it exercises discretionary authority without first receiving specific written approval from the account 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vAlign w:val="center"/>
          </w:tcPr>
          <w:p>
            <w:pPr>
              <w:pStyle w:val="TableContents"/>
              <w:bidi w:val="0"/>
              <w:spacing w:before="0" w:after="283"/>
              <w:jc w:val="left"/>
              <w:rPr/>
            </w:pPr>
            <w:r>
              <w:rPr/>
              <w:t> </w:t>
            </w:r>
          </w:p>
        </w:tc>
        <w:tc>
          <w:tcPr>
            <w:tcW w:w="6022" w:type="dxa"/>
            <w:tcBorders/>
          </w:tcPr>
          <w:p>
            <w:pPr>
              <w:pStyle w:val="TableContents"/>
              <w:bidi w:val="0"/>
              <w:spacing w:before="0" w:after="283"/>
              <w:jc w:val="left"/>
              <w:rPr/>
            </w:pPr>
            <w:r>
              <w:rPr/>
              <w:t xml:space="preserve">See the “Use of Proceeds” and “Underwriting (Conflicts of Interest)—Conflicts of Interest” sections of this prospectus supplement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Notes</w:t>
            </w:r>
            <w:r>
              <w:rPr>
                <w:rFonts w:ascii="Times New Roman" w:hAnsi="Times New Roman"/>
                <w:sz w:val="20"/>
              </w:rPr>
              <w:t xml:space="preserve"> </w:t>
            </w:r>
          </w:p>
        </w:tc>
        <w:tc>
          <w:tcPr>
            <w:tcW w:w="6023" w:type="dxa"/>
            <w:tcBorders/>
          </w:tcPr>
          <w:p>
            <w:pPr>
              <w:pStyle w:val="TableContents"/>
              <w:bidi w:val="0"/>
              <w:spacing w:before="0" w:after="283"/>
              <w:jc w:val="left"/>
              <w:rPr/>
            </w:pPr>
            <w:r>
              <w:rPr/>
              <w:t xml:space="preserve">We may, without the consent of the holders of the Notes, create and issue additional Notes ranking equally with the Notes in all respects, including having the same terms (except for the price to public, the issue date, the initial interest accrual date and the first interest payment date, as applicable), as the Notes, so that such additional Notes would be consolidated and form a single series with the Notes, and would have the same terms as to status, redemption or otherwise as the Notes. See the “Description of the Notes—Additional Notes” section of this prospectus supplement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4"/>
        <w:gridCol w:w="6021"/>
      </w:tblGrid>
      <w:tr>
        <w:trPr/>
        <w:tc>
          <w:tcPr>
            <w:tcW w:w="4184" w:type="dxa"/>
            <w:tcBorders/>
          </w:tcPr>
          <w:p>
            <w:pPr>
              <w:pStyle w:val="TableContents"/>
              <w:bidi w:val="0"/>
              <w:spacing w:before="0" w:after="20"/>
              <w:jc w:val="left"/>
              <w:rPr>
                <w:rFonts w:ascii="Times New Roman" w:hAnsi="Times New Roman"/>
                <w:sz w:val="20"/>
              </w:rPr>
            </w:pPr>
            <w:r>
              <w:rPr>
                <w:rFonts w:ascii="Times New Roman" w:hAnsi="Times New Roman"/>
                <w:b/>
                <w:sz w:val="20"/>
              </w:rPr>
              <w:t>No Listing of the Notes</w:t>
            </w:r>
            <w:r>
              <w:rPr>
                <w:rFonts w:ascii="Times New Roman" w:hAnsi="Times New Roman"/>
                <w:sz w:val="20"/>
              </w:rPr>
              <w:t xml:space="preserve"> </w:t>
            </w:r>
          </w:p>
        </w:tc>
        <w:tc>
          <w:tcPr>
            <w:tcW w:w="6021" w:type="dxa"/>
            <w:tcBorders/>
          </w:tcPr>
          <w:p>
            <w:pPr>
              <w:pStyle w:val="TableContents"/>
              <w:bidi w:val="0"/>
              <w:spacing w:before="0" w:after="283"/>
              <w:jc w:val="left"/>
              <w:rPr/>
            </w:pPr>
            <w:r>
              <w:rPr/>
              <w:t xml:space="preserve">We do not intend to list the Notes on any securities exchange or seek their quotation on any automated dealer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2"/>
        <w:gridCol w:w="6023"/>
      </w:tblGrid>
      <w:tr>
        <w:trPr/>
        <w:tc>
          <w:tcPr>
            <w:tcW w:w="4182" w:type="dxa"/>
            <w:tcBorders/>
          </w:tcPr>
          <w:p>
            <w:pPr>
              <w:pStyle w:val="TableContents"/>
              <w:bidi w:val="0"/>
              <w:spacing w:before="0" w:after="20"/>
              <w:jc w:val="left"/>
              <w:rPr>
                <w:rFonts w:ascii="Times New Roman" w:hAnsi="Times New Roman"/>
                <w:sz w:val="20"/>
              </w:rPr>
            </w:pPr>
            <w:r>
              <w:rPr>
                <w:rFonts w:ascii="Times New Roman" w:hAnsi="Times New Roman"/>
                <w:b/>
                <w:sz w:val="20"/>
              </w:rPr>
              <w:t>Trustee</w:t>
            </w:r>
            <w:r>
              <w:rPr>
                <w:rFonts w:ascii="Times New Roman" w:hAnsi="Times New Roman"/>
                <w:sz w:val="20"/>
              </w:rPr>
              <w:t xml:space="preserve"> </w:t>
            </w:r>
          </w:p>
        </w:tc>
        <w:tc>
          <w:tcPr>
            <w:tcW w:w="6023" w:type="dxa"/>
            <w:tcBorders/>
          </w:tcPr>
          <w:p>
            <w:pPr>
              <w:pStyle w:val="TableContents"/>
              <w:bidi w:val="0"/>
              <w:spacing w:before="0" w:after="283"/>
              <w:jc w:val="left"/>
              <w:rPr/>
            </w:pPr>
            <w:r>
              <w:rPr/>
              <w:t xml:space="preserve">The Bank of New York Mellon Trust Company, N.A. (the “Trustee”)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83"/>
        <w:gridCol w:w="6022"/>
      </w:tblGrid>
      <w:tr>
        <w:trPr/>
        <w:tc>
          <w:tcPr>
            <w:tcW w:w="4183"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022" w:type="dxa"/>
            <w:tcBorders/>
          </w:tcPr>
          <w:p>
            <w:pPr>
              <w:pStyle w:val="TableContents"/>
              <w:bidi w:val="0"/>
              <w:spacing w:before="0" w:after="283"/>
              <w:jc w:val="left"/>
              <w:rPr/>
            </w:pPr>
            <w:r>
              <w:rPr/>
              <w:t xml:space="preserve">See the “Risk Factors” beginning on page S-14 of this prospectus supplement and other information incorporated by reference herein for a discussion of factors you should carefully consider before deciding to invest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Consolidated Financial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for the years ended December 31, 2025, December 31, 2024 and December 31, 2023 has been derived from our audited consolidated financial statements and related notes incorporated by reference herein. The summary consolidated financial data for each of the six months ended June 30, 2026 and 2025 has been derived from our unaudited consolidated financial statements. The information set forth below is qualified in its entirety by reference to, and therefore should be read together with, the relevant management’s discussion and analysis of financial condition and results of operations, financial statements and related notes and other financial information incorporated by reference herein.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838"/>
        <w:gridCol w:w="189"/>
        <w:gridCol w:w="140"/>
        <w:gridCol w:w="820"/>
        <w:gridCol w:w="155"/>
        <w:gridCol w:w="149"/>
        <w:gridCol w:w="140"/>
        <w:gridCol w:w="820"/>
        <w:gridCol w:w="155"/>
        <w:gridCol w:w="149"/>
        <w:gridCol w:w="140"/>
        <w:gridCol w:w="819"/>
        <w:gridCol w:w="155"/>
        <w:gridCol w:w="149"/>
        <w:gridCol w:w="140"/>
        <w:gridCol w:w="820"/>
        <w:gridCol w:w="155"/>
        <w:gridCol w:w="149"/>
        <w:gridCol w:w="140"/>
        <w:gridCol w:w="820"/>
        <w:gridCol w:w="163"/>
      </w:tblGrid>
      <w:tr>
        <w:trPr/>
        <w:tc>
          <w:tcPr>
            <w:tcW w:w="383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3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487"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Years</w:t>
            </w:r>
            <w:r>
              <w:rPr/>
              <w:br/>
            </w:r>
            <w:r>
              <w:rPr>
                <w:b/>
              </w:rPr>
              <w:t>Ended December 31,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22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163"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15" w:type="dxa"/>
            <w:gridSpan w:val="18"/>
            <w:tcBorders/>
            <w:vAlign w:val="bottom"/>
          </w:tcPr>
          <w:p>
            <w:pPr>
              <w:pStyle w:val="TableContents"/>
              <w:bidi w:val="0"/>
              <w:spacing w:before="0" w:after="283"/>
              <w:jc w:val="center"/>
              <w:rPr>
                <w:b/>
              </w:rPr>
            </w:pPr>
            <w:r>
              <w:rPr>
                <w:b/>
              </w:rPr>
              <w:t>(in millions, except per share data)</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Statement Data:</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5,961.6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5,847.3</w:t>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5,508.2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2,943.8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2,811.5</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4,428.7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4,379.3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4,225.8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2,244.8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2,176.1</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1,532.9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1,468.0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1,282.4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699.0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635.4</w:t>
            </w:r>
          </w:p>
        </w:tc>
        <w:tc>
          <w:tcPr>
            <w:tcW w:w="163"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891.0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908.0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751.8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388.6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318.7</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29.9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15.6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19.8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19.6</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 earnings of equity method investees, net of income taxes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3.4</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867.9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885.8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743.6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372.7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302.5</w:t>
            </w:r>
          </w:p>
        </w:tc>
        <w:tc>
          <w:tcPr>
            <w:tcW w:w="163" w:type="dxa"/>
            <w:tcBorders/>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6.2</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Evergy, Inc.</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855.6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873.5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731.3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366.5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296.3</w:t>
            </w:r>
          </w:p>
        </w:tc>
        <w:tc>
          <w:tcPr>
            <w:tcW w:w="163" w:type="dxa"/>
            <w:tcBorders/>
            <w:vAlign w:val="bottom"/>
          </w:tcPr>
          <w:p>
            <w:pPr>
              <w:pStyle w:val="TableContents"/>
              <w:bidi w:val="0"/>
              <w:spacing w:before="0" w:after="283"/>
              <w:jc w:val="left"/>
              <w:rPr/>
            </w:pPr>
            <w:r>
              <w:rPr/>
              <w:t> </w:t>
            </w:r>
          </w:p>
        </w:tc>
      </w:tr>
      <w:tr>
        <w:trPr>
          <w:trHeight w:val="120" w:hRule="atLeast"/>
        </w:trPr>
        <w:tc>
          <w:tcPr>
            <w:tcW w:w="3838" w:type="dxa"/>
            <w:tcBorders/>
            <w:vAlign w:val="center"/>
          </w:tcPr>
          <w:p>
            <w:pPr>
              <w:pStyle w:val="TableContents"/>
              <w:bidi w:val="0"/>
              <w:spacing w:before="0" w:after="283"/>
              <w:jc w:val="left"/>
              <w:rPr>
                <w:sz w:val="4"/>
                <w:szCs w:val="4"/>
              </w:rPr>
            </w:pPr>
            <w:r>
              <w:rPr>
                <w:sz w:val="4"/>
                <w:szCs w:val="4"/>
              </w:rPr>
            </w:r>
          </w:p>
        </w:tc>
        <w:tc>
          <w:tcPr>
            <w:tcW w:w="1304"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63"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r>
      <w:tr>
        <w:trPr/>
        <w:tc>
          <w:tcPr>
            <w:tcW w:w="3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 Share Data:</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basic common shares outstanding</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230.5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230.3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230.0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230.8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230.4</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diluted common shares outstanding</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233.6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230.6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230.5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236.1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232.4</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3.71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3.79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3.18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1.29</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3.79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3.17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1.55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1.28</w:t>
            </w:r>
          </w:p>
        </w:tc>
        <w:tc>
          <w:tcPr>
            <w:tcW w:w="163" w:type="dxa"/>
            <w:tcBorders/>
            <w:shd w:fill="CCEEFF" w:val="clear"/>
            <w:vAlign w:val="bottom"/>
          </w:tcPr>
          <w:p>
            <w:pPr>
              <w:pStyle w:val="TableContents"/>
              <w:bidi w:val="0"/>
              <w:spacing w:before="0" w:after="283"/>
              <w:jc w:val="left"/>
              <w:rPr/>
            </w:pPr>
            <w:r>
              <w:rPr/>
              <w:t> </w:t>
            </w:r>
          </w:p>
        </w:tc>
      </w:tr>
      <w:tr>
        <w:trPr>
          <w:trHeight w:val="120" w:hRule="atLeast"/>
        </w:trPr>
        <w:tc>
          <w:tcPr>
            <w:tcW w:w="3838" w:type="dxa"/>
            <w:tcBorders/>
            <w:vAlign w:val="center"/>
          </w:tcPr>
          <w:p>
            <w:pPr>
              <w:pStyle w:val="TableContents"/>
              <w:bidi w:val="0"/>
              <w:spacing w:before="0" w:after="283"/>
              <w:jc w:val="left"/>
              <w:rPr>
                <w:sz w:val="4"/>
                <w:szCs w:val="4"/>
              </w:rPr>
            </w:pPr>
            <w:r>
              <w:rPr>
                <w:sz w:val="4"/>
                <w:szCs w:val="4"/>
              </w:rPr>
            </w:r>
          </w:p>
        </w:tc>
        <w:tc>
          <w:tcPr>
            <w:tcW w:w="1304"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63"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 Data:</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2,045.2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1,983.7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1,980.2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711.1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773.5</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Cash flows used in investing activities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(2,570.1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(2,261.8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(2,471.7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(1,628.5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(1,235.4</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522.0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280.3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494.0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917.7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467.0</w:t>
            </w:r>
          </w:p>
        </w:tc>
        <w:tc>
          <w:tcPr>
            <w:tcW w:w="163" w:type="dxa"/>
            <w:tcBorders/>
            <w:shd w:fill="CCEEFF" w:val="clear"/>
            <w:vAlign w:val="bottom"/>
          </w:tcPr>
          <w:p>
            <w:pPr>
              <w:pStyle w:val="TableContents"/>
              <w:bidi w:val="0"/>
              <w:spacing w:before="0" w:after="283"/>
              <w:jc w:val="left"/>
              <w:rPr/>
            </w:pPr>
            <w:r>
              <w:rPr/>
              <w:t> </w:t>
            </w:r>
          </w:p>
        </w:tc>
      </w:tr>
      <w:tr>
        <w:trPr>
          <w:trHeight w:val="120" w:hRule="atLeast"/>
        </w:trPr>
        <w:tc>
          <w:tcPr>
            <w:tcW w:w="3838" w:type="dxa"/>
            <w:tcBorders/>
            <w:vAlign w:val="center"/>
          </w:tcPr>
          <w:p>
            <w:pPr>
              <w:pStyle w:val="TableContents"/>
              <w:bidi w:val="0"/>
              <w:spacing w:before="0" w:after="283"/>
              <w:jc w:val="left"/>
              <w:rPr>
                <w:sz w:val="4"/>
                <w:szCs w:val="4"/>
              </w:rPr>
            </w:pPr>
            <w:r>
              <w:rPr>
                <w:sz w:val="4"/>
                <w:szCs w:val="4"/>
              </w:rPr>
            </w:r>
          </w:p>
        </w:tc>
        <w:tc>
          <w:tcPr>
            <w:tcW w:w="1304"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63" w:type="dxa"/>
            <w:gridSpan w:val="4"/>
            <w:tcBorders/>
            <w:vAlign w:val="center"/>
          </w:tcPr>
          <w:p>
            <w:pPr>
              <w:pStyle w:val="TableContents"/>
              <w:bidi w:val="0"/>
              <w:spacing w:before="0" w:after="283"/>
              <w:jc w:val="left"/>
              <w:rPr>
                <w:sz w:val="4"/>
                <w:szCs w:val="4"/>
              </w:rPr>
            </w:pPr>
            <w:r>
              <w:rPr>
                <w:sz w:val="4"/>
                <w:szCs w:val="4"/>
              </w:rPr>
            </w:r>
          </w:p>
        </w:tc>
        <w:tc>
          <w:tcPr>
            <w:tcW w:w="1264"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Financial Data:</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1,162.9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1,114.0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1,076.5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609.6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576.5</w:t>
            </w:r>
          </w:p>
        </w:tc>
        <w:tc>
          <w:tcPr>
            <w:tcW w:w="163" w:type="dxa"/>
            <w:tcBorders/>
            <w:shd w:fill="CCEEFF" w:val="clear"/>
            <w:vAlign w:val="bottom"/>
          </w:tcPr>
          <w:p>
            <w:pPr>
              <w:pStyle w:val="TableContents"/>
              <w:bidi w:val="0"/>
              <w:spacing w:before="0" w:after="283"/>
              <w:jc w:val="left"/>
              <w:rPr/>
            </w:pPr>
            <w:r>
              <w:rPr/>
              <w:t> </w:t>
            </w:r>
          </w:p>
        </w:tc>
      </w:tr>
      <w:tr>
        <w:trPr/>
        <w:tc>
          <w:tcPr>
            <w:tcW w:w="383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nuclear fuel</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55.2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56.5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62.4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33.7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32.4</w:t>
            </w:r>
          </w:p>
        </w:tc>
        <w:tc>
          <w:tcPr>
            <w:tcW w:w="163" w:type="dxa"/>
            <w:tcBorders/>
            <w:vAlign w:val="bottom"/>
          </w:tcPr>
          <w:p>
            <w:pPr>
              <w:pStyle w:val="TableContents"/>
              <w:bidi w:val="0"/>
              <w:spacing w:before="0" w:after="283"/>
              <w:jc w:val="left"/>
              <w:rPr/>
            </w:pPr>
            <w:r>
              <w:rPr/>
              <w:t> </w:t>
            </w:r>
          </w:p>
        </w:tc>
      </w:tr>
      <w:tr>
        <w:trPr/>
        <w:tc>
          <w:tcPr>
            <w:tcW w:w="3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(2,796.9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(2,336.6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(2,334.0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(1,811.8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(1,220.1</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toc1941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is subject to various risks. These risks should be considered carefully with the information provided elsewhere and incorporated by reference herein before deciding to invest in the Notes. In addition to the risk factors set forth below, please read the information included or incorporated by reference under “Risk Factors” and “Cautionary Statements Regarding Certain Forward-Looking Information” in this prospectus supplement and our Annual Report on Form 10-K for the year ended December 31, 2025 for a description of additional uncertainties associated with our business, results of operations and financial condition and the forward-looking statements included or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our obligations exclusively and not of our subsidiaries and will be subordinated to all our other indebtedness (other than the Existing Junior Subordinated Notes and any other unsecured indebtedness that we may incur in the future that ranks equally with or junior to the Notes in right of payment) and structurally subordinated to the claims of our subsidiaries’ creditors.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Indenture, the Notes will be subordinated in right of payment to all of our existing and future Senior Indebtedness. This means that, in the event of (a) our dissolution, winding-up, liquidation or reorganization, (b) our failure to pay any interest, principal or other monetary amounts due on any of our Senior Indebtedness when due (and continuance of that default beyond any applicable grace period) or (c) acceleration of the maturity of any of our Senior Indebtedness as a result of a default, we will not be permitted to make any payments on the Notes until, in the case of clause (a) above, all amounts due or to become due on all of our Senior Indebtedness have been paid in full, or, in the case of clauses (b) and (c) above, all amounts due on our Senior Indebtedness have been paid in full. For additional information about the subordination of the Notes to our Senior Indebtedness, see “Description of the Notes—Subordination” in this prospectus supplement. As of June 30, 2026, we had approximately $3.8 billion in outstanding Senior Indebtedness (all of which was unsecured, and excluding long-term debt fair value adjustments), which included guarantees of $0.7 billion of our subsidiaries’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obligations, and not of any of our subsidiaries. We are a holding company and, accordingly, we conduct substantially all of our operations through our operating subsidiaries. As a result, our cash flow and our ability to service our debt, including the Notes, depend upon the earnings of our operating subsidiaries and on the distribution of earnings, loans or other payments by such subsidiaries to us. </w:t>
      </w:r>
    </w:p>
    <w:p>
      <w:pPr>
        <w:pStyle w:val="TextBody"/>
        <w:bidi w:val="0"/>
        <w:spacing w:before="240" w:after="0"/>
        <w:jc w:val="left"/>
        <w:rPr>
          <w:rFonts w:ascii="Times New Roman" w:hAnsi="Times New Roman"/>
          <w:sz w:val="20"/>
        </w:rPr>
      </w:pPr>
      <w:r>
        <w:rPr>
          <w:rFonts w:ascii="Times New Roman" w:hAnsi="Times New Roman"/>
          <w:sz w:val="20"/>
        </w:rPr>
        <w:t xml:space="preserve">Our operating subsidiaries are separate and distinct legal entities and have no obligation to pay any amounts due on the Notes or to provide us with funds for our payment obligations, whether by dividends, distributions, loans or other payments. In addition, any payment of dividends, distributions, loans or advances by our subsidiaries to us could be subject to statutory or contractual restrictions. Payments to us by our operating subsidiaries will also be contingent upon such subsidiaries’ earnings and business considerations. As of June 30, 2026, our subsidiaries had outstanding approximately $21.2 billion of total liabilities (excluding intercompany indebtedness, long-term debt fair value adjustments and debt of variable interest entities), which included approximately $10.7 billion, including current maturities, of total long-term debt, excluding unused commitments and contractual obligations and other commitments. </w:t>
      </w:r>
    </w:p>
    <w:p>
      <w:pPr>
        <w:pStyle w:val="TextBody"/>
        <w:bidi w:val="0"/>
        <w:spacing w:before="240" w:after="0"/>
        <w:jc w:val="left"/>
        <w:rPr>
          <w:rFonts w:ascii="Times New Roman" w:hAnsi="Times New Roman"/>
          <w:sz w:val="20"/>
        </w:rPr>
      </w:pPr>
      <w:r>
        <w:rPr>
          <w:rFonts w:ascii="Times New Roman" w:hAnsi="Times New Roman"/>
          <w:sz w:val="20"/>
        </w:rPr>
        <w:t xml:space="preserve">Our right to receive any assets of any of our subsidiaries upon their liquidation or reorganization, and therefore the rights of the holders of the Notes to participate in those assets, will be structurally subordinated to the claims of that subsidiary’s creditors. In addition, even if we were a creditor of any of our subsidiaries, our rights as a creditor would be subordinate to any security interest in the assets of our subsidiaries and any indebtedness of our subsidiaries senior to that held by us. There is no limitation on the ability of our subsidiaries to incur additional indebtedness to which the Notes will be structurally subordinated. Additionally, if any of our subsidiaries were to issue preferred stock in the future, the Notes would similarly be structurally subordinated to the rights of the preferred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the subordination of the Notes to our Senior Indebtedness and the effective subordination of the Notes to any of our secured indebtedness, if our assets are distributed upon our dissolution, winding-up, liquidation or reorganization, holders of our Senior Indebtedness and any secured indebtedness would likely recover more, ratably, than the holders of the Notes, and it is possible that no payments would be made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Factors—Financial Risks—Evergy is a holding company and relies on the earnings of its subsidiaries to meet its financial obligations” in Evergy, Inc.’s Annual Report on Form 10-K for the year ended December 31, 2025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rank equally in right of payment with the Existing Junior Subordinated Notes and any of our other unsecured indebtedness that we may incur from time to time in the future if the terms of such indebtedness provide that it ranks equally with the Notes in right of payment. As of June 30, 2026, $500 million aggregate principal amount of the Existing Junior Subordinated Notes was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Senior Indebtedness or secured indebtedness that we may incur or the amount of other indebtedness or liabilities that we or our subsidiaries may incur.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the Notes and a risk that one or more of the credit ratings of the Notes could be lowered or withdrawn.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Servicing our debt requires a significant amount of cash, and we may not have sufficient cash flow from our business to pay our substantial debt.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 defer interest payments on the Notes for one or more Optional Deferral Periods of up to 20 consecutive semi-annual Interest Payment Periods each. This may affect the market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So long as no event of default (as defined below under “Description of the Notes—Events of Default”) with respect to the Notes has occurred and is continuing, we may, at our option, defer interest payments on the Notes, from time to time, for one or more Optional Deferral Periods of up to 20 consecutive semi-annual Interest Payment Periods each, except that no such Optional Deferral Period may extend beyond the final maturity date of the Notes or end on a day other than the day immediately preceding an interest payment date. In other words, we may declare at our discretion up to a ten-year interest payment moratorium on the Notes and may choose to do that on one or more occasions. Moreover, following the end of any Optional Deferral Period, if all amounts then due on the Notes are paid, we could immediately start a new Optional Deferral Period of up to 20 consecutive semi-annual Interest Payment Periods. No interest will be paid or payable on the Notes during any Optional Deferral Period unless we elect, at our option, to redeem Notes during such Optional Deferral Period, in which case accrued and unpaid interest to, but excluding, the redemption date will be due and payable on such redemption date only on the Notes being redeemed, or unless the principal of and interest on the Notes shall have been declared due and payable as a result of an event of default with respect to the Notes, in which case all accrued and unpaid interest on the Notes shall become due and payable. Instead, interest on the Notes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but would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would accrue at the then-applicable interest rate on the Notes (as reset from time to time on any Reset Date occurring during such Optional Deferral Period in accordance with the terms of the Notes), compounded semi-annually, to the extent permitted by applicable law. If we exercise this interest deferral right, the Notes may trade at a price that does not reflect the value of accrued and unpaid interest on the Notes or that is otherwise substantially less than the price at which the Notes would have traded if we had not exercised such deferral right. If we exercise this interest deferral right and you sell your Notes during an Optional Deferral Period, you may not receive the same return on your investment as a holder that continues to hold its Notes until we pay the deferred interest following the end of such Optional Deferral Period. In addition, as a result of our right to defer interest payments, the market price of the Notes may be more volatile than other securities that do not have these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election to defer interest payments on the Existing Junior Subordinated Notes will impact our ability to make interest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supplemental indenture governing the Existing Junior Subordinated Notes, if we elect to defer interest payments on the Existing Junior Subordinated Notes, we will not be permitted to make payments on debt securities that rank equally with, or junior to, the Existing Junior Subordinated Notes in right of payment. Accordingly, if we elect to defer interest payments on the Existing Junior Subordinated Notes while the Notes offered hereby remain outstanding, we would be prohibited from making payments on, and would likely elect to also defer interest payments on, the Notes offered 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subject to U.S. federal income taxation may have to pay taxes on interest before they receive payments from us. </w:t>
      </w:r>
    </w:p>
    <w:p>
      <w:pPr>
        <w:pStyle w:val="TextBody"/>
        <w:bidi w:val="0"/>
        <w:spacing w:before="120" w:after="0"/>
        <w:jc w:val="left"/>
        <w:rPr>
          <w:rFonts w:ascii="Times New Roman" w:hAnsi="Times New Roman"/>
          <w:sz w:val="20"/>
        </w:rPr>
      </w:pPr>
      <w:r>
        <w:rPr>
          <w:rFonts w:ascii="Times New Roman" w:hAnsi="Times New Roman"/>
          <w:sz w:val="20"/>
        </w:rPr>
        <w:t xml:space="preserve">If we defer interest payments on the Notes, a holder of the Notes subject to U.S. federal income tax on a net income basis will be required to accrue interest income for U.S. federal income tax purposes in respect of such holder’s proportionate share of the accrued but unpaid interest on the Notes, even if such holder normally reports income when received. As a result, a holder will be required to include the accrued interest in such holder’s gross income for U.S. federal income tax purposes even though such holder will not have received any cash. A holder’s adjusted tax basis in a Note generally will be increased by such amounts that it was required to include in gross income. In addition, unpaid interest accrued on the Notes during an Optional Deferral Period will be payable on the interest payment date immediately following the last day of such Optional Deferral Period. If a holder sells its Notes on or before the record date for such interest payment date, then all of the interest accrued on such Notes during the Optional Deferral Period will be paid to the person who is the registered owner of those Notes at the close of business on such record date, and the holder who sold those Notes will not receive from us any of the interest that accrued on those Notes during the Optional Deferral Period and that such holder reported as income for U.S. federal income tax purposes. Holders should consult with their own tax advisors regarding the tax consequences of an investment in the Notes. For more information regarding the U.S. tax consequences of purchasing, owning and disposing of the Notes, see “Material U.S. Federal Income Tax Considerations.”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will have limited rights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Notes and the Trustee under the Indenture may accelerate payment of the principal and interest on the Notes only upon the occurrence and continuation of certain events of default. Payment of principal and interest on the Notes may be accelerated upon the occurrence of an event of default under the Indenture related to failure to pay interest within 30 days after it is due, failure to pay principal or premium, if any, on the Notes within one business day of when due, and certain events of bankruptcy, insolvency, receivership or reorganization relating to us (but not our subsidiaries). Holders of the Notes and the Trustee will not have the right to accelerate payment of the principal or interest on the Notes upon the breach of any other covenant in the Indenture. See “Description of the Notes—Option to Defer Interest Payments,” “Description of the Notes—Events of Default” and “Description of the Notes—Limitation on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terms of the Indenture and the Notes do not provide protection against certain significant events that could adversely impact a holder’s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Indenture and the Notes do not restrict our ability to engage in, or to otherwise be a party to, a variety of corporate transactions, circumstances and events that could have an adverse impact on an investment in the Notes. In particular, the Indenture governing the Notes does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the holders of the Notes to require us to repurchase the Notes in the event we undergo a change of control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 or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unsecured indebtedness;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subsidiaries’ ability to issue securities or otherwise incur indebtedness or other obligations that would be senior to our equity interests in our subsidiaries and therefore rank structurally senior to the Notes with respect to the assets of our subsidiaries.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guarantee that an active trading market for the Notes will exist or that you will be able to sell your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constitute a new issue of securities without an established trading market and a market may not develop for the Notes. As a result, you may not be able to sell your Notes. Accordingly, you may be required to bear the financial risk of an investment in the Notes for an indefinite period of time. In addition, the condition of the financial markets and prevailing interest rates have fluctuated in the past and are likely to fluctuate in the future, which could have an adverse effect on the market price of the Notes. We have been advised by the underwriters that they may make a market in the Notes, but they have no obligation to do so and may discontinue market making at any time without providing notice. There can be no assurance that a market for the Notes will develop or, if it does develop, that it will continue. If an active public market does not develop or does not continue, the market price and liquidity of the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do not intend to apply for listing of the Notes on any securities exchange or seek their quotation on any automated dealer quotation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trading markets do develop, changes in our ratings or the financial markets could adversely affect the market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Notes will depend on many factors, including,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ratings on our debt securities assigned by rating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until maturity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prevailing interest rates being paid by other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cash flows, and financial position and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 of the financial markets.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fluctuate in the future, which could have an adverse effect on the market price of the Notes. In general, as market interest rates rise, debt securities bearing interest at fixed rates decline in value. Consequently, if market interest rates increase, the market value of your Notes may decline. We cannot predict the future level of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Rating agencies continually review the ratings they have assigned to companies and debt securities. Negative changes in the ratings assigned to us or our debt securities could have an adverse effect on the market price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Rating agencies may change their practices for rating the Notes, which change may affect the market price of the Notes. In addition, we may redeem the Notes if a rating agency makes certain changes in the equity credit methodology for securities such as the Notes. </w:t>
      </w:r>
    </w:p>
    <w:p>
      <w:pPr>
        <w:pStyle w:val="TextBody"/>
        <w:bidi w:val="0"/>
        <w:spacing w:before="120" w:after="0"/>
        <w:jc w:val="left"/>
        <w:rPr>
          <w:rFonts w:ascii="Times New Roman" w:hAnsi="Times New Roman"/>
          <w:sz w:val="20"/>
        </w:rPr>
      </w:pPr>
      <w:r>
        <w:rPr>
          <w:rFonts w:ascii="Times New Roman" w:hAnsi="Times New Roman"/>
          <w:sz w:val="20"/>
        </w:rPr>
        <w:t xml:space="preserve">The rating agencies that currently or may in the future publish a rating for us, including Moody’s Investors Service, Inc. and S&amp;P Global Ratings, each of which is expected to initially publish a rating of the Notes, may, from time to time in the future, change the way they analyze securities with features similar to the Notes. This may include, for example, changes to the relationship between ratings assigned to an issuer’s senior securities and ratings assigned to subordinated securities with features similar to the Notes. If any rating agencies change their practices for rating these types of securities in the future, and the ratings of the Notes are subsequently lowered, the trading price of the Notes could be negatively affected. In addition, we may redeem the Notes, at our option, in whole but not in part, if a rating agency makes certain changes in the equity credit methodology for securities such as the Notes. See “Description of the Notes—Redemption—Redemption Following a Rating Agency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investments in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credit ratings are an assessment by rating agencies of our ability to pay our debts when due. Consequently, real or anticipated changes in our credit ratings will generally affect the market value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These credit ratings may not reflect the potential impact of risks relating to the structure or marketing of the Notes. Agency ratings are not a recommendation to buy, sell or hold any security, and may be revised or withdrawn at any time by the issuing organization. Each rating agency’s rating should be evaluated independently of any other rating agency’s rating.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choose to redeem the Notes prior to maturity.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redeem the Notes in whole or in part at the times and the applicable redemption price described in this prospectus supplement. See “Description of the Notes—Redemption.” We may choose to redeem your Notes at a time when prevailing interest rates are lower than the interest rate paid on your Notes. If prevailing interest rates are lower at the time of redemption, you may not be able to reinvest the redemption proceeds in a comparable security at an effective interest rate as high as the interest rate of the Notes being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should not expect us to redeem the Notes on the first or any other date on which they are redeemable.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our option, in whole or in part, (i) on any day in the period commencing on the date falling 90 days prior to the First Reset Date and ending on and including the First Reset Date and (ii) after the First Reset Date, on any interest payment date, at a redemption price in cash equal to 100% of the principal amount of the Notes being redeemed, plus, subject to the terms described in the first paragraph under “Description of the Notes—Redemption—Redemption Procedures; Cancellation of Redemption” in this prospectus supplement, accrued and unpaid interest on the Notes to be redeemed to, but excluding, the redemption date. In addition, the Notes may be redeemed by us at our option, in whole but not in part, following the occurrence and during the continuance of a Tax Event or a Rating Agency Event or following the occurrence of a Tax Credit Event (as those terms are defined under “Description of the Notes—Redemption” in this prospectus supplement). Any decision we may make at any time to redeem the Notes before their final maturity date will depend upon, among other things, the strength of our balance sheet, our results of operations, our access to the capital markets, interest rates, our growth strategy, and general market conditions at such time. Accordingly, while we may decide to do so, investors should not expect us to redeem the Notes on the first or any other date on which they are redeemable.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Although it is not possible for the interest rate on the Notes to decrease below the interest rate as in effect during the Initial Fixed Period, the interest rate on the Notes will fluctuate over time.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on the Notes from their original issue date to the First Reset Date will be % per annum. Beginning on the First Reset Date, the interest rate on the Notes for each Reset Period will equal the Five-year U.S. Treasury Rate as of the most recent Reset Interest Determination Date plus a spread of %, to be reset on each Reset Date; provided that the interest rate during any Reset Period will not reset below % per annum (which is the same interest rate as in effect during the Initial Fixed Period). Therefore, although it is not possible for the interest rate to decrease below the interest rate as in effect during the Initial Fixed Period, the interest rate for a given Reset Period subsequent to such Initial Fixed Period could be less than the interest rate for any previous Reset Period. We have no control over the factors that may affect U.S. Treasury rates, including geopolitical, economic, financial, political, regulatory, judicial or other conditions or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historical Five-year U.S. Treasury Rates are not an indication of future Five-year U.S. Treasury Rates.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the interest rate on the Notes for each Reset Period will be set by reference to the Five-year U.S. Treasury Rate as of the most recent Reset Interest Determination Date (provided that the interest rate during any Reset Period will not reset below % per annum (which is the same interest rate as in effect during the Initial Fixed Period)). In the past, U.S. Treasury rates have experienced significant fluctuations. You should note that historical levels, fluctuations and trends of U.S. Treasury rates are not necessarily indicative of future levels. Any historical upward or downward trend in U.S. Treasury rates is not an indication that U.S. Treasury rates are more or less likely to increase or decrease at any time in the future and you should not take historical U.S. Treasury rates as an indication of future U.S. Treasury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Tax Credit Event occurs, we may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If a Tax Credit Event occurs, we may redeem at our option the Notes as described under “Description of the Notes—Redemption—Redemption Following a Tax Credit Event.” A “Tax Credit Event” occurs with respect to the Notes if, in our reasonable determination, there exists a material risk, due to the Notes (considered together with other debt) having been issued, as part of an original issuance, to one or more “specified foreign entities,” as defined in Section 7701(a)(51)(B) of the Internal Revenue Code of 1986, as amended (the “Code”), that we or any of our 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certain subsidiaries, measured by more than 50% ownership of stock (by vote or value) in a corporation, profits interests or capital interests in a partnership, or beneficial interests in another entity, (v) certain Chinese military companies described under Section 1260H of the William M. (Mac) Thornberry National Defense Authorization Act for Fiscal Year 2021, (vi) Contemporary Amperex 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Notes for this reason would be at a redemption price equal to 101% of the principal amount of the Notes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a Tax Credit Event occurs, and your Notes are redeemed, such redemption may adversely affect your anticipated return. We may exercise such redemption right when prevailing interest rates are relatively low. As a result, you may not be able to reinvest the redemption proceeds in a comparable security at an interest rate as high as that of the Notes that are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toc1941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the sale of the Notes, after deducting the underwriting discount and estimated expenses of this offering, are expected to be approximately $    . We intend to use the net proceeds of this offering (i) to repay a portion of the Term Loan, and (ii) for general corporate purposes. At July 31, 2026, the weighted-average interest rate on the Term Loan was 4.73% per annum.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or their respective affiliates are lenders under the Term Loan and therefore may receive a portion of the net proceeds of this offering. See “Underwriting (Conflicts of Interest)—Conflicts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toc19416_7"/>
      <w:bookmarkEnd w:id="9"/>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particular terms of the Notes supplements and, to the extent inconsistent therewith, replaces the description of the general terms and provisions of the Notes set forth in the accompanying prospectus under “Description of Debt Securities,” to which reference is hereby made. Whenever a defined term is referred to and not herein defined, the definition thereof is contained in the accompanying prospectus or in the Indenture referred to therein. As used in this section, references to “Evergy,” “we,” “us” and “our” mean Evergy, Inc. excluding our subsidiaries, unless expressly stated or the context clearly indicates otherwise.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together with the “Description of Debt Securities” in the accompanying prospectus, is a summary of the material provisions of the Notes and the Indenture and does not purport to be complete. This summary is subject to and is qualified by reference to all the provisions of the Notes and the Indenture, including the definition of certain terms used in the Indenture. We urge you to read the Indenture because it, and not this description, defines your rights as a holder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Maturity, Interest and Payment </w:t>
      </w:r>
    </w:p>
    <w:p>
      <w:pPr>
        <w:pStyle w:val="TextBody"/>
        <w:bidi w:val="0"/>
        <w:spacing w:before="120" w:after="0"/>
        <w:jc w:val="left"/>
        <w:rPr>
          <w:rFonts w:ascii="Times New Roman" w:hAnsi="Times New Roman"/>
          <w:sz w:val="20"/>
        </w:rPr>
      </w:pPr>
      <w:r>
        <w:rPr>
          <w:rFonts w:ascii="Times New Roman" w:hAnsi="Times New Roman"/>
          <w:sz w:val="20"/>
        </w:rPr>
        <w:t xml:space="preserve">The Notes constitute a single series of debt securities to be issued pursuant to a subordinated indenture, dated as of May 18, 2009, by and between us and The Bank of New York Mellon Trust Company, N.A., as trustee (the “Trustee”), as previously amended and supplemented, and as to be further amended and supplemented by Supplemental Indenture No. 5 by and between us and the Trustee (as so amended and supplemented, the “Indenture”). The terms of the Notes include those expressly set forth in the Indenture and those made part of the Indenture by reference to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limited to $    aggregate principal amount and will mature on February 15, 2057, subject to earlier redemption at our option as described under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bear interest (i) from and including August , 2026 (the “original issue date”) to, but excluding, February 15, 2032 at the rate of % per annum and (ii) from and including February 15, 2032 (the “First Reset Date”), during each Reset Period (as defined below) at a rate per annum equal to the Five-year U.S. Treasury Rate (as defined below) as of the most recent Reset Interest Determination Date (as defined below) plus a spread of %, to be reset on each Reset Date (as defined below); provided that the interest rate during any Reset Period will not reset below % per annum (which is the same interest rate as in effect from and including the original issue date to, but excluding, the First Reset Date (the “Initial Fixed Period”)). Interest on the Notes will accrue from the original issue date and will be payable semi-annually in arrears on February 15 and August 15 (each, an “interest payment date”) of each year, beginning on February 15, 2027, to the holders of record at the close of business on the record date for the applicable interest payment date, which will be (i) the business day immediately preceding such interest payment date so long as all of the Notes remain in book-entry only form or (ii) the 15th calendar day preceding such interest payment date (whether or not a business day) if any of the Notes do not remain in book-entry only form (each, a “record date”), subject to our right to defer interest payments as described below under “—Option to Defer Interest Payments.” 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interest rate for each Reset Period will be determined by the calculation agent (as defined below), as of the applicable Reset Interest Determination Date, in accordance with the following provisions: </w:t>
      </w:r>
    </w:p>
    <w:p>
      <w:pPr>
        <w:pStyle w:val="TextBody"/>
        <w:bidi w:val="0"/>
        <w:spacing w:before="240" w:after="0"/>
        <w:jc w:val="left"/>
        <w:rPr/>
      </w:pPr>
      <w:r>
        <w:rPr/>
        <w:t>“</w:t>
      </w:r>
      <w:r>
        <w:rPr>
          <w:rFonts w:ascii="Times New Roman" w:hAnsi="Times New Roman"/>
          <w:sz w:val="20"/>
        </w:rPr>
        <w:t xml:space="preserve">Five-year U.S. Treasury Rate” means, as of any Reset Interest Determination Date, (i) an interest rate (expressed as a decimal) determined to be the per annum rate equal to the arithmetic mean of the yields to maturity for U.S. Treasury securities adjusted to constant maturity with a maturity of five years from the next Reset Date and trading in the public securities markets, for the five consecutive business days immediately prior to the respective Reset Interest Determination Date as published (or, if fewer than five consecutive business days are so published on the applicable Reset Interest Determination Date, for such number of business days published) in the most recent H.15, or (ii) if there is no such published U.S. Treasury security with a maturity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five years from the next Reset Date and trading in the public securities markets, then the rate will be determined by interpolation between the arithmetic mean of the yields to maturity for each of the two series of U.S. Treasury securities adjusted to constant maturity trading in the public securities markets,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consecutive business days immediately prior to the respective Reset Interest Determination Date as published in the most recent H.15. If the Five-year U.S. Treasury Rate cannot be determined pursuant to the methods described in clause (i) or (ii) above, then the Five-year U.S. Treasury Rate will be the same interest rate determined for the prior Reset Interest Determination Date or, if the Five-year U.S. Treasury Rate cannot be so determined as of the Reset Interest Determination Date preceding the First Reset Date, then the interest rate applicable for the Reset Period beginning on and including the First Reset Date will be deemed to be % per annum, which is the same interest rate as in effect from and including the original issue date to, but excluding, the First Reset Date. </w:t>
      </w:r>
    </w:p>
    <w:p>
      <w:pPr>
        <w:pStyle w:val="TextBody"/>
        <w:bidi w:val="0"/>
        <w:spacing w:before="240" w:after="0"/>
        <w:jc w:val="left"/>
        <w:rPr/>
      </w:pPr>
      <w:r>
        <w:rPr/>
        <w:t>“</w:t>
      </w:r>
      <w:r>
        <w:rPr>
          <w:rFonts w:ascii="Times New Roman" w:hAnsi="Times New Roman"/>
          <w:sz w:val="20"/>
        </w:rPr>
        <w:t xml:space="preserve">H.15” means the statistical release designated as such, or any successor publication, published by the Board of Governors of the U.S. Federal Reserve System (or any successor thereto). </w:t>
      </w:r>
    </w:p>
    <w:p>
      <w:pPr>
        <w:pStyle w:val="TextBody"/>
        <w:bidi w:val="0"/>
        <w:spacing w:before="240" w:after="0"/>
        <w:jc w:val="left"/>
        <w:rPr>
          <w:rFonts w:ascii="Times New Roman" w:hAnsi="Times New Roman"/>
          <w:sz w:val="20"/>
        </w:rPr>
      </w:pPr>
      <w:r>
        <w:rPr>
          <w:rFonts w:ascii="Times New Roman" w:hAnsi="Times New Roman"/>
          <w:sz w:val="20"/>
        </w:rPr>
        <w:t xml:space="preserve">The “most recent H.15” means the H.15 published closest in time but prior to the close of business on the second business day prior to the applicable Reset Date. </w:t>
      </w:r>
    </w:p>
    <w:p>
      <w:pPr>
        <w:pStyle w:val="TextBody"/>
        <w:bidi w:val="0"/>
        <w:spacing w:before="240" w:after="0"/>
        <w:jc w:val="left"/>
        <w:rPr/>
      </w:pPr>
      <w:r>
        <w:rPr/>
        <w:t>“</w:t>
      </w:r>
      <w:r>
        <w:rPr>
          <w:rFonts w:ascii="Times New Roman" w:hAnsi="Times New Roman"/>
          <w:sz w:val="20"/>
        </w:rPr>
        <w:t xml:space="preserve">Reset Date” means the First Reset Date and February 15 of every fifth year after 2032. </w:t>
      </w:r>
    </w:p>
    <w:p>
      <w:pPr>
        <w:pStyle w:val="TextBody"/>
        <w:bidi w:val="0"/>
        <w:spacing w:before="240" w:after="0"/>
        <w:jc w:val="left"/>
        <w:rPr/>
      </w:pPr>
      <w:r>
        <w:rPr/>
        <w:t>“</w:t>
      </w:r>
      <w:r>
        <w:rPr>
          <w:rFonts w:ascii="Times New Roman" w:hAnsi="Times New Roman"/>
          <w:sz w:val="20"/>
        </w:rPr>
        <w:t xml:space="preserve">Reset Interest Determination Date” means, in respect of any Reset Period, the day falling two business days prior to the first day of such Reset Period. </w:t>
      </w:r>
    </w:p>
    <w:p>
      <w:pPr>
        <w:pStyle w:val="TextBody"/>
        <w:bidi w:val="0"/>
        <w:spacing w:before="240" w:after="0"/>
        <w:jc w:val="left"/>
        <w:rPr/>
      </w:pPr>
      <w:r>
        <w:rPr/>
        <w:t>“</w:t>
      </w:r>
      <w:r>
        <w:rPr>
          <w:rFonts w:ascii="Times New Roman" w:hAnsi="Times New Roman"/>
          <w:sz w:val="20"/>
        </w:rPr>
        <w:t xml:space="preserve">Reset Period” means the period from and including the First Reset Date to, but excluding, the next following Reset Date and thereafter each period from and including a Reset Date to, but excluding, the next following Reset Date. </w:t>
      </w:r>
    </w:p>
    <w:p>
      <w:pPr>
        <w:pStyle w:val="TextBody"/>
        <w:bidi w:val="0"/>
        <w:spacing w:before="240" w:after="0"/>
        <w:jc w:val="left"/>
        <w:rPr>
          <w:rFonts w:ascii="Times New Roman" w:hAnsi="Times New Roman"/>
          <w:sz w:val="20"/>
        </w:rPr>
      </w:pPr>
      <w:r>
        <w:rPr>
          <w:rFonts w:ascii="Times New Roman" w:hAnsi="Times New Roman"/>
          <w:sz w:val="20"/>
        </w:rPr>
        <w:t xml:space="preserve">As used under this caption “Description of the Notes,” the term “business day” means, unless otherwise expressly stated, any day other than (i) a Saturday or Sunday or (ii) a day on which banks and trust companies in The City of New York are authorized or obligated by law, regulation or executive order to remain closed. </w:t>
      </w:r>
    </w:p>
    <w:p>
      <w:pPr>
        <w:pStyle w:val="TextBody"/>
        <w:bidi w:val="0"/>
        <w:spacing w:before="240" w:after="0"/>
        <w:jc w:val="left"/>
        <w:rPr>
          <w:rFonts w:ascii="Times New Roman" w:hAnsi="Times New Roman"/>
          <w:sz w:val="20"/>
        </w:rPr>
      </w:pPr>
      <w:r>
        <w:rPr>
          <w:rFonts w:ascii="Times New Roman" w:hAnsi="Times New Roman"/>
          <w:sz w:val="20"/>
        </w:rPr>
        <w:t xml:space="preserve">The term “calculation agent” means, at any time, the entity appointed by us and serving as such agent with respect to the Notes at such time. </w:t>
      </w:r>
    </w:p>
    <w:p>
      <w:pPr>
        <w:pStyle w:val="TextBody"/>
        <w:bidi w:val="0"/>
        <w:spacing w:before="240" w:after="0"/>
        <w:jc w:val="left"/>
        <w:rPr>
          <w:rFonts w:ascii="Times New Roman" w:hAnsi="Times New Roman"/>
          <w:sz w:val="20"/>
        </w:rPr>
      </w:pPr>
      <w:r>
        <w:rPr>
          <w:rFonts w:ascii="Times New Roman" w:hAnsi="Times New Roman"/>
          <w:sz w:val="20"/>
        </w:rPr>
        <w:t xml:space="preserve">Unless we have validly called all of the outstanding Notes for redemption on a redemption date occurring prior to the First Reset Date, we will appoint a calculation agent for the Notes prior to the Reset Interest Determination Date immediately preceding the First Reset Date; provided that, if we have called all of the outstanding Notes for redemption on a redemption date occurring prior to the First Reset Date but we do not redeem all of the outstanding Notes on such redemption date, we will appoint a calculation agent for the Notes as promptly as practicable after such proposed redemption date. We may terminate any such appointment and may appoint a successor calculation agent at any time and from time to time (so long as there shall always be a calculation agent in respect of the Notes when so required). We may appoint Evergy or an affiliate of Evergy as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As provided above, the applicable interest rate for each Reset Period will be determined by the calculation agent as of the applicable Reset Interest Determination Date. Promptly upon such determination, the calculation agent will notify us of the interest rate for the Reset Period and we will promptly notify, or cause the calculation agent to promptly notify, the Trustee and each paying agent, in writing, of such interest rate. The calculation agent’s determination of any interest rate, and its calculation of the amount of interest for any Interest Payment Period (as defined below under “—Option to Defer Interest Payments”) beginning on or after the First Reset Date, will be on file at our principal offices, will be made available to any holder or beneficial owner of the Notes upon request and will be final and binding in the absence of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interest payment date, redemption date, or maturity date falls on a day that is not a business day, payment will be made on the next succeeding business day with the same force and effect as if made on such payment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No Listing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the listing or trading of the Notes on any securities exchange or trading facility or for inclusion of the Notes in any automated dealer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unsecured obligations and will rank junior and subordinate in right of payment to the prior payment in full of our existing and future Senior Indebtedness (as defined below under “—Subordination”), to the extent and in the manner set forth under the caption “—Subordination” below. The Notes will rank equally in right of payment with the Existing Junior Subordinated Notes and any other unsecured indebtedness that we may incur from time to time in the future if the terms of such indebtedness provide that it ranks equally with the Notes in right of payment. As of June 30, 2026, we had approximately $3.8 billion in outstanding Senior Indebtedness (all of which was unsecured, and excluding long-term debt fair value adjustments), which included guarantees of $0.7 billion of our subsidiaries’ indebtedness, and our subsidiaries had outstanding approximately $21.2 billion of total liabilities (excluding intercompany indebtedness, long-term debt fair value adjustments and debt of variable interest entities), which included approximately $10.7 billion, including current maturities, of total long-term debt, excluding unused commitments and contractual obligations and other commitments. As of June 30, 2026, $500 million aggregate principal amount of such indebtedness (consisting of the Existing Junior Subordinated Notes) was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obligations exclusively, and not of any of our subsidiaries. We are a holding company and, accordingly, we conduct substantially all of our operations through our operating subsidiaries. As a result, our cash flow and our ability to service our debt, including the Notes, depend upon the earnings of our operating subsidiaries and on the distribution of earnings, loans or other payments by such subsidiaries to us. </w:t>
      </w:r>
    </w:p>
    <w:p>
      <w:pPr>
        <w:pStyle w:val="TextBody"/>
        <w:bidi w:val="0"/>
        <w:spacing w:before="240" w:after="0"/>
        <w:jc w:val="left"/>
        <w:rPr>
          <w:rFonts w:ascii="Times New Roman" w:hAnsi="Times New Roman"/>
          <w:sz w:val="20"/>
        </w:rPr>
      </w:pPr>
      <w:r>
        <w:rPr>
          <w:rFonts w:ascii="Times New Roman" w:hAnsi="Times New Roman"/>
          <w:sz w:val="20"/>
        </w:rPr>
        <w:t xml:space="preserve">Our operating subsidiaries are separate and distinct legal entities and have no obligation to pay any amounts due on the Notes or to provide us with funds for our payment obligations, whether by dividends, distributions, loans or other payments. In addition, any payment of dividends, distributions, loans or advances by our subsidiaries to us could be subject to statutory or contractual restrictions. Payments to us by our operating subsidiaries will also be contingent upon such subsidiaries’ earnings and business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Our right to receive any assets of any of our subsidiaries upon their liquidation or reorganization, and therefore the rights of the holders of the Notes to participate in those assets, will be structurally subordinated to the claims of that subsidiary’s creditors. In addition, even if we were a creditor of any of our subsidiaries, our rights as a creditor would be subordinate to any security interest in the assets of our subsidiaries and any indebtedness of our subsidiaries senior to that held by us. There is no limitation on the ability of our subsidiaries to incur additional indebtedness to which the Notes will be structurally subordinated. Additionally, if any of our subsidiaries were to issue preferred stock in the future, the Notes would similarly be structurally subordinated to the rights of the preferred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Senior Indebtedness or secured indebtedness that we may incur or the amount of other indebtedness or liabilities that we or our subsidiaries may incur.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your Notes and a risk that one or more of the credit ratings of the Notes could be lowered or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Agreement by Holders to Tax Treatment </w:t>
      </w:r>
    </w:p>
    <w:p>
      <w:pPr>
        <w:pStyle w:val="TextBody"/>
        <w:bidi w:val="0"/>
        <w:spacing w:before="120" w:after="0"/>
        <w:jc w:val="left"/>
        <w:rPr>
          <w:rFonts w:ascii="Times New Roman" w:hAnsi="Times New Roman"/>
          <w:sz w:val="20"/>
        </w:rPr>
      </w:pPr>
      <w:r>
        <w:rPr>
          <w:rFonts w:ascii="Times New Roman" w:hAnsi="Times New Roman"/>
          <w:sz w:val="20"/>
        </w:rPr>
        <w:t xml:space="preserve">Each holder (and beneficial owner) of the Notes will, by accepting any Notes (or a beneficial interest therein), be deemed to have agreed that such holder (or beneficial owner) intends that the Notes constitute indebtedness of Evergy, and will treat the Notes as indebtedness of Evergy, for U.S. federal, state and local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subordinated in right of payment to the prior payment in full of all our Senior Indebtedness. This means that upon: </w:t>
      </w:r>
    </w:p>
    <w:p>
      <w:pPr>
        <w:pStyle w:val="TextBody"/>
        <w:bidi w:val="0"/>
        <w:spacing w:before="240" w:after="0"/>
        <w:jc w:val="left"/>
        <w:rPr>
          <w:rFonts w:ascii="Times New Roman" w:hAnsi="Times New Roman"/>
          <w:sz w:val="20"/>
        </w:rPr>
      </w:pPr>
      <w:r>
        <w:rPr>
          <w:rFonts w:ascii="Times New Roman" w:hAnsi="Times New Roman"/>
          <w:sz w:val="20"/>
        </w:rPr>
        <w:t xml:space="preserve">(a) any payment by, or distribution of the assets of, Evergy upon its dissolution, winding-up, liquidation or reorganization, whether voluntary or involuntary or in bankruptcy, insolvency, receivership or other proceedings; </w:t>
      </w:r>
    </w:p>
    <w:p>
      <w:pPr>
        <w:pStyle w:val="TextBody"/>
        <w:bidi w:val="0"/>
        <w:spacing w:before="240" w:after="0"/>
        <w:jc w:val="left"/>
        <w:rPr>
          <w:rFonts w:ascii="Times New Roman" w:hAnsi="Times New Roman"/>
          <w:sz w:val="20"/>
        </w:rPr>
      </w:pPr>
      <w:r>
        <w:rPr>
          <w:rFonts w:ascii="Times New Roman" w:hAnsi="Times New Roman"/>
          <w:sz w:val="20"/>
        </w:rPr>
        <w:t xml:space="preserve">(b) a failure to pay any interest, principal or other monetary amounts due on any of Evergy’s Senior Indebtedness when due and continuance of that default beyond any applicable grace period; or </w:t>
      </w:r>
    </w:p>
    <w:p>
      <w:pPr>
        <w:pStyle w:val="TextBody"/>
        <w:bidi w:val="0"/>
        <w:spacing w:before="240" w:after="0"/>
        <w:jc w:val="left"/>
        <w:rPr>
          <w:rFonts w:ascii="Times New Roman" w:hAnsi="Times New Roman"/>
          <w:sz w:val="20"/>
        </w:rPr>
      </w:pPr>
      <w:r>
        <w:rPr>
          <w:rFonts w:ascii="Times New Roman" w:hAnsi="Times New Roman"/>
          <w:sz w:val="20"/>
        </w:rPr>
        <w:t xml:space="preserve">(c) acceleration of the maturity of any Senior Indebtedness of Evergy as a result of a default;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all of Evergy’s Senior Indebtedness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above, payment of all amounts due or to become due on all Senior Indebtedness;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clauses (b) and (c) above, payment of all amounts due on all Senior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the holders of the Notes are entitled to receive any payment. So long as any of the events in clause (a), (b) or (c) above has occurred and is continuing, any amounts payable or assets distributable on the Notes will instead be paid or distributed, as the case may be, directly to the holders of Senior Indebtedness to the extent necessary to pay, in the case of clause (a) above, all amounts due or to become due upon all such Senior Indebtedness, or, in the case of clauses (b) and (c) above, all amounts due on all such Senior Indebtedness, and, if any such payment or distribution is received by the Trustee under the Indenture or the holders of any of the Notes before all Senior Indebtedness due and to become due, as applicable, is paid, such payment or distribution must be paid over to the holders of the unpaid Senior Indebtedness. Subject to paying the Senior Indebtedness due and to become due in the case of clause (a) above or the Senior Indebtedness due in the case of clauses (b) and (c) above, the holders of the Notes will be subrogated to the rights of the holders of the Senior Indebtedness to receive payments applicable to the Senior Indebtedness until the Notes are paid in full. </w:t>
      </w:r>
    </w:p>
    <w:p>
      <w:pPr>
        <w:pStyle w:val="TextBody"/>
        <w:bidi w:val="0"/>
        <w:spacing w:before="240" w:after="0"/>
        <w:jc w:val="left"/>
        <w:rPr/>
      </w:pPr>
      <w:r>
        <w:rPr/>
        <w:t>“</w:t>
      </w:r>
      <w:r>
        <w:rPr>
          <w:rFonts w:ascii="Times New Roman" w:hAnsi="Times New Roman"/>
          <w:sz w:val="20"/>
        </w:rPr>
        <w:t xml:space="preserve">Senior Indebtedness” means, with respect to the Notes, (i) indebtedness of Evergy, whether outstanding at the date of the Indenture or incurred, created or assumed after such date, (a) in respect of money borrowed by Evergy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Evergy; (ii) all finance lease obligations of Evergy; (iii) all obligations of Evergy issued or assumed as the deferred purchase price of property, all conditional sale obligations of Evergy and all obligations of Evergy under any title retention agreement (but excluding, for the avoidance of doubt, trade accounts payable arising in the ordinary course of business and long-term purchase obligations); (iv) all obligations of Evergy for the reimbursement of any letter of credit, banker’s acceptance, security purchase facility or similar credit transaction; and (v) all obligations of the type referred to in clauses (i) through (iv) above of other persons for the payment of which Evergy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the subordination of the Notes, if assets of Evergy are distributed upon its dissolution, winding-up, liquidation or reorganization, holders of its Senior Indebtedness and other indebtedness and obligations that are not equal or junior to the Notes in right of payment will likely recover more, ratably, than holders of the Notes, and it is possible that no payments will be made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Indenture do not limit our ability to incur Senior Indebtedness or our or any of our subsidiaries’ ability to incur other secured and unsecured indebtedness or liabilities or to issue preferred equity.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set forth under this caption “—Subordination” supersedes and replaces, insofar as it relates to the Notes, the descriptions set forth under the caption “Description of Debt Securities—Subordination”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Defer 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So long as no event of default (as defined below under “—Events of Default”) with respect to the Notes has occurred and is continuing, we may, at our option, defer interest payments on the Notes, from time to time, for one or more deferral periods of up to 20 consecutive Interest Payment Periods (as defined below)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or end on a day other than the day immediately preceding an interest payment date. During any Optional Deferral Period, interest on the Notes will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(“compound interest”) will accrue at the then-applicable interest rate on the Notes (as reset from time to time on any Reset Date occurring during such Optional Deferral Period in accordance with the terms of the Notes), compounded semi-annually, to the extent permitted by applicable law. No interest will be due or payable on the Notes during an Optional Deferral Period, except upon a redemption of any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All references in the Notes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final maturity date of the Notes.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compound interest), are paid, we may elect to begin a new Optional Deferral Period; provided, however, that, without limitation of the foregoing, we may not begin a new Optional Deferral Period unless we have paid all accrued and unpaid interest on the Notes (including, without limitation and to the extent permitted by applicable law, any compound interest) from any previous Optional Deferral Periods. </w:t>
      </w:r>
    </w:p>
    <w:p>
      <w:pPr>
        <w:pStyle w:val="TextBody"/>
        <w:bidi w:val="0"/>
        <w:spacing w:before="240" w:after="0"/>
        <w:jc w:val="left"/>
        <w:rPr>
          <w:rFonts w:ascii="Times New Roman" w:hAnsi="Times New Roman"/>
          <w:sz w:val="20"/>
        </w:rPr>
      </w:pPr>
      <w:r>
        <w:rPr>
          <w:rFonts w:ascii="Times New Roman" w:hAnsi="Times New Roman"/>
          <w:sz w:val="20"/>
        </w:rPr>
        <w:t xml:space="preserve">During any Optional Deferral Period, we will not do any of the following (subject to the exceptions set forth in the next succeeding paragraph):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or distributions on any Capital Stock (as defined below) of Evergy;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acquire or make a liquidation payment with respect to any Capital Stock of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interest (to the extent such interest is deferrable) or premium on, or repay, repurchase or redeem, any indebtedness of Evergy that ranks equally with or junior to the Notes in right of payment (including the Existing Junior Subordinated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with respect to any guarantees by Evergy of any indebtedness if such guarantees rank equally with or junior to the Notes in right of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during an Optional Deferral Period, we may (a) declare and pay dividends or distributions payable solely in shares of our common stock (together, for the avoidance of doubt, with cash in lieu of any fractional share) or options, warrants or rights to subscribe for or purchase shares of our common stock, (b) declare and pay any dividend in connection with the implementation of a plan (a “Rights Plan”) providing for the issuance by us to all holders of our common stock of rights entitling them to subscribe for or purchase common stock or any class or series of our preferred stock, which rights (1) are deemed to be transferred with such common stock, (2) are not exercisable until the occurrence of a specified event or events and (3) are also issued in respect of future issuances of our common stock, (c) issue any of shares of our Capital Stock under any Rights Plan or redeem or repurchase any rights distributed pursuant to a Rights Plan, (d) reclassify our Capital Stock or exchange or convert one class or series of our Capital Stock for another class or series of our Capital Stock, (e) purchase fractional interests in shares of our Capital Stock pursuant to the conversion or exchange provisions of such Capital Stock or the security being converted or exchanged, (f) purchase, acquire or withhold shares of our common stock related to the issuance of our common stock or rights under any dividend reinvestment plan or related to any of our benefit plans for our directors, officers, employees, consultants or advisors, including any employment contract, (g) for the avoidance of doubt, convert convertible Capital Stock of Evergy into other Capital Stock of Evergy in accordance with the terms of such convertible Capital Stock (together, for the avoidance of doubt, with cash in lieu of any fractional share) and (h) settle conversions of any convertible notes that rank equally with the Notes. </w:t>
      </w:r>
    </w:p>
    <w:p>
      <w:pPr>
        <w:pStyle w:val="TextBody"/>
        <w:bidi w:val="0"/>
        <w:spacing w:before="240" w:after="0"/>
        <w:jc w:val="left"/>
        <w:rPr>
          <w:rFonts w:ascii="Times New Roman" w:hAnsi="Times New Roman"/>
          <w:sz w:val="20"/>
        </w:rPr>
      </w:pPr>
      <w:r>
        <w:rPr>
          <w:rFonts w:ascii="Times New Roman" w:hAnsi="Times New Roman"/>
          <w:sz w:val="20"/>
        </w:rPr>
        <w:t xml:space="preserve">We will give the holders of the Notes and the Trustee written notice of our election of, or any shortening or extension of, an Optional Deferral Period at least 10 business days prior to the earlier of (1) the next succeeding interest payment date or (2) the date upon which we are required to give notice to any applicable self-regulatory organization or to holders of the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before="240" w:after="0"/>
        <w:jc w:val="left"/>
        <w:rPr/>
      </w:pPr>
      <w:r>
        <w:rPr/>
        <w:t>“</w:t>
      </w:r>
      <w:r>
        <w:rPr>
          <w:rFonts w:ascii="Times New Roman" w:hAnsi="Times New Roman"/>
          <w:sz w:val="20"/>
        </w:rPr>
        <w:t xml:space="preserve">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before="240" w:after="0"/>
        <w:jc w:val="left"/>
        <w:rPr/>
      </w:pPr>
      <w:r>
        <w:rPr/>
        <w:t>“</w:t>
      </w:r>
      <w:r>
        <w:rPr>
          <w:rFonts w:ascii="Times New Roman" w:hAnsi="Times New Roman"/>
          <w:sz w:val="20"/>
        </w:rPr>
        <w:t xml:space="preserve">Interest Payment Period” means the semi-annual period from and including an interest payment date to but excluding the next succeeding interest payment date, except for the first Interest Payment Period which shall be the period from and including the original issue date to but excluding February 15, 2027.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i/>
          <w:sz w:val="20"/>
        </w:rPr>
      </w:pPr>
      <w:r>
        <w:rPr>
          <w:rFonts w:ascii="Times New Roman" w:hAnsi="Times New Roman"/>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our option, in whole or in part (i) on any day in the period commencing on the date falling 90 days prior to the First Reset Date and ending on and including the First Reset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and (ii) after the First Reset Date, on any interest payment date, at a redemption price in cash equal to 100% of the principal amount of the Notes being redeemed, plus, subject to the terms described in the first paragraph under “—Redemption Procedures; Cancellation of Redemption” below, accrued and unpaid interest on the Notes to be redeemed to, but excluding, the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Following a Tax Event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redeem the Notes, in whole but not in part, at any time following the occurrence and during the continuance of a Tax Event (as defined below) at a redemption price in cash equal to 100% of the principal amount of the Notes, plus, subject to the terms described in the first paragraph under “—Redemption Procedures; Cancellation of Redemption” below, accrued and unpaid interest on the Notes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 “Tax Event” means that we have received an opinion of counsel experienced in such matters to the effect that,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clarification of, or change, including any announced prospective change, in the laws or treaties of the United States or any of its political subdivisions or taxing authorities, or any regulations under those laws or treaties;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threatened challenge asserted in writing in connection with a tax audit of us or any of our subsidiaries, or a publicly-known threatened challenge asserted in writing against any other taxpayer that has raised capital through the issuance of securities that are substantially similar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which amendment, clarification or change is effective or the administrative action is taken or judicial decision, interpretation or pronouncement is issued or threatened challenge is asserted or becomes publicly-known after the date of this prospectus supplement, there is more than an insubstantial risk that interest payable by us on the Notes is not deductible, or within 90 days would not be deductible, in whole or in part, by us for U.S. federal income tax purposes.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Following a Rating Agency Event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redeem the Notes, in whole but not in part, at any time following the occurrence and during the continuance of a Rating Agency Event (as defined below) at a redemption price in cash equal to 102% of the principal amount of the Notes, plus, subject to the terms described in the first paragraph under “—Redemption Procedures; Cancellation of Redemption” below, accrued and unpaid interest on the Notes to, but excluding, the redemption date. </w:t>
      </w:r>
    </w:p>
    <w:p>
      <w:pPr>
        <w:pStyle w:val="TextBody"/>
        <w:bidi w:val="0"/>
        <w:spacing w:before="240" w:after="0"/>
        <w:jc w:val="left"/>
        <w:rPr/>
      </w:pPr>
      <w:r>
        <w:rPr/>
        <w:t>“</w:t>
      </w:r>
      <w:r>
        <w:rPr>
          <w:rFonts w:ascii="Times New Roman" w:hAnsi="Times New Roman"/>
          <w:sz w:val="20"/>
        </w:rPr>
        <w:t xml:space="preserve">Rating Agency Event” means, as of any date, a change, clarification or amendment in the methodology published by any nationally recognized statistical rating organization (within the meaning of Section 3(a)(62) of the Exchange Act or any successor provision thereto) that then publishes a rating for Evergy (together with any successor thereto, a “rating agency”) in assigning equity credit to securities such as the Notes, (a) as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methodology was in effect on the date of this prospectus supplement, in the case of any rating agency that published a rating for Evergy as of the date of this prospectus supplement, or (b) as such methodology was in effect on the date such rating agency first published a rating for Evergy, in the case of any rating agency that first publishes a rating for Evergy after the date of this prospectus supplement (in the case of either clause (a) or (b) above, the “current methodology”), that results in (i) any shortening of the length of time for which a particular level of equity credit pertaining to the Notes by such rating agency would have been in effect had the current methodology not been changed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Following a Tax Credit Event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redeem the Notes, in whole but not in part, following the occurrence of a Tax Credit Event (as defined below) at a redemption price in cash equal to 101% of the principal amount of the Notes, plus, subject to the terms described in the first paragraph under “—Redemption Procedures; Cancellation of Redemption” below, accrued and unpaid interest on the Notes to, but excluding, the redemption date. A notice of redemption of the Notes upon the occurrence of a Tax Credit Event (i) may only be sent by the later of (a) the end of the calendar year in which the Notes were issued and (b) six months from the date of issuance of the Notes and (ii) shall be accompanied by an officer’s certificate stating that a Tax Credit Event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A “Tax Credit Event” occurs with respect to the Notes if, in our reasonable determination, there exists a material risk, due to the Notes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Procedures; Cancellation of Redemption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statement under this caption “—Redemption” to the contrary, installments of interest on the Notes that are due and payable on any interest payment date falling on or prior to a redemption date for the Notes will be payable on that interest payment date to the registered holders thereof as of the close of business on the relevant record date according to the terms of the Notes and the Indenture, except that, if the redemption date for any Notes falls on any day during an Optional Deferral Period (as defined below under “—Option to Defer Interest Payments”), accrued and unpaid interest (including, to the extent permitted by applicable law, any compound interest (as defined below under “—Option to Defer Interest Payments”)) on such Notes will be paid on such redemption date to the persons entitled to receive the redemption price of such Notes. For the avoidance of doubt, the interest payment date falling immediately after the last day of an Optional Deferral Period shall not be deemed to fall on a day during such Optional Deferral Period.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given (or otherwise transmitted in accordance with the depositary’s procedures) at least 10 days but not more than 60 days before the redemption date to each holder of Notes to be redeemed. Once notice of redemption is given, the Notes called for redemption will become due and payable on the redemption date at the applicable redemption price, plus, subject to the terms described in the immediately preceding paragraph,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(or otherwise reduce the principal balance of such Note in accordance with the depositary’s customary policies and procedures). If we elect to redeem all or a portion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then, unless otherwise provided in such notice of redemption as described in the next succeeding paragraph, the redemption will not be conditional upon receipt by the paying agent or the Trustee of monies sufficient to pay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a notice of redemption is given, (i) we have not effected a discharge of the Notes as described under “Description of Debt Securities—Defeasance” in the accompanying prospectus and (ii) such notice of redemption is not being given in connection with or in order to effect a discharge of the Notes, then, if the notice of redemption so provides and at our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we shall not be required to redeem the Notes called for redemption on such redemption date. In the event that a redemption is canceled, we will, not later than the business day immediately following the proposed redemption date, deliver, or cause to be delivered, notice of such cancellation to the registered holders of the Notes called for redemption (which notice will also indicate that any Notes or portions thereof surrendered for redemption shall be returned to the applicable holders), and we will direct the Trustee to, and the Trustee will, promptly return any Notes or portions thereof that have been surrendered for redemption to the applicable holders.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or the proposed redemption is canceled in accordance with the provisions set forth in the immediately preceding paragraph,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duty to determine, or verify the calculation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If we redeem less than all of the Notes on any redemption date, the Trustee will select the Notes to be redeemed by lot or, in the case of Notes in book-entry form represented by one or more global Notes, by such other customary method prescribed by the depositary, which may be made on a pro rata pass-through distribution of principal basis.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set forth under this caption “—Redemption— Redemption Procedures; Cancellation of Redemption” supersedes and replaces, insofar as it relates to the Notes, the descriptions set forth under the caption “Description of Debt Securities—Redemption”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occurs with respect to the Notes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any interest on any Note when it becomes due and payable and such default continues for 30 days (whether or not such payment is prohibited by the subordination provisions applicable to the Notes), except as the result of a deferral of interest payments in accordance with the provisions discussed above under “—Option to Defer Interest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any principal of or premium, if any, on any Note when it becomes due and payable (whether or not such payment is prohibited by the subordination provisions applicable to the Notes) and the default continues for one business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any other covenant or warranty (excluding covenants and warranties solely applicable to one or more other series of subordinated debt securities issued under the Indenture) in the Indenture or the Notes for 60 days after there has been given to us, by registered or certified mail, a written notice of default specifying such default or breach and requiring remedy of the default or breach; the notice must be sent by either the Trustee or registered holders of at least 33% of the principal amount of the outstanding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files for bankruptcy or other specified events of bankruptcy, insolvency, receivership or reorganization occur with respect to Evergy.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as discussed below under “—Limitation on Remedies,” neither the Trustee nor the holders of the Notes will be entitled to declare the Notes to be due and payable immediately upon the occurrence of an event of default described in clause (c) above. </w:t>
      </w:r>
    </w:p>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the Notes will necessarily constitute an event of default with respect to the subordinated debt securities of any other series that may be issued under the Indenture, and no event of default with respect to any such other series of subordinated debt securities that may be issued under the Indenture will necessarily constitute an event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set forth under this caption “—Events of Default” supersedes and replaces, insofar as it relates to the Notes, the description set forth in the first paragraph through the third paragraph under the caption “Description of Debt Securities—Events of Default”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Remedies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other than an event of default described in clause (c) under “—Events of Default” above, occurs and is continuing, then either the Trustee or the registered holders of at least 33% in principal amount of the outstanding Notes may declare the principal amount of all of the Notes, together with accrued and unpaid interest thereon (including, without limitation, any deferred interest and, to the extent permitted by applicable law, any compound interest), to be due and payable immediately, and upon such declaration the principal of and accrued and unpaid interest on the Notes shall become immediately due and payable (notwithstanding any deferral of interest payments in accordance with the provisions discussed above under “—Option to Defer Interest Payments”). </w:t>
      </w:r>
    </w:p>
    <w:p>
      <w:pPr>
        <w:pStyle w:val="TextBody"/>
        <w:bidi w:val="0"/>
        <w:spacing w:before="240" w:after="0"/>
        <w:jc w:val="left"/>
        <w:rPr>
          <w:rFonts w:ascii="Times New Roman" w:hAnsi="Times New Roman"/>
          <w:sz w:val="20"/>
        </w:rPr>
      </w:pPr>
      <w:r>
        <w:rPr>
          <w:rFonts w:ascii="Times New Roman" w:hAnsi="Times New Roman"/>
          <w:sz w:val="20"/>
        </w:rPr>
        <w:t xml:space="preserve">However, if an event of default described in clause (c) under “—Events of Default” above occurs and is continuing, neither the Trustee nor the registered holders of the Notes will be entitled to declare the principal of the Notes, or accrued or unpaid interest thereon, to be due and payable immediately. See “Risk Factors—Holders of the Notes will have limited rights of acceleration” above. However, they may exercise the other rights and remedies available under the Indenture upon the occurrence of such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set forth under this caption “—Limitation on Remedies” supersedes and replaces, insofar as it relates to the Notes, the description set forth in the fourth paragraph under the caption “Description of Debt Securities—Events of Default”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 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subject to the lien limitation described under the caption “Description of Debt Securities—Limitation on Liens”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We may, without the consent of the holders of the Notes, create and issue additional Notes ranking equally with the Notes in all respects, including having the same terms (except for the price to public, the issue date,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initial interest accrual date and the first interest payment date, as applicable) as the Notes, so that such additional Notes would be consolidated and form a single series with the Notes, and would have the same terms as to status, redemption or otherwise as the Notes. Such additional Notes will have the same CUSIP number as the Notes offered hereby, provided that such additional Notes must be part of the same issue as the Notes offered hereby for U.S. federal income tax purposes or, if they are not part of the same issue for such purposes, such additional Notes must be issued with a separate CUSIP number. No additional Notes may be issued if an Event of Default under the Indenture has occurred and is continuing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Forms and 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as one or more global securities in the name of a nominee of DTC and will be available only in book-entry form. See “—Book-Entry System.” The Notes will be issued in denominations of $2,000 and integral multiples of $1,000 in excess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Upon issuance, the Notes will be represented by one or more global securities deposited with, or on behalf of, DTC, as depositary. The global securities representing the Notes will be registered in the name of the depositary or its nominee. Except under the circumstances described in the accompanying prospectus under “Book-Entry System,” the Notes will not be issuable in definitive form. So long as the Notes are represented by one or more global securities, the depositary or its nominee will be considered the sole owner or holder of such Notes for all purposes under the Indenture, and the beneficial owners of such Notes will be entitled only to those rights and benefits afforded to them in accordance with the depositary’s regular operating procedures. The depositary has confirmed to us, the underwriters and the Trustee that it intends to follow such procedures with respect to the Notes. A further description of the depositary’s procedures with respect to global securities is set forth in the accompanying prospectus under “Book-Entry System.” </w:t>
      </w:r>
    </w:p>
    <w:p>
      <w:pPr>
        <w:pStyle w:val="TextBody"/>
        <w:bidi w:val="0"/>
        <w:spacing w:before="360" w:after="0"/>
        <w:jc w:val="left"/>
        <w:rPr>
          <w:rFonts w:ascii="Times New Roman" w:hAnsi="Times New Roman"/>
          <w:b/>
          <w:sz w:val="20"/>
        </w:rPr>
      </w:pPr>
      <w:r>
        <w:rPr>
          <w:rFonts w:ascii="Times New Roman" w:hAnsi="Times New Roman"/>
          <w:b/>
          <w:sz w:val="20"/>
        </w:rPr>
        <w:t xml:space="preserve">Global 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Secondary market trading between Clearstream Banking S.A. (“Clearstream”) participants or Euroclear Bank SA/NV, as operator of the Euroclear System (“Euroclear”) participants will occur in the ordinary way in accordance with the applicable rules and operating procedures of Clearstream and Euroclear,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Notes received in Clearstream or the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 or Clearstream participant on such business day. Cash received in Clearstream or the Euroclear as a result of sales of the Notes by or through a Clearstream participant or a Euroclear participant to a DTC participant will be received with value on the DTC settlement date but will be available in the relevant Clearstream or the Euroclear cash account only as of the business day following settlement in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toc19416_8"/>
      <w:bookmarkEnd w:id="10"/>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U.S. federal income tax considerations of the purchase, ownership and disposition of the Notes. This summary is based upon the Internal Revenue Code of 1986, as amended (the “Code”), U.S. Treasury regulations, and rulings and decisions now in effect, all of which are subject to change or differing interpretations, possibly with retroactive effect. In particular, either the Internal Revenue Service (“IRS”) or the courts could disagree with the conclusions contained and positions described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The summary deals only with Notes held as capital assets (generally property held for investment) and does not deal with persons in special tax situations, such as financial institutions, banks, insurance companies, tax-exempt entities, entities or arrangements that are treated as partnerships for U.S. federal income tax purposes, traders in securities who elect a mark-to-market method of tax accounting, regulated investment companies, brokers or dealers in securities or currencies, persons holding Notes as a position in a “straddle,” “hedging,” “conversion” or constructive sale transaction for tax purposes, accrual method taxpayers subject to special tax accounting rules as a result of their use of financial statements under section 451(b) of the Code, certain former citizens or residents of the United States, persons who acquire the Notes in connection with employment or other performance of services, United States persons (as defined in the Code) whose functional currency is not the United States dollar, “controlled foreign corporations,” “passive foreign investment companies” or corporations that accumulate earnings to avoid U.S. federal income tax. The summary also does not deal with holders other than original purchasers who purchase the Notes upon original issuance at their original issue price. In addition, this discussion does not address the income tax consequences to stockholders in, or partners or beneficiaries of, a holder of Notes, the alternative minimum tax, the Medicare tax on net investment income, any estate or gift tax laws (or any other U.S. federal tax laws other than U.S. federal income tax laws), nor does it address any state, local or foreign tax consequences, or the tax consequences under any income tax treaty, of the purchase, ownership and disposition of Notes. Before purchasing the Notes, you should consult your own tax advisor concerning the application of U.S. federal income tax laws to your particular situation as well as any consequences of the purchase, ownership and disposition of the Notes arising under any other tax laws of the United States or other taxing jurisdictions.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“U.S. Holder” is a beneficial owner of a Note other than a partnership or other entity or arrangement treated as a partnership for U.S. federal income tax purposes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United States person have the authority to control all substantial decisions of the trust, or certain electing trusts in existence on August 20, 1996, to the extent provided in U.S.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a beneficial owner of a Note (other than a partnership or other entity or arrangement treated as a partnership for U.S. federal income tax purposes)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Notes, the tax treatment of a partner in any such partnership will generally depend upon the status of the partner and the activities of the partnership. If you are a partner in any such partnership holding Notes, you should consult your own tax advisor as to the particular U.S. federal income tax considerations relevant to the acquisition, ownership and disposition of the Notes applicable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Classification and Treatment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determination of whether a security should be classified as indebtedness or equity for U.S. federal income tax purposes requires a judgment based on all relevant facts and circumstances. There is no statutory, judicial or administrative authority that directly addresses the U.S. federal income tax treatment of securities substantially similar to the Notes. In connection with the issuance of the Notes, Hunton Andrews Kurth LLP, tax counsel to Evergy, will render its opinion generally to the effect that under current law and based on the facts contained in this prospectus supplement, the terms of the Indenture and the Notes, and certain facts and assumptions, the Notes will be classified for U.S. federal income tax purposes as indebtedness of Evergy (although there is no controlling authority directly on point). The opinion of Hunton Andrews Kurth LLP is not binding on the IRS or the courts. Moreover, no rulings have been or will be sought from the IRS with respect to the transactions described in this prospectus supplement. Accordingly, we cannot assure you that the IRS will not challenge the treatment described herein or that a court would not sustain such a challenge. If the IRS were to successfully challenge the classification of the Notes as indebtedness, interest payments on the Notes could be treated for U.S. federal income tax purposes as dividends to the extent of the applicable current or accumulated earnings and profits. In the case of a Non-U.S. Holder, interest payments treated as dividends could be subject to withholding of U.S. income tax, except to the extent such withholding is reduced by an applicable income tax treaty and except to the extent effectively connected with a Non-U.S. Holder’s conduct of a U.S. trade or business (and, if required by an applicable income tax treaty, attributable to a fixed base or permanent establishment maintained by a Non-U.S. Holder in the United States), in which case such effectively connected payments generally would be subject to U.S. federal income tax on a net income basis at the regular U.S. federal income tax rates applicable to holders who are U.S. Holders. We agree, and by acquiring an interest in a Note each beneficial owner of a Note will agree, to treat the Notes as indebtedness for U.S. federal income tax purposes, and the remainder of this discussion assumes this treatment. You should consult your own tax advisors regarding the tax consequences that will arise if the Notes are not treated as indebtedness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certain circumstances occur (see “Description of the Notes—Redemption—Redemption Following a Rating Agency Event” and “Description of the Notes—Redemption—Redemption Following a Tax Credit Event”), we will be obligated to pay amounts in excess of the stated principal of, and accrued and unpaid interest on, the Notes. Such excess payments will not affect the amount of interest income that a U.S. Holder recognizes if, for U.S. federal income tax purposes, there is only a “remote” likelihood that such payments will be made. We believe and intend to take the position that the likelihood that we will make any such payments is remote within the meaning of the U.S. Treasury regulations. If the possibility of excess payments were determined not to be remote, the Notes could be treated as “contingent payment debt instruments” for U.S. federal income tax purposes, in which case you would be required to accrue interest income on the Notes in excess of stated interest and treat as ordinary income rather than as capital gain any income realized on the taxable disposition of the Notes. In the event excess payments are made, it would likely affect the amount and timing of the income you recognize, even if your Notes are not redeemed. If you are paid any excess amounts, you will be required to recognize such amounts as income. The remainder of this discussion assumes that the Notes will not be treated as contingent payment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Income and 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We have the option under certain circumstances to defer payments of interest on the Notes. Under the U.S. Treasury regulations relating to original issue discount (“OID”), a debt instrument is deemed to be issued with OID if there is more than a “remote” contingency that periodic stated interest payments due on the instrument will not be timely paid. We believe and intend to take the position that the likelihood of our exercising the option to defer payment of stated interest is remote within the meaning of the U.S. Treasury regulations. Based on the foregoing, we believe that, although the matter is not free from doubt, the Notes will not be considered to be issued with OID at the time of their original issuance. Accordingly, stated interest payments on the Notes would be includible in your ordinary income at the time that those payments are received or accrued, depending on your regular method of accounting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applicable U.S. Treasury regulations, if the possibility of interest deferral were determined not to be remote, or if we exercise such option, the Notes generally would be treated as issued with OID at the time of issuance or at the time of exercise, as the case may be, and all stated interest generally would thereafter be treated as OID. In that case, you generally would be required to accrue interest income on the Notes using a constant yield method whether or not you receive any cash payment attributable to that interest, regardless of your regular method of accounting for U.S. federal income tax purposes. Consequently, you would be required to include OID in gross income even if we did not make any actual cash payments during an Optional Deferral Period. Actual payments of stated interest would not be reported as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Our determination that the likelihood of our exercising the option to defer payment of stated interest on the Notes is remote is binding on you unless you disclose your contrary position in the manner required by applicable Treasury regulations. Our determination is not, however, binding on the IRS. There can be no assurance that the IRS or a court will agree with these positions. We are not aware of any rulings or other interpretations issued by the IRS that have addressed the meaning of the term remote as used in the applicable U.S. Treasury regulations, and it is possible that the IRS could take a position contrary to the interpretation in this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If you sell your Notes, or otherwise dispose of them in a taxable transaction, then you will recognize gain or loss in an amount equal to the difference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realized on the sale, excluding any amount attributable to accrued but unpaid interest on the Notes not treated as OID, which excluded amount will be taxed as interest in the manner described above under “Interest Income and Original Issue Discount”;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adjusted tax basis in the Notes at the time of disposition.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your adjusted tax basis generally will equal the initial purchase price that you paid for the Notes, plus any amount that you were required to include in gross income as OID, minus any cash payments you received in respect of accrued OID. Your gain or loss on the sale or other taxable disposition of Notes generally will be capital gain or loss, and will be long-term capital gain or loss if you have held the Notes for more than one year at the time of disposition. Preferential rates of tax may apply to long-term capital gains if you are a non-corporate taxpayer. The deductibility of capital losses is subject to limitations. You should consult your own tax advisor regarding the deductibility of capital losses in your particular situation.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applies only to beneficial owners of Notes who are Non-U.S. Holders as defined above. The rules governing the U.S. federal income taxation of a Non-U.S. Holder are complex and the below discussion is only a summary of such rules. Special rules may apply to certain Non-U.S. Holders such as “controlled foreign corporations” and “passive foreign investment companies.” If you are a Non-U.S. Holder, you should consult your own tax advisor about the rules concerning the tax consequences to you of the purchase, ownership and disposition of the Notes, including any withholding on payments to you and the potential application of tax treaties.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and 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“Foreign Account Tax Compliance Act” and “Information Reporting and Backup Withholding”, no U.S. federal withholding tax will be imposed with respect to payments of principal or interest, including any OID, on the Notes under the “portfolio interest exemption,”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actually or constructively own 10% or more of the total combined voting power of all classes of our stock entitled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as defined in the Code that is related to us through stock ownership directly or constructively;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whose receipt of interest on a Note is described in section 881(c)(3)(A)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you provide a completed IRS Form W-8BEN, IRS Form W-8BEN-E or other appropriate form and certify, under penalties of perjury, that you are not a U.S Holder, or (b) generally, a financial institution holding the Notes on your behalf certifies, under penalties of perjury, that it has received a completed IRS Form W-8BEN, IRS Form W-8BEN-E or other appropriate form from you and provides to the withholding agent a copy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do not satisfy the requirements described above, payments made to you generally will be subject to a 30% U.S. federal withholding tax, unless you provide to the withholding agent a properly executed (a) IRS Form W-8BEN, IRS Form W-8BEN-E or other appropriate form claiming an exemption from, or a reduction of, withholding tax under the benefit of an applicable income tax treaty; or (b) IRS Form W-8ECI or other appropriate form stating that interest received on the Notes is not subject to withholding tax because it is effectively connected with your conduct of a trade or business in the United States. In the latter case, interest (including any OID) will be subject to U.S. federal income tax on a net income basis in generally the same manner as if you were a U.S. Holder if such interest is effectively connected with your conduct of a trade or business in the United States and, if an income tax treaty so provides, is attributable to a fixed base or permanent establishment maintained in the United States by you. In addition, if you are a foreign corporation engaged in a trade or business in the United States, you may also be subject to a branch profits tax, which is generally imposed on a foreign corporation on the deemed repatriation from the United States of effectively connected earnings and profits, at a 30% rate, unless the tax is reduced or eliminated by an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“Information Reporting and Backup Withholding”, any gain realized upon the sale or other taxable disposition of Notes generally will not be subject to U.S. federal income tax unless (a) the gain is effectively connected with a U.S. trade or business conducted by you (and, if an applicable income tax treaty so provides, is attributable to a fixed base or permanent establishment maintained in the United States by you); or (b) if you are a Non-U.S. Holder who is an individual, you are present in the United States for a period or periods aggregating 183 days or more in the taxable year of the sale or other taxable disposition (as determined under the Code) and certain other requirements are met. If you are engaged in a trade or business in the United States and income on the Notes is effectively connected with the conduct of that trade or business (and, if an applicable income tax treaty so provides, is attributable to a fixed base or permanent establishment maintained in the United States by you), you will be subject to U.S. federal income tax on that income on a net income basis in generally the same manner as if you were a U.S. Holder. In addition, if you are a foreign corporation engaged in a trade or business in the United States, you may be subject to the branch profits tax described above. If you are a Non-U.S. Holder who is an individual and are present in the United States for a period or periods aggregating 183 days or more in the taxable year of the sale or other taxable disposition (as determined under the Code) and certain other requirements are met, you will generally be subject to 30% tax (or lower applicable treaty rate) on any gain realized on the sale or other taxable disposition of the Notes, which may be offset by certain U.S.-source capital losses. Proceeds from the sale or other taxable disposition of a Note that are attributable to accrued but unpaid interest (including OID, if any) generally will be subject to, or exempt from, tax to the same extent as described above with respect to interest paid on a Note.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Under legislation commonly referred to as the “Foreign Account Tax Compliance Act” and related Treasury and IRS guidance concerning such legislation (“FATCA”), a 30% U.S. federal withholding tax is imposed on certain payments (which includes interest payments, including OID, on the Notes) made to a non-U.S. entity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fails to take required steps to provide information regarding its “United States accounts” or its direct or indirect “substantial United States owners,” as applicable, or to make a required certification that it has no such accounts or owners. We will not be obligated to make any “gross up” or additional payments in respect of amounts withheld on the Notes if we determine that we must so withhold in order to comply with FATCA in respect of the amounts described above. Prospective investors should consult their own tax advisor regarding FATCA and whether it may be relevant to their ownership and disposition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and backup withholding may apply to interest and other payments to you under the circumstances discussed below. Amounts withheld under backup withholding are not an additional tax and generally may be refunded or credited against your U.S. federal income tax liability, provided that you furnish the required information to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If you are a U.S. Holder, you may be subject to backup withholding at the applicable rate (currently 24%) when you receive interest payments on the Notes, or proceeds upon the sale, exchange, redemption, retirement or other taxable disposition of the Notes. In general, you can avoid this backup withholding by properly executing under penalties of perjury an IRS Form W-9 or substantially similar form that provides: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correct taxpayer identification number;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certification that you are not subject to backup withholding because (a) you are a corporation or come within another enumerated exempt category, (b) you have not been notified by the IRS that you are subject to backup withholding or (c) you have been notified by the IRS that you are no longer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do not provide your correct taxpayer identification number on the IRS Form W-9 or substantially similar form, you may be subject to penalties imposed by the IRS. Unless you have established on a properly executed IRS Form W-9 or substantially similar form that you are a corporation or come within another enumerated exempt category, interest and other payments on the Notes paid to you (including accrued OID) during the calendar year, and the amount of tax withheld, if any, may be reported to you and to the IRS.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Non-U.S. Holder, the amount of interest (including OID) on the Notes, and the amount of tax withheld, if any, will generally be reported to you and to the IRS. Copies of the information returns reporting such interest payments and withholding may also be made available to the tax authorities of the country in which you reside or are established under the provisions of an applicable treaty or agreement. This information reporting requirement applies regardless of whether you were subject to withholding or whether withholding was reduced or eliminated by an applicable tax treaty. Also, interest (including OID) on the Notes may be subject to backup withholding, unless you properly certify your Non-U.S. Holder status on an IRS Form W-8BEN or IRS Form W-8BEN-E (as applicable), or a substantially similar form in the manner described above. Similarly, proceeds you receive upon the sale, exchange, redemption, retirement or other taxable disposition of the Notes may be subject to information reporting requirements and backup withholding, unless you properly certify your Non-U.S. Holder status on an IRS Form W-8BEN or IRS Form W-8BEN-E (as applicable), or a substantially similar form. </w:t>
      </w:r>
    </w:p>
    <w:p>
      <w:pPr>
        <w:pStyle w:val="TextBody"/>
        <w:bidi w:val="0"/>
        <w:spacing w:before="240" w:after="0"/>
        <w:jc w:val="left"/>
        <w:rPr>
          <w:rFonts w:ascii="Times New Roman" w:hAnsi="Times New Roman"/>
          <w:b/>
          <w:sz w:val="20"/>
        </w:rPr>
      </w:pPr>
      <w:r>
        <w:rPr>
          <w:rFonts w:ascii="Times New Roman" w:hAnsi="Times New Roman"/>
          <w:b/>
          <w:sz w:val="20"/>
        </w:rPr>
        <w:t xml:space="preserve">The U.S. federal income tax discussion set forth above is included for general information only and may not be applicable depending upon your particular situation. You should consult your own tax advisor regarding the tax consequences to you of the acquisition, ownership and disposition of the Notes, including the tax consequences under state, local, foreign and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toc19416_9"/>
      <w:bookmarkEnd w:id="11"/>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contained in an underwriting agreement, dated the date of this prospectus supplement between us and the underwriters named below, for whom BofA Securities, Inc., Goldman Sachs &amp; Co. LLC, Morgan Stanley &amp; Co. LLC, MUFG Securities Americas Inc. and Wells Fargo Securities, LLC are acting as representatives, we have agreed to sell to each underwriter, and each underwriter has agreed to purchase from us, severally and not jointly, the principal amount of Notes that appear opposite its name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48"/>
        <w:gridCol w:w="443"/>
        <w:gridCol w:w="177"/>
        <w:gridCol w:w="2208"/>
        <w:gridCol w:w="63"/>
      </w:tblGrid>
      <w:tr>
        <w:trPr/>
        <w:tc>
          <w:tcPr>
            <w:tcW w:w="4048"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43" w:type="dxa"/>
            <w:tcBorders/>
            <w:vAlign w:val="bottom"/>
          </w:tcPr>
          <w:p>
            <w:pPr>
              <w:pStyle w:val="TableContents"/>
              <w:bidi w:val="0"/>
              <w:spacing w:before="0" w:after="283"/>
              <w:jc w:val="left"/>
              <w:rPr/>
            </w:pPr>
            <w:r>
              <w:rPr/>
              <w:t>  </w:t>
            </w:r>
          </w:p>
        </w:tc>
        <w:tc>
          <w:tcPr>
            <w:tcW w:w="2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w:t>
              <w:br/>
              <w:t>Notes</w:t>
            </w:r>
          </w:p>
        </w:tc>
        <w:tc>
          <w:tcPr>
            <w:tcW w:w="63" w:type="dxa"/>
            <w:tcBorders/>
            <w:vAlign w:val="bottom"/>
          </w:tcPr>
          <w:p>
            <w:pPr>
              <w:pStyle w:val="TableContents"/>
              <w:bidi w:val="0"/>
              <w:spacing w:before="0" w:after="283"/>
              <w:jc w:val="left"/>
              <w:rPr/>
            </w:pPr>
            <w:r>
              <w:rPr/>
              <w:t> </w:t>
            </w:r>
          </w:p>
        </w:tc>
      </w:tr>
      <w:tr>
        <w:trPr/>
        <w:tc>
          <w:tcPr>
            <w:tcW w:w="4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4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220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048"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4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220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4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20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048"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44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220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44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20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048"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44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220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44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20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048"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4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220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44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20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048"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44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220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04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20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4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220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04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220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their acceptance of the Notes from us and subject to prior sale. The underwriting agreement provides that the obligations of the several underwriters to pay for and accept delivery of the Notes offered hereby are subject to certain conditions. The underwriting agreement provides that the underwriters are obligated to purchase all of the Notes,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Notes sold by the underwriters to the public will initially be offered at the price to the public set forth on the cover page of this prospectus supplement and may be offered to certain dealers at this price less a concession not in excess of  % of the aggregate principal amount of the Notes. The underwriters may allow, and those dealers may reallow, a discount not in excess of  % of the aggregate principal amount of the Notes. If all the Notes are not sold at the price to the public, the underwriters may change the price to the public and the other selling terms. The underwriters may offer and sell Notes through certain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 that we will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60"/>
        <w:gridCol w:w="584"/>
        <w:gridCol w:w="168"/>
        <w:gridCol w:w="1048"/>
        <w:gridCol w:w="279"/>
      </w:tblGrid>
      <w:tr>
        <w:trPr/>
        <w:tc>
          <w:tcPr>
            <w:tcW w:w="4860" w:type="dxa"/>
            <w:tcBorders/>
            <w:vAlign w:val="center"/>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8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79" w:type="dxa"/>
            <w:tcBorders/>
            <w:vAlign w:val="bottom"/>
          </w:tcPr>
          <w:p>
            <w:pPr>
              <w:pStyle w:val="TableContents"/>
              <w:bidi w:val="0"/>
              <w:spacing w:before="0" w:after="283"/>
              <w:jc w:val="left"/>
              <w:rPr/>
            </w:pPr>
            <w:r>
              <w:rPr/>
              <w:t> </w:t>
            </w:r>
          </w:p>
        </w:tc>
      </w:tr>
      <w:tr>
        <w:trPr/>
        <w:tc>
          <w:tcPr>
            <w:tcW w:w="4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58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86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8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Expenses associated with this offering to be paid by us, other than the underwriting discount, are estimated to be approximately $    . </w:t>
      </w:r>
    </w:p>
    <w:p>
      <w:pPr>
        <w:pStyle w:val="TextBody"/>
        <w:bidi w:val="0"/>
        <w:spacing w:before="240" w:after="0"/>
        <w:jc w:val="left"/>
        <w:rPr>
          <w:rFonts w:ascii="Times New Roman" w:hAnsi="Times New Roman"/>
          <w:sz w:val="20"/>
        </w:rPr>
      </w:pPr>
      <w:r>
        <w:rPr>
          <w:rFonts w:ascii="Times New Roman" w:hAnsi="Times New Roman"/>
          <w:sz w:val="20"/>
        </w:rPr>
        <w:t xml:space="preserve">We have also agreed to indemnify the several underwriters against certain liabilities, including liabilities under the Securities Act of 1933, as amended, or to contribute to payments which the underwriters may be required to make in respect of any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list the Notes on any securities exchange or seek their quotation on any automated dealer quotation system. The underwriters have advised us that they intend to make a market in the Notes, but they are not obligated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their sole discretion, the underwriters may discontinue any market making in the Notes at any time without notice. Accordingly, we cannot assure you that a liquid trading market will develop for the Notes, that you will be able to sell your Notes at a particular time or that the price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transactions that stabilize, maintain or otherwise affect the price of the Notes. Specifically, the underwriters may overallot in connection with this offering, creating syndicate short positions. In addition, the underwriters may bid for and purchase Notes in the open market to cover syndicate short positions or to stabilize the price of the Notes. Finally, the underwriting syndicate may reclaim selling concessions allowed for distributing the Notes in this offering if the syndicate repurchases previously distributed Notes in syndicate covering transactions, stabilizing transactions or otherwise. Any of these activities may stabilize or maintain the market price of the Notes above independent market levels. The underwriters are not required to engage in any of these activities, and may end any of them at any time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to deliver the Notes against payment for the Notes on or about the date specified in the last paragraph of the cover page of this prospectus supplement, which will be the    business day following the date of this prospectus supplement (“T+ ”). Under Rule 15c6-1 under the Exchange Act, trades in the secondary market generally are required to settle in one business day, unless the parties to a trade expressly agree otherwise. Accordingly, purchasers who wish to trade the Notes on any date prior to the first business day before delivery of the Notes will be required, by virtue of the fact that the Notes initially will settle in T+  , to specify alternative settlement arrangements to prevent a failed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corporate trust, investment management, investment research, principal investment, hedging, financing and brokerage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affiliates have provided and in the future may continue to provide investment banking, commercial banking, corporate trust and other financial services, including the provision of credit facilities, to us and our affiliates in the ordinary course of business for which they have received and will receive customary compensation. Certain of the underwriters or their respective affiliates are lenders or agents under a master revolving credit agreement entered into with Evergy, Inc., Evergy Kansas Central, Evergy Metro and Evergy Missouri West.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or instruments of ours or our subsidiaries.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 of the Notes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As described under “Use of Proceeds,” a portion of the net proceeds of this offering is expected to be used to repay a portion of the Term Loan. Because certain of the underwriters or their respective affiliates are lenders under the Term Loan and therefore may receive a portion of the net proceeds of this offering, any such underwriter would be deemed to have a conflict of interest under FINRA Rule 5121 if such underwriter or its affiliates receive at least 5%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deemed to have a conflict of interest would be required to conduct the distribution of the Notes in accordance with FINRA Rule 5121. If this offering is conducted in accordance with FINRA Rule 5121, such underwriter would not be permitted to confirm a sale to an account over which it exercises discretionary authority without first receiving specific written approval from the account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For these purposes a “retail investor” means a person who is one (or more) of: (a) a retail client as defined in point (11) of Article 4(1) of Directive 2014/65/EU (as amended, “MiFID II”); (b) a customer within the meaning of Directive (EU) 2016/97 (as amended), where that customer would not qualify as a professional client as defined in point (10) of Article 4(1) of MiFID II; or (c)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the Notes in any member state of the European Economic Area will be made pursuant to an exemption under the Prospectus Regulation from the requirement to publish a prospectus for offers of the Notes. This prospectus supplement and the accompanying prospectus are not a prospectus for the purposes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made and will not make an offer of the Notes which are the subject of the offering contemplated by this prospectus supplement to the public in the United Kingdom, except that it may make an offer of such Notes to the public in the United Kingdom: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any legal entity that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fewer than 150 natural or legal persons (other than qualified investors as defined in paragraph 15 of Schedule 1 to the POATRs) in the United Kingdom, subject to obtaining the prior consent of the relevant underwriter or underwriters nominated by us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of Notes to the public” in relation to any Notes, means the communication in any form and by any means of sufficient information on the terms of the offer and the Notes to be offered so as to enable an investor to decide to purchase or subscribe for the Notes, and the expression “POATRs”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neither (a) a professional client, as defined in point (8) of Article 2(1) of Regulation (EU) No 600/2014 as it forms part of domestic law by virtue of the European Union (Withdrawal) Act 2018 (as amended, the “EUWA”); nor (b) a qualified investor as defined in paragraph 15 of Schedule 1 to the POATRs.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the PRIIPs Regulation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this offering falls within one of the exceptions specified in Part 1 of Schedule 1 to the POATRs. Accordingly, there will not be a prospectus prepared or published for the purposes of the POATRs. This prospectus supplement and the accompanying prospectus are not a prospectus for the purposes of the POATRs or the Financial Services and Markets Act 2000 (the “FSMA”), and any offer of the Notes in the United Kingdom is made pursuant to an exemption under the POATRs or the FSMA.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for distribution only to persons in the United Kingdom who are qualified investors (as defined in paragraph 15 of Schedule 1 to the POATRs) and (a) have professional experience in matters relating to investments and who qualify as investment professionals within the meaning of Article 19(5) of the Financial Services and Markets Act 2000 (Financial Promotion) Order 2005 (as amended, the “Financial Promotion Order”), (b) are persons falling within Article 49(2)(a) to (d) (“high net worth companies, unincorporated associations etc.”) of the Financial Promotion Order, or (c)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supplement and the accompanying prospectus, product disclosure statement or other disclosure document has been lodged with the Australian Securities and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Commission, in relation to this offering. This prospectus supplement and the accompanying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person acquiring the Notes must observe such Australian on-sale restrictions. This prospectus supplement and the accompanying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“Financial Instruments and Exchange Act”) and the Notes have not been offered or sold and will not be offered or sold, directly or indirectly, in Japan or to, or for the account for or the benefit of, any resident of Japan (which term as used herein means any person resident in Japan, including any corporation or other entity organized under the laws of Japan), or to others for re-offering or resale, directly or indirectly, in Japan or to, or the account for or for the benefit of, any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and will not be registered as a prospectus under the Securities and Futures Act 2001 (the “SFA”) by the Monetary Authority of Singapore.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Section 4A of the SFA (an “Institutional Investor”) pursuant to Section 274 of the SFA, (b)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(c) otherwise pursuant to, and in accordance with, the conditions of any other applicable exemption or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Notes are subscribed for or acquired pursuant to an offer made in reliance on Section 275 of the SFA by a Relevant Person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the sole purpose of which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Notes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an Accredited Investor or Relevant Person, or which arises from an offer referred to in Section 275(1A) of the SFA (in the case of that corporation) or Section 276(4)(c)(ii) of the SFA (in the case of that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b/>
          <w:sz w:val="20"/>
        </w:rPr>
        <w:t>Singapore Securities and Futures Act Product Classification—</w:t>
      </w:r>
      <w:r>
        <w:rPr>
          <w:rFonts w:ascii="Times New Roman" w:hAnsi="Times New Roman"/>
          <w:sz w:val="20"/>
        </w:rPr>
        <w:t xml:space="preserve">Solely for the purposes of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underwriters are making any representation with respect to the eligibility of any recipients of this document to acquire the Notes under the laws of Korea, including but without limitation the Foreign Exchange Transactions Act and the subordinate decrees and regulations thereunder (collectively, the “FETL”). The Notes have not been, and will not be, registered under the Financial Investment Services and Capital Markets Act of Korea and the decrees and regulations thereunder (the “FSCMA”). None of the Notes may be offered, sold or delivered, directly or indirectly, or offered or sold to any person for re-offering or resale or re-delivery, directly or indirectly, in Korea or to, or for the account or benefit of, any resident of Korea (as defined in the FETL) except as otherwise permitted under the applicable laws and regulations of Korea, including the FETL and the FSCMA. Furthermore, the Notes may not be resold to Korean residents unless the purchaser of the Notes complies with all applicable regulatory requirements (including but not limited to government reporting or approval requirements under the FETL) in connection with the purchase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marketing material relating to the Notes constitutes a prospectus pursuant to the FinSA or a listing prospectus within the meaning of the listing rules of the Swiss Exchange or any other regulated trading facility in Switzerland, and neither this prospectus supplement, the accompanying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or filed with, or approved by,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or filing with or the approval of the Financial Supervisory Commission of Taiwan. No person or entity in Taiwan has been authorized or will be authorized to offer, sell, give advice regarding or otherwise intermediate the offering or sale of the Notes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or the Abu Dhabi Global Market) governing the issue, offering and sale of securities. Further, this prospectus supplement and the accompanying prospectus do not constitute a public offer of securities in the United Arab Emirates (including the Dubai International Financial Centre or the Abu Dhabi Global Market) and are not intended to be a public offer. This prospectus supplement and the accompanying prospectus have not been approved by or filed with the Central Bank of the United Arab Emirates, the Securities and Commodities Authority or the Dubai Financial Services Authority or the Abu Dhabi Global Market’s Financial Services Regulatory Authority (FSRA).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toc19416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of the Notes will be passed upon for us by Heather A. Humphrey, Senior Vice President, General Counsel and Corporate Secretary of Evergy, and Hunton Andrews Kurth LLP, New York, New York. Certain legal matters will be passed upon for the underwriters by Bracewell LLP, New York, New York. From time to time, Bracewell LLP acts as counsel for us and our affiliates for various matters. </w:t>
      </w:r>
    </w:p>
    <w:p>
      <w:pPr>
        <w:pStyle w:val="TextBody"/>
        <w:bidi w:val="0"/>
        <w:spacing w:before="240" w:after="0"/>
        <w:jc w:val="left"/>
        <w:rPr>
          <w:rFonts w:ascii="Times New Roman" w:hAnsi="Times New Roman"/>
          <w:sz w:val="20"/>
        </w:rPr>
      </w:pPr>
      <w:r>
        <w:rPr>
          <w:rFonts w:ascii="Times New Roman" w:hAnsi="Times New Roman"/>
          <w:sz w:val="20"/>
        </w:rPr>
        <w:t xml:space="preserve">At August 1, 2026, Ms. Humphrey owned beneficially a number of shares of common stock of Evergy, including restricted stock and performance shares that may be paid in shares of common stock at a later date based on Evergy’s performance, which represented less than 0.1% of the total outstanding common stock of Evergy. </w:t>
      </w:r>
    </w:p>
    <w:p>
      <w:pPr>
        <w:pStyle w:val="TextBody"/>
        <w:bidi w:val="0"/>
        <w:spacing w:before="480" w:after="0"/>
        <w:jc w:val="center"/>
        <w:rPr>
          <w:rFonts w:ascii="Times New Roman" w:hAnsi="Times New Roman"/>
          <w:b/>
          <w:sz w:val="20"/>
        </w:rPr>
      </w:pPr>
      <w:bookmarkStart w:id="13" w:name="stoc19416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Evergy, Inc. as of December 31, 2025 and 2024, and for each of the three years in the period ended December 31, 2025, incorporated by reference in this prospectus supplement, and the effectiveness of Evergy, Inc.’s internal control over financial reporting have been audited by Deloitte &amp; Touche LLP, an independent registered public accounting firm, as stated in their reports, which are also incorporated by reference herein.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EVERGY, INC. </w:t>
      </w:r>
    </w:p>
    <w:p>
      <w:pPr>
        <w:pStyle w:val="TextBody"/>
        <w:bidi w:val="0"/>
        <w:spacing w:before="240" w:after="0"/>
        <w:jc w:val="center"/>
        <w:rPr>
          <w:rFonts w:ascii="Times New Roman" w:hAnsi="Times New Roman"/>
          <w:b/>
          <w:sz w:val="28"/>
        </w:rPr>
      </w:pPr>
      <w:r>
        <w:rPr>
          <w:rFonts w:ascii="Times New Roman" w:hAnsi="Times New Roman"/>
          <w:b/>
          <w:sz w:val="28"/>
        </w:rPr>
        <w:t xml:space="preserve">Senior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Subordinated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Preference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Evergy, Inc. (“Evergy”) may offer and sell, from time to time, these securities in one or more offerings. We may offer the securities simultaneously or at different times, in one or more separate series, in amounts, at prices and on terms to be determined at or prior to the time or times of sale.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these securities. We will provide specific information about the offerings and the terms of these securities in one or more supplements to this prospectus. The supplements may also add, update or change the information contained in this prospectus. This prospectus may not be used to offer and sell our securities unless accompanied by a prospectus supplement. You should read this prospectus and the related prospectus supplements before you invest in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of Evergy, Inc. is listed on the Nasdaq Stock Market LLC under the symbol “EVRG.”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1200 Main Street, Kansas City, Missouri 64105 and our telephone number is (816) 556-2200.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risks. You should carefully consider the information referred to under the heading “</w:t>
      </w:r>
      <w:hyperlink w:anchor="tx90554_4">
        <w:r>
          <w:rPr>
            <w:rStyle w:val="InternetLink"/>
            <w:rFonts w:ascii="Times New Roman" w:hAnsi="Times New Roman"/>
            <w:b/>
            <w:sz w:val="24"/>
          </w:rPr>
          <w:t>Risk Factors</w:t>
        </w:r>
      </w:hyperlink>
      <w:r>
        <w:rPr>
          <w:rFonts w:ascii="Times New Roman" w:hAnsi="Times New Roman"/>
          <w:b/>
          <w:sz w:val="24"/>
        </w:rPr>
        <w:t xml:space="preserve">” on page 5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through one or more underwriters, dealers or agents, or directly to purchasers, on a continuous or delayed basis. We will set forth in the related prospectus supplement the specific terms of the plan of distribution, including the name of the underwriters, dealers or agents, the discount or commission received by them from us as compensation, our other expenses for the offering and sale of these securities and the net proceeds we receive from the sale. See “Plan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16,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
      <w:bookmarkEnd w:id="1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9055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2">
              <w:r>
                <w:rPr>
                  <w:rStyle w:val="InternetLink"/>
                  <w:rFonts w:ascii="Times New Roman" w:hAnsi="Times New Roman"/>
                  <w:sz w:val="20"/>
                </w:rPr>
                <w:t>CAUTIONARY STATEMENTS REGARDING CERTAIN FORWARD-LOOKING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3">
              <w:r>
                <w:rPr>
                  <w:rStyle w:val="InternetLink"/>
                  <w:rFonts w:ascii="Times New Roman" w:hAnsi="Times New Roman"/>
                  <w:sz w:val="20"/>
                </w:rPr>
                <w:t>EVERGY,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6">
              <w:r>
                <w:rPr>
                  <w:rStyle w:val="InternetLink"/>
                  <w:rFonts w:ascii="Times New Roman" w:hAnsi="Times New Roman"/>
                  <w:sz w:val="20"/>
                </w:rPr>
                <w:t xml:space="preserve">DESCRIPTION OF DEBT SECURITIES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7">
              <w:r>
                <w:rPr>
                  <w:rStyle w:val="InternetLink"/>
                  <w:rFonts w:ascii="Times New Roman" w:hAnsi="Times New Roman"/>
                  <w:sz w:val="20"/>
                </w:rPr>
                <w:t xml:space="preserve">DESCRIPTION OF COMMON STOCK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8">
              <w:r>
                <w:rPr>
                  <w:rStyle w:val="InternetLink"/>
                  <w:rFonts w:ascii="Times New Roman" w:hAnsi="Times New Roman"/>
                  <w:sz w:val="20"/>
                </w:rPr>
                <w:t xml:space="preserve">DESCRIPTION OF PREFERENCE STOCK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9">
              <w:r>
                <w:rPr>
                  <w:rStyle w:val="InternetLink"/>
                  <w:rFonts w:ascii="Times New Roman" w:hAnsi="Times New Roman"/>
                  <w:sz w:val="20"/>
                </w:rPr>
                <w:t xml:space="preserve">DESCRIPTION OF DEPOSITARY SHARES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0">
              <w:r>
                <w:rPr>
                  <w:rStyle w:val="InternetLink"/>
                  <w:rFonts w:ascii="Times New Roman" w:hAnsi="Times New Roman"/>
                  <w:sz w:val="20"/>
                </w:rPr>
                <w:t>DESCRIPTION OF STOCK PURCHASE CONTRACTS AND STOCK PURCHASE UNITS OR WARRANTS FOR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1">
              <w:r>
                <w:rPr>
                  <w:rStyle w:val="InternetLink"/>
                  <w:rFonts w:ascii="Times New Roman" w:hAnsi="Times New Roman"/>
                  <w:sz w:val="20"/>
                </w:rPr>
                <w:t>BOOK-ENTRY SYSTEM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0554_15">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90554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filed with the Securities and Exchange Commission (the “SEC”) using a “shelf” registration process. By using this process, we may, from time to time, sell any combination of the securities described in this prospectus in one or more offerings. We may offer any of the following securities: senior debt securities or subordinated debt securities, each of which may be convertible into our common stock, common stock, preference stock, depositary shares, stock purchase contracts and stock purchase units. We may also offer warrants to purchase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you with a supplement to this prospectus that will describe the specific terms of that offering. The prospectus supplement may also add, update or change the information contained in this prospectus, including information about us. If there is any inconsistency between the information in this prospectus and the prospectus supplement, you should rely on the information in the prospectus supplement. The registration statement we filed with the SEC includes exhibits that provide more detail on descriptions of the matters discussed in this prospectus. Therefore, for a complete understanding of our securities being offered, we urge you to read carefully the registration statement (including the exhibits thereto), this prospectus and any prospectus supplement accompanying this prospectus, together with the information incorporated herein by reference under “Where You Can Find More Information,” before deciding whether to invest in any of our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any free writing prospectus that we file with the SEC contain and incorporate by reference information that you should consider when making your investment decision. We have not, and the underwriters have not, authorized anyone to provide you with different information, and neither we nor the underwriters of any offering of securities will authorize anyone else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or as otherwise indicated, when we refer to “Evergy,” the “Company,” “we,” “us” or “our” in this prospectus or when we otherwise refer to ourselves in this prospectus, we mean Evergy, Inc. and its subsidiaries, unless the context clearly indicates otherwise. Additionally, when we refer to the Evergy Companies we mean, collectively, Evergy, Inc., Evergy Kansas Central, Inc. (“Evergy Kansas Central”) and Evergy Metro, Inc. (“Evergy Metro”).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90554_2"/>
      <w:bookmarkEnd w:id="16"/>
      <w:r>
        <w:rPr>
          <w:rFonts w:ascii="Times New Roman" w:hAnsi="Times New Roman"/>
          <w:b/>
          <w:sz w:val="20"/>
        </w:rPr>
        <w:t xml:space="preserve">CAUTIONARY STATEMENTS REGARDING </w:t>
      </w:r>
    </w:p>
    <w:p>
      <w:pPr>
        <w:pStyle w:val="TextBody"/>
        <w:bidi w:val="0"/>
        <w:spacing w:before="0" w:after="0"/>
        <w:jc w:val="center"/>
        <w:rPr>
          <w:rFonts w:ascii="Times New Roman" w:hAnsi="Times New Roman"/>
          <w:b/>
          <w:sz w:val="20"/>
        </w:rPr>
      </w:pPr>
      <w:r>
        <w:rPr>
          <w:rFonts w:ascii="Times New Roman" w:hAnsi="Times New Roman"/>
          <w:b/>
          <w:sz w:val="20"/>
        </w:rPr>
        <w:t xml:space="preserve">CERTAIN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or deemed incorporated by reference herein as described under the heading “Where You Can Find More Information” contain forward-looking statements that are not based on historical facts are forward-looking, may involve risks and uncertainties, and are intended to be as of the date when made. Forward-looking statements include, but are not limited to, statements relating to Evergy’s strategic plan, including, but not limited to,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safe harbor provisions of the Private Securities Litigation Reform Act of 1995, we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This list of factors is not all-inclusive because it is not possible to predict all factors. You should also carefully consider the information contained under the heading “Risk Factors” in this prospectus, any prospectus supplement, and in our other SEC filings. Additional risks and uncertainties are discussed in the Annual Report on Form 10-K for the year ended December 31, 2023 filed by Evergy with the SEC, and from time to time in current reports on Form 8-K and quarterly reports on Form 10-Q filed by Evergy with the SEC. Each forward-looking statement speaks only as of the date of the particular statement. Evergy undertakes no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90554_3"/>
      <w:bookmarkEnd w:id="17"/>
      <w:r>
        <w:rPr>
          <w:rFonts w:ascii="Times New Roman" w:hAnsi="Times New Roman"/>
          <w:b/>
          <w:sz w:val="20"/>
        </w:rPr>
        <w:t xml:space="preserve">EVERGY, INC. </w:t>
      </w:r>
    </w:p>
    <w:p>
      <w:pPr>
        <w:pStyle w:val="TextBody"/>
        <w:bidi w:val="0"/>
        <w:spacing w:before="240" w:after="0"/>
        <w:jc w:val="left"/>
        <w:rPr>
          <w:rFonts w:ascii="Times New Roman" w:hAnsi="Times New Roman"/>
          <w:sz w:val="20"/>
        </w:rPr>
      </w:pPr>
      <w:r>
        <w:rPr>
          <w:rFonts w:ascii="Times New Roman" w:hAnsi="Times New Roman"/>
          <w:sz w:val="20"/>
        </w:rPr>
        <w:t xml:space="preserve">Evergy is a public utility holding company incorporated in 2017 and headquartered in Kansas City, Missouri. Evergy operates primarily through the following wholly-owned direct subsidiaries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Kansas Central is an integrated, regulated electric utility that provides electricity to customers in the state of Kansas. Evergy Kansas Central has one active wholly-owned subsidiary with significant operations, Evergy Kansas South,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Metro is an integrated, regulated electric utility that provides electricity to customers in the states of Missouri and Kansas.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Missouri West, Inc. (“Evergy Missouri West”) is an integrated, regulated electric utility that provides electricity to customers in the state of Missouri.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Transmission Company, LLC (“Evergy Transmission Company”) owns 13.5% of Transource Energy, LLC (“Transource”) with the remaining 86.5% owned by AEP Transmission Holding Company, LLC, a subsidiary of American Electric Power Company, Inc. Transource is focused on the development of competitive electric transmission projects. Evergy Transmission Company accounts for its investment in Transource under the equity method.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1200 Main Street, Kansas City, Missouri 64015, and our telephone number is (816) 556-2200. We maintain a website at www.evergy.com where general information about us is available. Our Internet site and the information contained therein or connected thereto are not intended to be incorporated into this prospectus and should not be considered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90554_4"/>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Our business is influenced by many factors that are difficult to predict, involve uncertainties that may materially affect actual results and are often beyond our control. You should carefully consider the information under the heading “Risk Factors”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prospectus supplement relating to any securities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2023, filed with the SEC on </w:t>
            </w:r>
            <w:hyperlink r:id="rId11">
              <w:r>
                <w:rPr>
                  <w:rStyle w:val="InternetLink"/>
                  <w:rFonts w:ascii="Times New Roman" w:hAnsi="Times New Roman"/>
                  <w:sz w:val="20"/>
                </w:rPr>
                <w:t>February 29, 2024</w:t>
              </w:r>
            </w:hyperlink>
            <w:r>
              <w:rPr>
                <w:rFonts w:ascii="Times New Roman" w:hAnsi="Times New Roman"/>
                <w:sz w:val="20"/>
              </w:rPr>
              <w:t xml:space="preserve"> and incorporated by reference into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2024 and June 30, 2024, filed with the SEC on </w:t>
            </w:r>
            <w:hyperlink r:id="rId12">
              <w:r>
                <w:rPr>
                  <w:rStyle w:val="InternetLink"/>
                  <w:rFonts w:ascii="Times New Roman" w:hAnsi="Times New Roman"/>
                  <w:sz w:val="20"/>
                </w:rPr>
                <w:t>May  9, 2024</w:t>
              </w:r>
            </w:hyperlink>
            <w:r>
              <w:rPr>
                <w:rFonts w:ascii="Times New Roman" w:hAnsi="Times New Roman"/>
                <w:sz w:val="20"/>
              </w:rPr>
              <w:t xml:space="preserve"> and </w:t>
            </w:r>
            <w:hyperlink r:id="rId13">
              <w:r>
                <w:rPr>
                  <w:rStyle w:val="InternetLink"/>
                  <w:rFonts w:ascii="Times New Roman" w:hAnsi="Times New Roman"/>
                  <w:sz w:val="20"/>
                </w:rPr>
                <w:t>August 9, 2024</w:t>
              </w:r>
            </w:hyperlink>
            <w:r>
              <w:rPr>
                <w:rFonts w:ascii="Times New Roman" w:hAnsi="Times New Roman"/>
                <w:sz w:val="20"/>
              </w:rPr>
              <w:t xml:space="preserve">, respectively, and incorporated by reference into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documents that we file with the SEC after the date of this prospectus and that are deemed incorporated by reference into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90554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we inform you otherwise in a supplement to this prospectus, we anticipate using any net proceeds received by us from the issuance of any of the offered securities for general corporate purposes,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retirement or refinancing of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funding of construction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investments in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Pending such uses, we may also invest the proceeds in certificates of deposit, United States government securities or certain other short-term interest-bearing securities. If we decide to use the net proceeds from a particular offering of securities for a specific purpose, we will describe that in the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90554_6"/>
      <w:bookmarkEnd w:id="2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and the subordinated debt securities, which we refer to collectively as the debt securities, will represent unsecured obligations of Evergy exclusively, and not the obligation of any of our subsidiaries. We may issue one or more series of debt securities directly to the public or as part of a stock purchase unit from time to time. We expect that each series of senior debt securities or subordinated debt securities will be issued as a new series of debt securities under one of two separate indentures, as each may be amended or supplemented from time to time. We will issue the senior debt securities in one or more series under the senior indenture, dated as of June 1, 2004, between Evergy and The Bank of New York Mellon Trust Company, N.A., as successor trustee (the “Trustee”), as previously amended and supplemented. We will issue the subordinated debt securities in one or more series under the subordinated indenture, dated as of May 18, 2009, between Evergy and The Bank of New York Mellon Trust Company, N.A., as trustee, as previously amended and supplemented. The senior indenture, the subordinated indenture and the form of any supplemental indenture or other instrument establishing the debt securities of a particular series are filed as exhibits to, or will be subsequently incorporated by reference in, the registration statement of which this prospectus is a part. Each indenture has been qualified under the Trust Indenture Act of 1939, as amended. The following summaries of certain provisions of the senior indenture, the subordinated indenture and the applicable debt securities do not purport to be complete and are subject to, and qualified in their entirety by, all of the provisions of the senior indenture or the subordinated indenture, as the case may be, and the applicable debt securities. We may also sell hybrid or novel securities now existing or developed in the future that combine certain features of the debt securities and other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the issuance and provide for the terms of a series of debt securities by or pursuant to a resolution of our Board of Directors or any duly authorized committee thereof or pursuant to a supplemental indenture or to a company order, as described in the indentures. There will be no requirement under either the senior indenture or the subordinated indenture that our future issuances of debt securities be issued exclusively under either indenture. We will be free to employ other indentures or documentation containing provisions different from those included in either indenture or applicable to one or more issuances of senior debt securities or subordinated debt securities, as the case may be, in connection with future issuances of other debt securities. The senior indenture and the subordinated indenture will provide that the applicable debt securities will be issued in one or more series, may be issued at various times, may have differing maturity dates, may bear interest at differing rates and may have other differing terms and conditions, as described below. We need not issue all debt securities of one series at the same time and, unless otherwise provided, we may reopen a series, without the consent of the holders of the senior debt securities or the subordinated debt securities of that series, as the case may be, for issuances of additional senior debt securities or subordinated debt securities of that series, as applicable. One or more series of the debt securities may be issued with the same or various maturities at par, above par or at a discount. Debt securities bearing no interest or interest at a rate which, at the time of issuance, is below the market rate (“Original Issue Discount Securities”) will be sold at a discount (which may be substantial) below their stated principal amount. Federal income tax consequences and other special considerations applicable to any such Original Issue Discount Securities will be described in the prospectus supplement relating thereto. Unless otherwise described in the applicable prospectus supplement, neither indenture described above will limit the aggregate amount of debt, including secured debt, we or our subsidiaries may incur. Both indentures will also permit us to merge or consolidate or to transfer our assets, subject to certain conditions (see “—Consolidation, Merger and Sale or Disposition of Assets” below).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will be direct unsecured obligations of Evergy, Inc. exclusively, and not the obligation of any of our subsidiaries. The senior debt securities will rank equally with all of Evergy’s unsecured and unsubordinated debt and the subordinated debt securities will be junior in right of payment to our Senior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Indebtedness (including senior debt securities), as described under the heading “—Subordination.” At June 30, 2024, Evergy had approximately $3,746.0 million of outstanding Senior Indebtedness (as defined below) (including guarantees of $746.0 million of Evergy Missouri West indebtedness). </w:t>
      </w:r>
    </w:p>
    <w:p>
      <w:pPr>
        <w:pStyle w:val="TextBody"/>
        <w:bidi w:val="0"/>
        <w:spacing w:before="240" w:after="0"/>
        <w:jc w:val="left"/>
        <w:rPr>
          <w:rFonts w:ascii="Times New Roman" w:hAnsi="Times New Roman"/>
          <w:sz w:val="20"/>
        </w:rPr>
      </w:pPr>
      <w:r>
        <w:rPr>
          <w:rFonts w:ascii="Times New Roman" w:hAnsi="Times New Roman"/>
          <w:sz w:val="20"/>
        </w:rPr>
        <w:t xml:space="preserve">Evergy is a holding company that derives substantially all of its income from its operating subsidiaries. As a result, our cash flows and consequent ability to service our debt, including the debt securities, are dependent upon the earnings of our subsidiaries and distribution of those earnings to us and other payments or distributions of funds by our subsidiaries to us, including payments of principal and interest under intercompany indebtedness. Our operating subsidiaries are separate and distinct legal entities and will have no obligation, contingent or otherwise, to pay any dividends or make any other distributions (except for payments required pursuant to the terms of intercompany indebtedness) to us or to otherwise pay amounts due with respect to the debt securities or to make specific funds available for such payments. Furthermore, except to the extent we have a priority or equal claim against our subsidiaries as a creditor, the debt securities will be structurally subordinated to debt at the subsidiary level because, as the common shareholder of our subsidiaries, we will be subject to the prior claims of creditors of our subsidiaries. At June 30, 2024, our subsidiaries had approximately $10,442.0 million of aggregate outstanding debt (including debt guaranteed by Evergy).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a Particular Series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applicable to each issuance of debt securities will specify,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any limitation on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issue date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any of the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fixed or variable interest rate or rates, or method of calculation of such rate or rates, for the debt securities, and the date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regarding the optional or mandatory redemption of any debt securities, including the redemption date or dates, if any, and the price or prices applicable to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such debt securities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any debt securities may be repaid, in whole or in part, at the option of the holder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purchase, or repay the debt securities pursuant to any sinking fund or analogous provision or at the option of a holder thereof and the period or periods within which, the price or prices at which, and the terms and conditions upon which the debt securities shall be redeemed, purchased, or repaid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issued in whole or in part in the form of one of more global securities and, if so, the identity of the depository for such global security or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premium, if any, and interest on, the debt securities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deletion or modification to the events of default applicable to that series of debt securities and the covenants for the benefit of the holders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declaration of dividends or the requirement to maintain certain asset ratios or the creation and maintenance of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remarketing features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collateral, security, assurance, or guarantee for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the debt securities payable upon declaration of acceleration of the maturity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exchange(s), if any, on which the debt securities will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pursuant to which debt securities may be converted into or exchanged for shares of our capital stock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deferral or extension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or any change in the subordination provisions for a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warrants we may issue to purchase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not inconsistent with the provisions of the applicable indenture.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right of payment to all of our Senior Indebtedness,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In the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bankruptcy, insolvency, receivership or other similar proceedings or any dissolution, winding-up, liquidation or reorganization, whether voluntary or involuntary, of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 default shall have occurred with respect to the payment of principal of or interest on or other monetary amounts due and payable on any Senior Indebtedness, and such default continues beyond any applicable grace period and shall not have been cured, waived or ceased to exist;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default has occurred and continues without cure or waiver (after the expiration of any applicable grace period) pursuant to which the holders of Senior Indebtedness are permitted to accelerate the maturity of such Senior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all Senior Indebtedness must be paid, or provision for such payment be made, in full before the holders of the subordinated debt securities are entitled to receive or retain any payment (including redemption and sinking fund payments).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maturity of the principal of any Senior Indebtedness by lapse of time, acceleration or otherwise, all matured principal of, and premium, if any, and interest, on such Senior Indebtedness, must be paid in full before any payment of principal of, or premium, if any, or interest on, the subordinated debt securities may be made or before any subordinated debt securities can be acquired by Evergy. </w:t>
      </w:r>
    </w:p>
    <w:p>
      <w:pPr>
        <w:pStyle w:val="TextBody"/>
        <w:bidi w:val="0"/>
        <w:spacing w:before="240" w:after="0"/>
        <w:jc w:val="left"/>
        <w:rPr>
          <w:rFonts w:ascii="Times New Roman" w:hAnsi="Times New Roman"/>
          <w:sz w:val="20"/>
        </w:rPr>
      </w:pPr>
      <w:r>
        <w:rPr>
          <w:rFonts w:ascii="Times New Roman" w:hAnsi="Times New Roman"/>
          <w:sz w:val="20"/>
        </w:rPr>
        <w:t xml:space="preserve">Upon the payment in full of all Senior Indebtedness, the rights of the holders of the subordinated debt securities will be subrogated to the rights of the holders of Senior Indebtedness to receive payments or distributions applicable to Senior Indebtedness until all amounts owing on the subordinated debt securities are paid in full. If provided in the applicable prospectus supplement, limited subordination periods may apply in the event of non-payment defaults relating to Senior Indebtedness in situations where there has not been an acceleration of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As defined in the subordinated indenture, the term “Senior Indebtedness” means: </w:t>
      </w:r>
    </w:p>
    <w:p>
      <w:pPr>
        <w:pStyle w:val="TextBody"/>
        <w:bidi w:val="0"/>
        <w:spacing w:before="120" w:after="0"/>
        <w:jc w:val="left"/>
        <w:rPr>
          <w:rFonts w:ascii="Times New Roman" w:hAnsi="Times New Roman"/>
          <w:sz w:val="20"/>
        </w:rPr>
      </w:pPr>
      <w:r>
        <w:rPr>
          <w:rFonts w:ascii="Times New Roman" w:hAnsi="Times New Roman"/>
          <w:sz w:val="20"/>
        </w:rPr>
        <w:t xml:space="preserve">(1) obligations (other than non-recourse obligations, the indebtedness issued under, and subject to the subordination provisions of, the subordinated indenture and other obligations which are either effectively by their terms or expressly made subordinate to or pari passu with the subordinated debt securities) of, or guaranteed (except to the extent our payment obligations under any such guarantee are effectively by their terms or expressly made subordinate to or pari passu with the subordinated debt securities) or assumed by, us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borrowed money (including both senior and subordinated indebtedness for borrowed money (other than the subordinated debt securities and other indebtedness which is effectively by its terms or expressly made subordinate to or pari passu with the subordinated debt securities));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money relating to any lease which is capitalized on our balance sheet in accordance with generally accepted accounting principles as in effect from time to time; 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(2) indebtedness evidenced by bonds, debentures, notes or other similar instruments issued or assumed by us (other than such instruments that are effectively by their terms or expressly made subordinate to or pari passu with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amendments, renewals, extensions, modifications and refundings of any such indebtedness or obligations with Senior Indebtedness, whether existing as of the date of the subordinated indenture or subsequently incurred by us. </w:t>
      </w:r>
    </w:p>
    <w:p>
      <w:pPr>
        <w:pStyle w:val="TextBody"/>
        <w:bidi w:val="0"/>
        <w:spacing w:before="240" w:after="0"/>
        <w:jc w:val="left"/>
        <w:rPr>
          <w:rFonts w:ascii="Times New Roman" w:hAnsi="Times New Roman"/>
          <w:sz w:val="20"/>
        </w:rPr>
      </w:pPr>
      <w:r>
        <w:rPr>
          <w:rFonts w:ascii="Times New Roman" w:hAnsi="Times New Roman"/>
          <w:sz w:val="20"/>
        </w:rPr>
        <w:t xml:space="preserve">However, trade accounts payable and accrued liabilities arising in the ordinary course of business will not be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will not limit the aggregate amount of Senior Indebtedness that we may issue. At June 30, 2024, the outstanding Senior Indebtedness of Evergy totaled approximately $3,746.0 million (including guarantees of $746.0 million of Evergy Missouri West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prospectus supplement, each series of debt securities will initially be issued in the form of one or more global securities, in registered form, without coupons, as described under “Book-Entry System.” The global securities will be registered in the name of a depository, or its nominee, and deposited with, or on behalf of, the depository. Except in the circumstances described under “Book-Entry System,” owners of beneficial interests in a global security will not be entitled to have debt securities registered in their names, will not receive or be entitled to receive physical delivery of any debt securities and will not be considered the registered holders thereof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of any series will be exchangeable for other debt securities of the same series of any authorized denominations and of a like aggregate principal amount and tenor. Subject to the terms of the applicable indenture and the limitations applicable to global securities, debt securities may be presented for exchange or registration of transfer duly endorsed or accompanied by a duly executed instrument of transfer at the office of any transfer agent we may designate for such purpose, without service charge but upon payment of any taxes and other governmental charges, and upon satisfaction of such other reasonable requirements as are described in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transfer agent will be the trustee under the applicable indenture.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Principal of, and premium, if any, and interest, on debt securities issued in the form of global securities will be paid in the manner described under “Book-Entry System” or as otherwise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principal of and any premium and interest on debt securities of a particular series in the form of certificated securities will be payable at the office of the applicable trustee or at the authorized office of any paying agent or paying agents upon presentation and surrender of such debt securities. We may at any time designate additional paying agents or rescind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designation of any paying agent or approve a change in the office through which any paying agent acts, except that we will be required to maintain a paying agent in each place of payment for the debt securities of a particular series. Unless otherwise indicated in the applicable prospectus supplement, interest on the debt securities of a particular series, other than interest at maturity, that are in the form of certificated securities will be paid by check payable in clearinghouse funds mailed to the person entitled thereto at such person’s address as it appears on the register for such debt securities maintained by the applicable trustee. All monies we pay to a trustee or a paying agent for the payment of the principal of, and premium or interest, if any, on, any debt security which remain unclaimed at the end of two years after such principal, premium or interest shall have become due and payable will be repaid to us, and the holder of such debt security thereafter may look only to us for payment thereof. However, any such payment shall be subject to escheat pursuant to state abandoned property laws.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Any terms for the optional or mandatory redemption of the debt securities will be set forth in the applicable prospectus supplement. Unless otherwise indicated in the applicable prospectus supplement, debt securities that are redeemable by us will be redeemable only upon notice by mail not less than 30 nor more than 60 days prior to the date fixed for redemption, and, if less than all the debt securities of a series are to be redeemed, the particular debt securities to be redeemed will be selected by such method as shall be provided for any particular series, or in the absence of any such provision, by the trustee in such manner as it shall deem fair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Any notice of redemption at our option may state that such redemption will be conditional upon receipt by the trustee or the paying agent or agents, on or prior to the dated fixed for such redemption, of money sufficient to pay the principal of, and premium, if any, and interest on, such debt securities and that if such money has not been so received, such notice will be of no force and effect and we will not be required to redeem such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or Disposition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without the consent of the holders of any debt securities, consolidate with or merge into any other corporation or sell, transfer or otherwise dispose of our properties as or substantially as an entirety to any person,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or transferee corporation or the person which receives such properties pursuant to such sale, transfer or other disposition is a corporation or person organized and existing under the laws of the United States of America,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or transferee corporation or the person which receives such properties pursuant to such sale, transfer or other disposition assumes by supplemental indenture the due and punctual payment of the principal of and premium and interest, if any, on all the debt securities outstanding under each indenture and the performance of every covenant of each indenture to be performed or observed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for such debt securities an officer’s certificate and an opinion of counsel as will be provided in each of the indentures;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(see “—Events of Default” below) or event that, after notice or lapse of time, or both, would become an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any such consolidation, merger, sale, transfer or other disposition of our properties (except transfers related to a lease of our properties) as or substantially as an entirety, the successor corporation formed by such consolidation or into which we are merged or the person to which such sale, transfer or other disposition is made shall succeed to, and be substituted for, and may exercise every right and power of, us under the applicable indenture with the same effect as if such successor corporation or person had been named as us therein, and we will be released from all obligations under the applicable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holder of debt securities, the trustee for such debt securities and we may enter into one or more supplemental indentures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supply omissions, cure any ambiguity or inconsistency or correct or supplement any defective or inconsistent provision, which actions, in each case, are not inconsistent with the applicable indenture or prejudicial to the interests of the holders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provision of the applicable indenture, provided that any such change or elimination will become effective with respect to such series only when there is no debt security of such series outstanding created prior to the execution of such supplemental indenture which is entitled to the benefit of such provision, or such change or elimination is applicable only to debt securities of such series issued after the effective date of such change or elimination;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as permitted by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assumption of our covenants in the applicable indenture and the debt securities by any permitted successor;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grant to or confer upon the trustee for any debt securities, for the benefit of the holders of such debt securities, any additional rights, remedies, powers or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permit the trustee for any debt securities to comply with any duties imposed upon it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specify further the duties and responsibilities of, and to define further the relationship among, the trustee for any debt securities, any authenticating agent and any paying agent, and to evidence the succession of a successor trustee as permitted under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indenture and in connection with the appointment of a successor trustee with respect to the debt securities of one or more (but not all) series, to add to or change any provisions of the subordinated indenture as shall be necessary to provide for or facilitate the administration of the trusts thereunder by more than one trustee pursuant to the subordinated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for the benefit of the holders of all or any series of outstanding debt securities, to add to the security of all debt securities, to surrender any right or power conferred upon us by the applicable indenture or to add any additional events of default with respect to all or any series of outstanding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is not prejudicial to the holders of any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senior indenture provides that, except as provided above, the consent of the holders of a majority in aggregate principal amount of the senior debt securities of all series then outstanding, considered as one class, is required for the purpose of adding any provisions to, or changing in any manner, or eliminating any of the provisions of, the senior indenture pursuant to one or more supplemental indentures or of modifying or waiving in any manner the rights of the holders of the senior debt securities; provided, however, that if less than all of the series of senior debt securities outstanding are directly affected by a proposed supplemental indenture, then the consent only of the holders of a majority in aggregate principal amount of the outstanding senior debt securities of all series so directly affected, considered as one class, will be required.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provides that, except as provided above, the consent of the holders of (i) a majority in aggregate principal amount of debt securities of all series then outstanding under the subordinated indenture that are subject to the subordination provision of the subordinated indenture, considered as one class and (ii) a majority in aggregate principal amount of debt securities of all series then outstanding under the subordinated indenture that are not subject to the subordination provision of the subordinated indenture, considered as one class, is required for the purpose of adding any provisions to, or changing in any manner, or eliminating any of the provisions of, the subordinated indenture pursuant to one or more supplemental indentures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of modifying or waiving in any manner the rights of the holders of the debt securities issued under the subordinated indenture; provided, however, that if less than all series of debt securities outstanding under the subordinated indenture are directly affected by a proposed supplemental indenture, then the consent only of the holders of (i) a majority in aggregate principal amount of outstanding debt securities issued under the subordinated indenture of all series so directly affected that are subject to the subordination provisions of the subordinated indenture, considered as one class, and (ii) a majority in aggregate principal amount of outstanding debt securities issued under the subordinated indenture of all series so directly affected that are not subject to the subordination provisions of the subordinated indenture, considered as one class, will be required.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such amendment or modification may, without the consent of each holder of outstanding debt securities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maturity date of the principal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premium payable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interest or change the method of calculating such rate, or extend the time of payment of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coin or currency of any payment of principal of, or any premium or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date on which any debt security may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rights of a holder to institute suit for the enforcement of any payment of principal of or any premium or interest on any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foregoing requirements or reduce the percentage of outstanding debt securities necessary to modify or amend the applicable indenture or to waive events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the applicable indenture or any other supplemental indenture which has expressly been included solely for the benefit of one or more series of debt securities, or which modifies the rights of the holders of debt securities of such series with respect to such covenant or provision, will be deemed not to affect the rights under the applicable indenture of the holders of the debt securities of any other series.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specifically deleted in a supplemental indenture or company order under which a series of debt securities is issued, or modified in any such supplemental indenture or company order, each of the following will constitute an event of default under the senior indenture or the subordinated indenture with respect to senior debt securities or subordinated debt securities, as the case may be,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of or premium, if any, on any debt security of such series, as the case may be, within one day after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the debt securities of such series within 30 days after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observe or perform any of our other covenants or agreements in the applicable indenture (other than a covenant or agreement solely for the benefit of one or more series of debt securities other than such series) for 60 days after written notice to us by the trustee or to us and the trustee by the holders of at least 33% in aggregate principal amount of the outstanding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reorganization, assignment or receivership;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specified in the applicable prospectus supplement with respect to debt securities of a particular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events of default with respect to a particular series of debt securities may be specified in a supplemental indenture or resolution of the Board of Directors establishing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the debt securities of a particular series necessarily constitutes an event of default with respect to the debt securities of any other series issued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series of debt securities occurs and is continuing, then either the trustee for such series or the holders of a majority in aggregate principal amount of the outstanding debt securities of such series, by notice in writing, may declare the principal amount of and interest on all of the debt securities of such series to be due and payable immediately; provided, however, that if an event of default occurs and is continuing with respect to more than one series of debt securities under a particular indenture, the trustee for such series or the holders of a majority in aggregate principal amount of the outstanding debt securities of all such series, considered as one class, may make such declaration of acceleration and not the holders of the debt securities of any one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an acceleration with respect to the debt securities of any series has been declared, but before a judgment or decree for the payment of the money due has been obtained, the event or events of default giving rise to such acceleration will be waived, and the acceleration will be rescinded and annulled,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or deposit with the trustee for such series a sum sufficient to pay all matured installments of interest on all debt securities of such series, the principal of and premium, if any, on the debt securities of such series which have become due otherwise than by acceleration and interest thereon at the rate or rates specified in such debt securities, interest upon overdue installments of interest at the rate or rates specified in such debt securities, to the extent that payment of such interest is lawful, and all amounts due to the trustee for such series under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or events of default with respect to the debt securities of such series, other than the nonpayment of the principal of and accrued interest on the debt securities of such series which has become due solely by such acceleration, have been cured or waived as provided in the applicable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such waiver or rescission and annulment shall extend to or shall affect any subsequent default or impair any related right.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applicable indenture relating to the duties of the trustee in case an event of default shall occur and be continuing, the trustee generally will be under no obligation to exercise any of its rights or powers under the applicable indenture at the request or direction of any of the holders unless such holders have offered to the trustee reasonable security or indemnity satisfactory to it. Subject to such provisions for the indemnification of the trustee and certain other limitations contained in the applicable indenture, the holders of a majority in aggregate principal amount of the outstanding debt securities of any series will have the right to direct the time, method and place of conducting any proceeding for any remedy available to the trustee, or of exercising any trust or power conferred on the trustee, with respect to the debt securities of that series; provided, however, that if an event of default occurs and is continuing with respect to more than one series of debt securities, the holders of a majority in aggregate principal amount of the outstanding debt securities of all those series, considered as one class, will have the right to make such direction, and not the holders of the debt securities of any one series. Any direction provided by the holders shall not be in conflict with any rule of law or with the senior indenture or the subordinated indenture, as the case may be, and will not involve the trustee in personal liability in circumstances where reasonable indemnity would not, in the trustee’s sole discretion, be adequate and the trustee may take any other action it deems proper that is not inconsistent with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any series may waive any past default or event of default under the applicable indenture on behalf of all holders of debt securities of that series with respect to the debt securities of that series, except a default in the payment of principal of or any premium or interest on such debt securities. No holder of debt securities of any series may institute any proceeding with respect to the applicable indenture, or for the appointment of a receiver or a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for any other remedy, unless such holder has previously given to the trustee for such series written notice of a continuing event of default with respect to the debt securities of such series, the holders of a majority in aggregate principal amount of the outstanding debt securities of all series in respect of which an event of default has occurred and is continuing, considered as one class, have made written request to the trustee for such series to institute such proceeding and have offered reasonable indemnity, and the trustee for such series has failed to institute such proceeding within 60 days after such notice, request and offer. Furthermore, no holder of debt securities of any series will be entitled to institute any such action if and to the extent that such action would disturb or prejudice the rights of other holders of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within 90 days after the occurrence of a default actually known to the trustee with respect to the debt securities of any series, is required to give the holders of the debt securities of that series notice of such default, unless cured or waived, but, except in the case of default in the payment of principal of, or premium, if any, or interest on, the debt securities of that series, the trustee may withhold such notice if it determines in good faith that it is in the interest of such holders to do so. We will be required to deliver to the applicable trustee for the debt securities each year a certificate as to whether or not, to the knowledge of the officers signing such certificate, we are in compliance with all conditions and covenants under the applicable indenture, determined without regard to any period of grace or requirement of notice under such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Any resolution of the Board of Directors or supplemental indenture establishing a series of debt securities may provide for conversion rights. We will describe in the applicable prospectus supplement the particular terms and conditions, if any, on which debt securities may be convertible into other securities. These terms will include the conversion rate, the conversion period, provisions as to whether conversion will be at our option or the option of the holder, events requiring an adjustment of the conversion rate and provisions affecting conversion in the event of the redemption of the debt securities. If we issue convertible debt securities, we will need to supplement the indenture to add applicable provisions regarding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we may elect either: </w:t>
      </w:r>
    </w:p>
    <w:p>
      <w:pPr>
        <w:pStyle w:val="TextBody"/>
        <w:bidi w:val="0"/>
        <w:spacing w:before="240" w:after="0"/>
        <w:jc w:val="left"/>
        <w:rPr>
          <w:rFonts w:ascii="Times New Roman" w:hAnsi="Times New Roman"/>
          <w:sz w:val="20"/>
        </w:rPr>
      </w:pPr>
      <w:r>
        <w:rPr>
          <w:rFonts w:ascii="Times New Roman" w:hAnsi="Times New Roman"/>
          <w:sz w:val="20"/>
        </w:rPr>
        <w:t xml:space="preserve">(1) to defease and be discharged from any and all obligations in respect of the debt securities of any series then outstanding under the applicable indenture (except for certain obligations to register the transfer or exchange of the debt securities of such series, replace stolen, lost or mutilated debt securities, maintain paying agencies and hold monies for payment in trust); or </w:t>
      </w:r>
    </w:p>
    <w:p>
      <w:pPr>
        <w:pStyle w:val="TextBody"/>
        <w:bidi w:val="0"/>
        <w:spacing w:before="240" w:after="0"/>
        <w:jc w:val="left"/>
        <w:rPr>
          <w:rFonts w:ascii="Times New Roman" w:hAnsi="Times New Roman"/>
          <w:sz w:val="20"/>
        </w:rPr>
      </w:pPr>
      <w:r>
        <w:rPr>
          <w:rFonts w:ascii="Times New Roman" w:hAnsi="Times New Roman"/>
          <w:sz w:val="20"/>
        </w:rPr>
        <w:t xml:space="preserve">(2) to be released from the obligations of the senior indenture with respect to the senior debt securities of any series or the subordinated indenture with respect to the subordinated debt securities of any series under any covenants applicable to the debt securities of such series which are subject to covenant defeasance as described in the applicable indenture, supplemental indenture or other instrument establishing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either clause (1) or (2), the following conditions, among others, must be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required to deposit, in trust, with the applicable trustee money or U.S. government obligations, which through the payment of interest on those obligations and principal of those obligations in accordance with their terms will provide money, in an amount sufficient (in the opinion of a nationally recognized firm of independent accountants, certified to the applicable trustee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writing), without reinvestment, to pay all the principal of, and premium, if any, and interest on the debt securities of such series on the dates payments are due (which may include one or more redemption dates designated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event which with the giving of notice or lapse of time, or both, would become an event of default under the applicable indenture must have occurred and be continuing on the date of the deposit, and 91 days must have passed after the deposit has been made and, during that period, certain events of default must not have occurred and be continuing as of the end of that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 must not cause the applicable trustee to have any conflicting interest with respect to our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have delivered an opinion of counsel to the effect that the holders will not recognize income, gain or loss for federal income tax purposes (and, in the case of paragraph (1) above, such opinion of counsel must be based on a ruling of the Internal Revenue Service or other change in applicable federal income tax law) as a result of the deposit or defeasance and will be subject to federal income tax in the same amounts, in the same manner and at the same times as if the deposit and defeasance had not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have delivered an officer’s certificate and an opinion of counsel to the trustee as provided in the applicable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exercise our defeasance option under paragraph (1) above with respect to debt securities of any series notwithstanding our prior exercise of our covenant defeasance option under paragraph (2) above. If we exercise our defeasance option under paragraph (1) above for debt securities of any series, payment of the debt securities of such series may not be accelerated because of a subsequent event of default. If we exercise our covenant defeasance option for debt securities of any series, payment of the debt securities of such series may not be accelerated by reference to a subsequent breach of any of the covenants noted under paragraph (2) above. In the event we fail to comply with our remaining obligations with respect to the debt securities of any series under the applicable indenture after exercising our covenant defeasance option and the debt securities of such series are declared due and payable because of the subsequent occurrence of any event of default, the amount of money and U.S. government obligations on deposit with the applicable trustee may be insufficient to pay amounts due on the debt securities of such series at the time of the acceleration resulting from that event of default. However, we will remain liable for those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or Removal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at any time upon written notice to us specifying the day upon which the resignation is to take effect and such resignation will take effect immediately upon the later of the appointment of a successor trustee and such specified day. The trustee may be removed at any time with respect to debt securities of any series by an instrument or concurrent instruments in writing filed with the trustee and signed by the holders, or their attorneys-in-fact, of a majority in aggregate principal amount of that series of debt securities then outstanding. In addition, so long as no event of default or event which, with the giving of notice or lapse of time or both, would become an event of default has occurred and is continuing, we may remove the trustee upon notice to the holder of each debt security outstanding and the trustee, and appointment of a successor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for Senior Debt Securities and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and our affiliates maintain corporate trust and other banking relationships with The Bank of New York Mellon Trust Company, N.A. and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senior indenture is, and any senior debt securities will be, governed by New York law. The subordinated indenture is, and any subordinated debt securities will be, governed by New York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90554_7"/>
      <w:bookmarkEnd w:id="21"/>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of our common stock and the relevant provisions of our Amended and Restated Articles of Incorporation (the “Articles of Incorporation”) and Amended and Restated By-laws (the “By-laws”) are summaries and are qualified by references to the Articles of Incorporation and the By-laws that have been previously filed with the SEC and are exhibits to this registration statement, of which this prospectus is a part, as well as the applicable General and Business Corporation Law of Missouri.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the Articles of Incorporation, we are authorized to issue 612,000,000 shares of stock, divided into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12,000,000 shares of preference stock without par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600,000,000 shares of common stock without par value.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2024, 229,954,524 shares of common stock were outstanding. No shares of our preference stock are currently outstanding but such shares may be issued from time to time in accordance with the Articles of Incorporation. The voting powers, designations, preferences, rights and qualifications, limitations, or restrictions of any series of preference stock are set by our Board of Directors when it is issued.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Rights and Limitations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receive such dividends as our Board of Directors may from time to time declare, subject to any rights of the holders of our preference stock. Our ability to pay dividends depends primarily upon the ability of our subsidiaries to pay dividends or otherwise transfer funds to us.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by law and subject to the voting rights of any outstanding preference stock, the holders of our common stock are entitled to one vote for each share on all matters voted on by shareholders, including the election of directors. The holders of our common stock are not entitled to cumulative voting of their shares in the election of directors. Directors are to be elected by a majority of the votes cast by the holders of common stock entitled to vote and present in person or represented by proxy.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dissolution or liquidation of Evergy, after there shall have been paid to or set aside for the holders of shares of any outstanding preference stock the full preferential amounts to which they are entitled, the holders of outstanding shares of common stock shall be entitled to receive pro rata, according to the number of shares held by each, the remaining assets available for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shares of common stock are, and the shares of common stock sold hereunder will be upon payment for them, fully paid and nonassessable. The holders of our common stock are not entitled to any preemptive or preferential rights to subscribe for or purchase any part of any new or additional issue of stock or securities convertible into stock. Our common stock does not contain any sinking fund provisions, redemption provisions or conversion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acts as transfer agent and registrar for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at least 80% of the outstanding shares of common stock is required for the approval or authorization of certain business combinations with interested shareholders; provided, however, that such 80% voting requirement shall not be applicable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shall have been approved by a majority of the continuing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or the fair market value of the property, securities, or other consideration to be received per share by holders of the common stock in such business combination is not less than the highest per share price paid by or on behalf of the interested shareholder for any shares of common stock during the five-year period preceding the announcement of the business combination.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of Evergy is listed on the Nasdaq Stock Market LLC under the symbol “EVRG.”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90554_8"/>
      <w:bookmarkEnd w:id="22"/>
      <w:r>
        <w:rPr>
          <w:rFonts w:ascii="Times New Roman" w:hAnsi="Times New Roman"/>
          <w:b/>
          <w:sz w:val="20"/>
        </w:rPr>
        <w:t xml:space="preserve">DESCRIPTION OF PREFERENCE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of our preference stock and the relevant provisions of the Articles of Incorporation are summaries and are qualified by references to the Articles of Incorporation that have been previously filed with the SEC and are exhibits to this registration statement, of which this prospectus is a part. As described above, Evergy’s authorized capital stock consists of 12,000,000 shares of preference stock without par value and (ii) the common stock described above under “Description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there were no shares of preference stock outstanding but such shares may be issued from time to time in accordance with the Articles of Incorporation. The voting powers, designations, preferences, rights and qualifications, limitations, or restrictions of any series of preference stock are set by our Board of Directors when it is issued. </w:t>
      </w:r>
    </w:p>
    <w:p>
      <w:pPr>
        <w:pStyle w:val="TextBody"/>
        <w:bidi w:val="0"/>
        <w:spacing w:before="240" w:after="0"/>
        <w:jc w:val="left"/>
        <w:rPr>
          <w:rFonts w:ascii="Times New Roman" w:hAnsi="Times New Roman"/>
          <w:sz w:val="20"/>
        </w:rPr>
      </w:pPr>
      <w:r>
        <w:rPr>
          <w:rFonts w:ascii="Times New Roman" w:hAnsi="Times New Roman"/>
          <w:sz w:val="20"/>
        </w:rPr>
        <w:t xml:space="preserve">Shares of preference stock of different series may, subject to any applicable provisions of law, vary with respect to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such series and the number of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shares of such series shall be entitled to receive dividends, the conditions upon, and the times of payment of such dividends, the relationship and preference, if any, of such dividends to dividends payable on any other class or classes or any other series of stock, and whether such dividends shall be cumulative or noncumulative, and, if cumulative, the date or dates from which such dividends shall be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exchange or convert the shares of such series into shares of any other class or classes, or of any other series of the same or any other class or classes of stock of Evergy, and if so convertible or exchangeable, the conversion price or prices, or the rates of exchange, and the adjustments, if any, at which such conversion or exchange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of such series are subject to redemption, the time or times and the price or prices at which, at the terms and conditions on which, such shares shall be redeemable;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preference of the shares of such series as to both dividends and assets in the event of any voluntary or involuntary liquidation or dissolution or winding up or distribution of assets of Evergy;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if any, of Evergy to purchase, redeem or retire shares of such series and/or maintain a fund for such purposes, and the amount or amounts to be payable from time to time for such purpose or into such fund, the number of shares to be purchased, redeemed or retired, and the other terms and conditions of any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full or limited, to be given the shares of such series, including without limiting the generality of the foregoing, the right, if any, as a series or in conjunction with other series or classes, to elect one or more members of the Board of Directors either generally or at certain specified times or under certain circumstances, and restrictions, if any, on particular corporate acts without a specified vote or consent of holders of such shares (such as, among others, restrictions on modifying the terms of such series of preference stock, authorizing or issuing additional shares of preference stock or creating any additional shares of preference stock or creating any class of stock ranking prior to or on a parity with the preference stock as to dividends or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preferences, and relative, participating, optional or other special rights, and qualifications, limitations or restrictions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90554_9"/>
      <w:bookmarkEnd w:id="23"/>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depositary shares representing fractional interests in shares of our preference stock of any series. In connection with the issuance of any depositary shares, we will enter into a deposit agreement with a depositary. The following description sets forth certain general terms and provisions of the depositary shares to which any prospectus supplement may relate. The particular terms of the depositary shares to which any prospectus supplement may relate and the extent, if any, to which the general terms and provisions may apply to the depositary shares so offered will be described in the applicable prospectus supplement. To the extent that any particular terms of the depositary shares, deposit agreements and depositary receipts described in a prospectus supplement differ from any of the terms described below, then the terms described below will be deemed to have been superseded by that prospectus supplement. We encourage you to read the applicable deposit agreement and depositary receipts for additional information before you decide whether to purchase any of our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any depositary shares, we will enter into a deposit agreement with a bank or trust company, as depositary, which will be named in the applicable prospectus supplement. Depositary shares will be evidenced by depositary receipts issued pursuant to the related deposit agreement. Immediately following our issuance of the security related to the depositary shares, we will deposit the shares of our preference stock with the relevant depositary and will cause the depositary to issue, on our behalf, the related depositary receipts. Subject to the terms of the deposit agreement, each owner of a depositary receipt will be entitled, in proportion to the fractional interest in the share of preference stock represented by the related depositary share, to all the rights, preferences and privileges of, and will be subject to all of the limitations and restrictions on, the preference stock represented by the depositary receipt (including, if applicable, dividend, voting, conversion, exchange, redemption, sinking fund, subscription and liquidation rights). To the extent appropriate, the applicable prospectus supplement will describe the specific terms of the depositary shares offered thereby. The terms of any offered depositary shares will be described in a supplement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90554_10"/>
      <w:bookmarkEnd w:id="24"/>
      <w:r>
        <w:rPr>
          <w:rFonts w:ascii="Times New Roman" w:hAnsi="Times New Roman"/>
          <w:b/>
          <w:sz w:val="20"/>
        </w:rPr>
        <w:t xml:space="preserve">DESCRIPTION OF STOCK PURCHASE CONTRACTS AND </w:t>
      </w:r>
    </w:p>
    <w:p>
      <w:pPr>
        <w:pStyle w:val="TextBody"/>
        <w:bidi w:val="0"/>
        <w:spacing w:before="0" w:after="0"/>
        <w:jc w:val="center"/>
        <w:rPr>
          <w:rFonts w:ascii="Times New Roman" w:hAnsi="Times New Roman"/>
          <w:b/>
          <w:sz w:val="20"/>
        </w:rPr>
      </w:pPr>
      <w:r>
        <w:rPr>
          <w:rFonts w:ascii="Times New Roman" w:hAnsi="Times New Roman"/>
          <w:b/>
          <w:sz w:val="20"/>
        </w:rPr>
        <w:t xml:space="preserve">STOCK PURCHASE UNITS OR WARRANTS FOR STOCK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obligating us to sell to the holders, shares of our common stock at a future date or dates. We may fix the price and the number of shares of common stock subject to the stock purchase contract at the time we issue the stock purchase contracts or we may provide that the price and number of shares of common stock will be determined by reference to a specific formula set forth in the stock purchase contracts. The stock purchase contracts may be issued separately or as part of units, often known as stock purchase units, consisting of a stock purchase contract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senior debt securities or subordinated debt securities or our preference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obligations of third parties, including U.S. treasury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securing the holders’ obligations to purchase the common stock under the stock purchase contracts. The stock purchase contracts may require us to make periodic payments to the holders of the stock purchase units or vice versa, and these payments may be unsecured or prefunded on some basis. The stock purchase contracts may require holders to secure their obligations under those contracts in a specified manner and, in certain circumstances, we may deliver newly issued prepaid stock purchase contracts, often known as prepaid securities, upon release to a holder of any collateral securing such holder’s obligation under the original stock purchase contract.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the stock purchase contracts or stock purchase units, including, if applicable, collateral or depositary arrangements. The description in the applicable prospectus supplement will not contain all of the information you may find useful and reference will be made to the stock purchase contracts or stock purchase units and, if applicable, the collateral or depository arrangement relating to the stock purchase contracts or stock purchase units. </w:t>
      </w:r>
    </w:p>
    <w:p>
      <w:pPr>
        <w:pStyle w:val="TextBody"/>
        <w:bidi w:val="0"/>
        <w:spacing w:before="240" w:after="0"/>
        <w:jc w:val="left"/>
        <w:rPr>
          <w:rFonts w:ascii="Times New Roman" w:hAnsi="Times New Roman"/>
          <w:sz w:val="20"/>
        </w:rPr>
      </w:pPr>
      <w:r>
        <w:rPr>
          <w:rFonts w:ascii="Times New Roman" w:hAnsi="Times New Roman"/>
          <w:sz w:val="20"/>
        </w:rPr>
        <w:t xml:space="preserve">We may also issue warrants to purchase our common stock with the terms of such warrants and any related warrant agreement between us and a warrant agent being described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90554_11"/>
      <w:bookmarkEnd w:id="25"/>
      <w:r>
        <w:rPr>
          <w:rFonts w:ascii="Times New Roman" w:hAnsi="Times New Roman"/>
          <w:b/>
          <w:sz w:val="20"/>
        </w:rPr>
        <w:t xml:space="preserve">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each series of debt securities, warrants for stock, stock purchase contracts and stock purchase units will initially be issued in the form of one or more global securities, in registered form, without coupons. The global securities will be deposited with, or on behalf of, the depository, and registered in the name of the depository or a nominee of the depository. Unless otherwise indicated in the applicable prospectus supplement, the depository for any global securities will be The Depository Trust Company, or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depository, or its nominee, is the registered owner of a global security, such depository or such nominee, as the case may be, will be considered the owner of such global security for all purposes under the applicable indenture, including for any notices and voting. Except in limited circumstances, the owners of beneficial interests in a global security will not be entitled to have securities registered in their names, will not receive or be entitled to receive physical delivery of any such securities and will not be considered the registered holder thereof under the applicable indenture, warrant agreement, purchase contract or unit agreement. Accordingly, each person holding a beneficial interest in a global security must rely on the procedures of the depository and, if such person is not a direct participant, on procedures of the direct participant through which such person holds its interest, to exercise any of the rights of a registered owner of such security.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any applicable prospectus supplement, global securities may be exchanged in whole for certificated securities only if the depository notifies us that it is unwilling or unable to continue as depository for the global securities or the depository has ceased to be a clearing agency registered under the Securities Exchange Act of 1934, as amended (the “Exchange Act”), and, in either case, we thereupon fail to appoint a successor depository within 90 days. We may decide to discontinue use of the system of book-entry-only transfers through DTC (or a successor securities depository), subject to DTC’s or such successor’s procedures,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we have agreed to notify the applicable trustee, warrant agent, unit agent or other relevant agent of ours in writing that, upon surrender by the direct participants and indirect participants of their interest in such global securities, certificated securities representing the applicable securities will be issued to each person that such direct participants and indirect participants and the depository identify as being the beneficial owner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based solely on information furnished by DTC: </w:t>
      </w:r>
    </w:p>
    <w:p>
      <w:pPr>
        <w:pStyle w:val="TextBody"/>
        <w:bidi w:val="0"/>
        <w:spacing w:before="120" w:after="0"/>
        <w:jc w:val="left"/>
        <w:rPr>
          <w:rFonts w:ascii="Times New Roman" w:hAnsi="Times New Roman"/>
          <w:sz w:val="20"/>
        </w:rPr>
      </w:pPr>
      <w:r>
        <w:rPr>
          <w:rFonts w:ascii="Times New Roman" w:hAnsi="Times New Roman"/>
          <w:sz w:val="20"/>
        </w:rPr>
        <w:t xml:space="preserve">DTC will act as depository for the global securities. The global securities will be issued as fully-registered securities registered in the name of Cede &amp; Co. (DTC’s partnership nominee) or such other name as may be requested by an authorized representative of DTC. One fully-registered global security certificate will be issued for each issue of the global securities, each in the aggregate principal amount of such issue, and will be deposited with DTC. If, however, the aggregate principal amount of any issue of a series of debt securities exceeds $500 million, one certificate will be issued with respect to each $500 million of principal amount, and an additional certificate will be issued with respect to any remaining principal amount of such series.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include both U.S. and non-U.S. securities brokers and dealers, banks, trust companies, clearing corporations and certain other organizations. DTC is a wholly-owned subsidiary of The Depository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which are referred to as indirect participants and, together with the direct participants, the participants. The DTC rules applicable its participants are on file with the SEC. More information about DTC can be found at www.dtcc.com. The contents of such website do not constitute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Purchases of global securities under the DTC system must be made by or through direct participants, who will receive a credit for the global securities on DTC’s records. The ownership interest of each actual purchaser of each global security, or beneficial owner, is in turn to be recorded on the direct and indirect participants’ records. Beneficial owners will not receive written confirmation from DTC of their purchase. Beneficial owners, however,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securities are to be accomplished by entries made on the books of direct and indirect participants acting on behalf of beneficial owners. Beneficial owners will not receive certificates representing their ownership interests in the global securities, except in the event that use of the book-entry system for the global securities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are registered in the name of DTC’s partnership nominee, Cede &amp; Co., or such other name as may be requested by an authorized representative of DTC. The deposit of global securities with DTC and their registration in the name of Cede &amp; Co. or such other DTC nominee do not effect any change in beneficial ownership. DTC has no knowledge of the actual beneficial owners of the global securities; DTC’s records reflect only the identity of the direct participants to whose accounts such global securities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global securities may wish to take certain steps to augment the transmission to them of notices of significant events with respect to the global securities, such as redemptions, tenders, defaults, and proposed amendments to the security documents. For example, beneficial owners of global securities may wish to ascertain that the nominee holding the global securities for their benefit has agreed to obtain and transmit notices to beneficial owners. In the alternative, beneficial owners may wish to provide their names and addresses to the registrar and request that copies of the notices be provided directly to them. </w:t>
      </w:r>
    </w:p>
    <w:p>
      <w:pPr>
        <w:pStyle w:val="TextBody"/>
        <w:bidi w:val="0"/>
        <w:spacing w:before="240" w:after="0"/>
        <w:jc w:val="left"/>
        <w:rPr>
          <w:rFonts w:ascii="Times New Roman" w:hAnsi="Times New Roman"/>
          <w:sz w:val="20"/>
        </w:rPr>
      </w:pPr>
      <w:r>
        <w:rPr>
          <w:rFonts w:ascii="Times New Roman" w:hAnsi="Times New Roman"/>
          <w:sz w:val="20"/>
        </w:rPr>
        <w:t xml:space="preserve">If the global securities are redeemable, redemption notices shall be sent to DTC. If less than all of the global securities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consent or vote with respect to the global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global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Principal, interest and premium payments, if any, on debt securities, and any payments to holders with respect to warrants for stock, stock purchase contracts or stock purchase units, in each case, represented by global securities, will be made to Cede &amp; Co., or such other nominee as may be requested by an authorized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 of DTC. DTC’s practice is to credit direct participants’ accounts upon DTC’s receipt of funds and corresponding detail information from us or the trustee for such securities, on the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for such securities, or us, subject to any statutory or regulatory requirements as may be in effect from time to time. Payment of principal, premium, if any, and interest on debt securities, and any payments to holders with respect to warrants for stock, stock purchase contracts or stock purchase units, in each case, represented by global securities, to Cede &amp; Co. (or such other nominee as may be requested by an authorized representative of DTC) is the responsibility of the appropriate trustee, warrant agent, other relevant agent of ours and us. Disbursement of such payments to direct participants shall be the responsibility of DTC, and disbursement of such payments to the beneficial owners shall be the responsibility of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depository with respect to the global securities at any time by giving reasonable notice to us or the applicable trustee, warrant agent or other relevant agent of ours. Under such circumstances, in the event that a successor depository is not obtained, securities certificates will be required to be printed and delivered to the holders of record. Additionally, we may decide to discontinue use of the system of book-entry transfers through DTC (or a successor securities depository) with respect to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including DTC, that we believe to be reliable, but we take no responsibility for the accuracy thereof.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or agents of any of the securities may be direct participants of DTC. </w:t>
      </w:r>
    </w:p>
    <w:p>
      <w:pPr>
        <w:pStyle w:val="TextBody"/>
        <w:bidi w:val="0"/>
        <w:spacing w:before="240" w:after="0"/>
        <w:jc w:val="left"/>
        <w:rPr>
          <w:rFonts w:ascii="Times New Roman" w:hAnsi="Times New Roman"/>
          <w:b/>
          <w:sz w:val="20"/>
        </w:rPr>
      </w:pPr>
      <w:r>
        <w:rPr>
          <w:rFonts w:ascii="Times New Roman" w:hAnsi="Times New Roman"/>
          <w:b/>
          <w:sz w:val="20"/>
        </w:rPr>
        <w:t xml:space="preserve">None of the trustees, warrant agent, us or other relevant agent of ours for payment on or registration of transfer or exchange of any global security will have any responsibility or liability for any aspect of the records relating to or payments made on account of beneficial interests in such global security or for maintaining, supervising or reviewing any records relating to such beneficial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90554_12"/>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in one or more of the following ways from time to time: (i) to underwriters for resale to the public or to institutional investors; (ii) directly to institutional investors; or (iii) through dealers or agents to the public or to institutional investors. The prospectus supplement with respect to each series of securities will set forth the specific terms of the offering of such securities, including the name or names of any underwriters, dealers or agents, the purchase price of such securities, and the proceeds to us from such sale, any underwriting discounts or agency fees and other items constituting underwriters’, dealers’ or agents’ compensation, any initial public offering price, any discounts or concessions allowed or reallowed or paid to dealers and any securities exchange on which such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participate in the sale, such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of those firms. The specific managing underwriter or underwriters, if any, will be named in the prospectus supplement relating to the particular securities together with the members of the underwriting syndicate, if any.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the applicable prospectus supplement, the obligations of the underwriters to purchase any series of securities will be subject to certain conditions precedent and the underwriters will be obligated to purchase all of such securities being offered,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or through agents we designate from time to time. The applicable prospectus supplement will set forth the name of any agent involved in the offer or sale of the securities in respect of which such prospectus supplement is delivered and any commissions payable by us to such agent. Unless otherwise indicated in the applicable prospectus supplement,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agents may be entitled under agreements entered into with us to indemnification against certain civil liabilities, including liabilities under the Securities Act of 1933, as amended. Underwriters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securities will be a new issue of securities and, other than our common stock, which is listed on the Nasdaq Stock Market LLC, will have no established trading market. Any underwriters to whom securities are sold for public offering and sale may make a market in such securities, but such underwriters will not be obligated to do so and may discontinue any market making at any time without notice. The securities may or may not be listed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90554_13"/>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Legal matters with respect to the securities offered under this prospectus will be passed upon for us by Christie Dasek-Kaine, Senior Director, Counsel and Assistant Corporate Secretary and Hunton Andrews Kurth LLP, New York, New York. Bracewell LLP will pass on certain matters for the underwriters, dealers, purchasers, or agents. From time to time, Bracewell LLP acts as counsel for us and our affiliates for various matters. As of the date of this prospectus, Ms. Dasek-Kaine owned beneficially a number of shares of the Evergy’s common stock, including restricted stock, and performance shares which may be paid in shares of common stock at a later date based on Evergy’s performance, which represented less than 0.1% of the total outstanding common stock. </w:t>
      </w:r>
    </w:p>
    <w:p>
      <w:pPr>
        <w:pStyle w:val="TextBody"/>
        <w:bidi w:val="0"/>
        <w:spacing w:before="480" w:after="0"/>
        <w:jc w:val="center"/>
        <w:rPr>
          <w:rFonts w:ascii="Times New Roman" w:hAnsi="Times New Roman"/>
          <w:b/>
          <w:sz w:val="20"/>
        </w:rPr>
      </w:pPr>
      <w:bookmarkStart w:id="28" w:name="tx90554_14"/>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Evergy, Inc. and subsidiaries incorporated by reference in this prospectus, and the effectiveness of Evergy, Inc. and subsidiaries’ internal control over financial reporting have been audited by Deloitte &amp; Touche LLP, an independent registered public accounting firm, as stated in their reports, which are also incorporated by reference herein. Such consolidated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90554_15"/>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through the SEC’s Electronic Data Gathering, Analysis and Retrieval system and these filings are publicly available through the SEC’s website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we file with the SEC. We hereby incorporate by reference into this registration statement the following documents (except for the portions of Current Reports on Form 8-K furnished pursuant to Item 2.02 or Item 7.01 thereof, and any associated exhibits furnished pursuant to Item 9.01 thereof, or otherwise not filed with the SEC, which are deemed not to be incorporated by reference into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4">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29, 2024 (including the portion of our </w:t>
            </w:r>
            <w:hyperlink r:id="rId15">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March 28, 2024, incorporated by reference into Part III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2024 and June 30, 2024, filed with the SEC on </w:t>
            </w:r>
            <w:hyperlink r:id="rId16">
              <w:r>
                <w:rPr>
                  <w:rStyle w:val="InternetLink"/>
                  <w:rFonts w:ascii="Times New Roman" w:hAnsi="Times New Roman"/>
                  <w:sz w:val="20"/>
                </w:rPr>
                <w:t>May  9, 2024</w:t>
              </w:r>
            </w:hyperlink>
            <w:r>
              <w:rPr>
                <w:rFonts w:ascii="Times New Roman" w:hAnsi="Times New Roman"/>
                <w:sz w:val="20"/>
              </w:rPr>
              <w:t xml:space="preserve"> and </w:t>
            </w:r>
            <w:hyperlink r:id="rId17">
              <w:r>
                <w:rPr>
                  <w:rStyle w:val="InternetLink"/>
                  <w:rFonts w:ascii="Times New Roman" w:hAnsi="Times New Roman"/>
                  <w:sz w:val="20"/>
                </w:rPr>
                <w:t>August 9, 2024</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as filed with the SEC on </w:t>
            </w:r>
            <w:hyperlink r:id="rId18">
              <w:r>
                <w:rPr>
                  <w:rStyle w:val="InternetLink"/>
                  <w:rFonts w:ascii="Times New Roman" w:hAnsi="Times New Roman"/>
                  <w:sz w:val="20"/>
                </w:rPr>
                <w:t>March 8, 2024</w:t>
              </w:r>
            </w:hyperlink>
            <w:r>
              <w:rPr>
                <w:rFonts w:ascii="Times New Roman" w:hAnsi="Times New Roman"/>
                <w:sz w:val="20"/>
              </w:rPr>
              <w:t xml:space="preserve">, </w:t>
            </w:r>
            <w:hyperlink r:id="rId19">
              <w:r>
                <w:rPr>
                  <w:rStyle w:val="InternetLink"/>
                  <w:rFonts w:ascii="Times New Roman" w:hAnsi="Times New Roman"/>
                  <w:sz w:val="20"/>
                </w:rPr>
                <w:t>April  5, 2024</w:t>
              </w:r>
            </w:hyperlink>
            <w:r>
              <w:rPr>
                <w:rFonts w:ascii="Times New Roman" w:hAnsi="Times New Roman"/>
                <w:sz w:val="20"/>
              </w:rPr>
              <w:t xml:space="preserve"> and </w:t>
            </w:r>
            <w:hyperlink r:id="rId20">
              <w:r>
                <w:rPr>
                  <w:rStyle w:val="InternetLink"/>
                  <w:rFonts w:ascii="Times New Roman" w:hAnsi="Times New Roman"/>
                  <w:sz w:val="20"/>
                </w:rPr>
                <w:t>June 10,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Description of our common stock, as filed as </w:t>
            </w:r>
            <w:hyperlink r:id="rId21">
              <w:r>
                <w:rPr>
                  <w:rStyle w:val="InternetLink"/>
                  <w:rFonts w:ascii="Times New Roman" w:hAnsi="Times New Roman"/>
                  <w:sz w:val="20"/>
                </w:rPr>
                <w:t>Exhibit 4.64</w:t>
              </w:r>
            </w:hyperlink>
            <w:r>
              <w:rPr>
                <w:rFonts w:ascii="Times New Roman" w:hAnsi="Times New Roman"/>
                <w:sz w:val="20"/>
              </w:rPr>
              <w:t xml:space="preserve"> to Form 10-K for the year ended December 31, 2020, filed with the SEC on February 26, 2021;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filings made by us with the SEC under Section 13(a), 13(c), 14 or 15(d) of the Exchange Act; provided that we are not incorporating any information furnished under Item 2.02 or 7.01 of any current report on Form 8-K unless specifically stated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Evergy files pursuant to Sections 13(a), 13(c), 14 and 15(d) of the Exchange Act (excluding any information furnished pursuant to Item 2.02 or Item 7.01 of any Current Report on Form 8-K and any corresponding exhibits thereto not filed with the SEC or pursuant to other applicable SEC rules) subsequent to the date of this registration statement and prior to the filing of a post-effective amendment that indicates that all securities offered have been sold or which deregisters all securities then remaining unsold, shall be deemed to be incorporated by reference herein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document subsequently filed by Evergy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Our website is www.evergy.com. Information contained on our website is not incorporated herein. We make available, free of charge, on or through our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website all other reports, notifications and certifications filed electronically with the SEC. You may obtain a free copy of our filings with the SEC by writing or telephoning us at the following address: Evergy, Inc., 1200 Main Street, Kansas City, Missouri 64105 (Telephone No.: 816-556-2200), Attention: Corporate Secretary, or by contacting us on our website.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all information appearing in this registration statement is qualified in its entirety by the information appearing in the documents incorporated by reference in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47545" cy="4305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1947545" cy="430530"/>
                    </a:xfrm>
                    <a:prstGeom prst="rect">
                      <a:avLst/>
                    </a:prstGeom>
                  </pic:spPr>
                </pic:pic>
              </a:graphicData>
            </a:graphic>
          </wp:inline>
        </w:drawing>
      </w:r>
      <w:r>
        <w:rPr/>
        <w:t xml:space="preserve"> </w:t>
      </w:r>
    </w:p>
    <w:p>
      <w:pPr>
        <w:pStyle w:val="TextBody"/>
        <w:bidi w:val="0"/>
        <w:spacing w:before="720" w:after="0"/>
        <w:jc w:val="center"/>
        <w:rPr>
          <w:rFonts w:ascii="Times New Roman" w:hAnsi="Times New Roman"/>
          <w:b/>
          <w:sz w:val="32"/>
        </w:rPr>
      </w:pPr>
      <w:r>
        <w:rPr>
          <w:rFonts w:ascii="Times New Roman" w:hAnsi="Times New Roman"/>
          <w:b/>
          <w:sz w:val="32"/>
        </w:rPr>
        <w:t xml:space="preserve">$     </w:t>
      </w:r>
    </w:p>
    <w:p>
      <w:pPr>
        <w:pStyle w:val="TextBody"/>
        <w:bidi w:val="0"/>
        <w:spacing w:before="360" w:after="0"/>
        <w:jc w:val="center"/>
        <w:rPr>
          <w:rFonts w:ascii="Times New Roman" w:hAnsi="Times New Roman"/>
          <w:b/>
          <w:sz w:val="48"/>
        </w:rPr>
      </w:pPr>
      <w:r>
        <w:rPr>
          <w:rFonts w:ascii="Times New Roman" w:hAnsi="Times New Roman"/>
          <w:b/>
          <w:sz w:val="48"/>
        </w:rPr>
        <w:t xml:space="preserve">Evergy, Inc. </w:t>
      </w:r>
    </w:p>
    <w:p>
      <w:pPr>
        <w:pStyle w:val="TextBody"/>
        <w:bidi w:val="0"/>
        <w:spacing w:before="480" w:after="0"/>
        <w:jc w:val="center"/>
        <w:rPr/>
      </w:pPr>
      <w:r>
        <w:rPr/>
        <w:t> </w:t>
      </w:r>
      <w:r>
        <w:rPr>
          <w:rFonts w:ascii="Times New Roman" w:hAnsi="Times New Roman"/>
          <w:b/>
          <w:sz w:val="28"/>
        </w:rPr>
        <w:t xml:space="preserve">% Fixed-to-Fixed Reset Rate Junior Subordinated Notes due 2057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rFonts w:ascii="Times New Roman" w:hAnsi="Times New Roman"/>
          <w:b/>
          <w:sz w:val="20"/>
        </w:rPr>
      </w:pPr>
      <w:r>
        <w:rPr>
          <w:rFonts w:ascii="Times New Roman" w:hAnsi="Times New Roman"/>
          <w:b/>
          <w:sz w:val="20"/>
        </w:rPr>
        <w:t xml:space="preserve">August  , 2026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BofA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Goldman Sachs &amp; Co. LLC </w:t>
      </w:r>
    </w:p>
    <w:p>
      <w:pPr>
        <w:pStyle w:val="TextBody"/>
        <w:bidi w:val="0"/>
        <w:spacing w:before="120" w:after="0"/>
        <w:jc w:val="center"/>
        <w:rPr>
          <w:rFonts w:ascii="Times New Roman" w:hAnsi="Times New Roman"/>
          <w:b/>
          <w:sz w:val="32"/>
        </w:rPr>
      </w:pPr>
      <w:r>
        <w:rPr>
          <w:rFonts w:ascii="Times New Roman" w:hAnsi="Times New Roman"/>
          <w:b/>
          <w:sz w:val="32"/>
        </w:rPr>
        <w:t xml:space="preserve">Morgan Stanley </w:t>
      </w:r>
    </w:p>
    <w:p>
      <w:pPr>
        <w:pStyle w:val="TextBody"/>
        <w:bidi w:val="0"/>
        <w:spacing w:before="120" w:after="0"/>
        <w:jc w:val="center"/>
        <w:rPr>
          <w:rFonts w:ascii="Times New Roman" w:hAnsi="Times New Roman"/>
          <w:b/>
          <w:sz w:val="32"/>
        </w:rPr>
      </w:pPr>
      <w:r>
        <w:rPr>
          <w:rFonts w:ascii="Times New Roman" w:hAnsi="Times New Roman"/>
          <w:b/>
          <w:sz w:val="32"/>
        </w:rPr>
        <w:t xml:space="preserve">MUFG </w:t>
      </w:r>
    </w:p>
    <w:p>
      <w:pPr>
        <w:pStyle w:val="TextBody"/>
        <w:bidi w:val="0"/>
        <w:spacing w:before="120" w:after="0"/>
        <w:jc w:val="center"/>
        <w:rPr>
          <w:rFonts w:ascii="Times New Roman" w:hAnsi="Times New Roman"/>
          <w:b/>
          <w:sz w:val="32"/>
        </w:rPr>
      </w:pPr>
      <w:r>
        <w:rPr>
          <w:rFonts w:ascii="Times New Roman" w:hAnsi="Times New Roman"/>
          <w:b/>
          <w:sz w:val="32"/>
        </w:rPr>
        <w:t xml:space="preserve">Wells Fargo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Barclays </w:t>
      </w:r>
    </w:p>
    <w:p>
      <w:pPr>
        <w:pStyle w:val="TextBody"/>
        <w:bidi w:val="0"/>
        <w:spacing w:before="120" w:after="0"/>
        <w:jc w:val="center"/>
        <w:rPr>
          <w:rFonts w:ascii="Times New Roman" w:hAnsi="Times New Roman"/>
          <w:b/>
          <w:sz w:val="32"/>
        </w:rPr>
      </w:pPr>
      <w:r>
        <w:rPr>
          <w:rFonts w:ascii="Times New Roman" w:hAnsi="Times New Roman"/>
          <w:b/>
          <w:sz w:val="32"/>
        </w:rPr>
        <w:t xml:space="preserve">Citigroup </w:t>
      </w:r>
    </w:p>
    <w:p>
      <w:pPr>
        <w:pStyle w:val="TextBody"/>
        <w:bidi w:val="0"/>
        <w:spacing w:before="12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120" w:after="0"/>
        <w:jc w:val="center"/>
        <w:rPr>
          <w:rFonts w:ascii="Times New Roman" w:hAnsi="Times New Roman"/>
          <w:b/>
          <w:sz w:val="32"/>
        </w:rPr>
      </w:pPr>
      <w:r>
        <w:rPr>
          <w:rFonts w:ascii="Times New Roman" w:hAnsi="Times New Roman"/>
          <w:b/>
          <w:sz w:val="32"/>
        </w:rPr>
        <w:t xml:space="preserve">TD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US Bancorp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54476/000171126926000017/evrg-20251231.htm" TargetMode="External"/><Relationship Id="rId4" Type="http://schemas.openxmlformats.org/officeDocument/2006/relationships/hyperlink" Target="http://www.sec.gov/Archives/edgar/data/../../../ix?doc=/Archives/edgar/data/1711269/000114036126011357/ny20059674x1_def14a.htm" TargetMode="External"/><Relationship Id="rId5" Type="http://schemas.openxmlformats.org/officeDocument/2006/relationships/hyperlink" Target="http://www.sec.gov/Archives/edgar/data/../../../ix?doc=/Archives/edgar/data/54476/000171126926000057/evrg-20260331.htm" TargetMode="External"/><Relationship Id="rId6" Type="http://schemas.openxmlformats.org/officeDocument/2006/relationships/hyperlink" Target="http://www.sec.gov/Archives/edgar/data/../../../ix?doc=/Archives/edgar/data/54476/000171126926000100/evrg-20260630.htm" TargetMode="External"/><Relationship Id="rId7" Type="http://schemas.openxmlformats.org/officeDocument/2006/relationships/hyperlink" Target="http://www.sec.gov/Archives/edgar/data/../../../ix?doc=/Archives/edgar/data/1711269/000119312526006331/d37831d8k.htm" TargetMode="External"/><Relationship Id="rId8" Type="http://schemas.openxmlformats.org/officeDocument/2006/relationships/hyperlink" Target="http://www.sec.gov/Archives/edgar/data/../../../ix?doc=/Archives/edgar/data/1711269/000119312526046696/d75633d8k.htm" TargetMode="External"/><Relationship Id="rId9" Type="http://schemas.openxmlformats.org/officeDocument/2006/relationships/hyperlink" Target="http://www.sec.gov/Archives/edgar/data/../../../ix?doc=/Archives/edgar/data/1711269/000119312526100187/d90039d8k.htm" TargetMode="External"/><Relationship Id="rId10" Type="http://schemas.openxmlformats.org/officeDocument/2006/relationships/hyperlink" Target="http://www.sec.gov/Archives/edgar/data/../../../ix?doc=/Archives/edgar/data/54476/000119312526292565/d82314d8k.htm" TargetMode="External"/><Relationship Id="rId11" Type="http://schemas.openxmlformats.org/officeDocument/2006/relationships/hyperlink" Target="http://www.sec.gov/Archives/edgar/data/../../../ix?doc=/Archives/edgar/data/54476/000171126924000007/evrg-20231231.htm" TargetMode="External"/><Relationship Id="rId12" Type="http://schemas.openxmlformats.org/officeDocument/2006/relationships/hyperlink" Target="http://www.sec.gov/Archives/edgar/data/../../../ix?doc=/Archives/edgar/data/54476/000171126924000013/evrg-20240331.htm" TargetMode="External"/><Relationship Id="rId13" Type="http://schemas.openxmlformats.org/officeDocument/2006/relationships/hyperlink" Target="http://www.sec.gov/Archives/edgar/data/../../../ix?doc=/Archives/edgar/data/54476/000171126924000027/evrg-20240630.htm" TargetMode="External"/><Relationship Id="rId14" Type="http://schemas.openxmlformats.org/officeDocument/2006/relationships/hyperlink" Target="http://www.sec.gov/Archives/edgar/data/../../../ix?doc=/Archives/edgar/data/54476/000171126924000007/evrg-20231231.htm" TargetMode="External"/><Relationship Id="rId15" Type="http://schemas.openxmlformats.org/officeDocument/2006/relationships/hyperlink" Target="http://www.sec.gov/Archives/edgar/data/../../../ix?doc=/Archives/edgar/data/1711269/000114036124016119/ny20016525x1_def14a.htm" TargetMode="External"/><Relationship Id="rId16" Type="http://schemas.openxmlformats.org/officeDocument/2006/relationships/hyperlink" Target="http://www.sec.gov/Archives/edgar/data/../../../ix?doc=/Archives/edgar/data/54476/000171126924000013/evrg-20240331.htm" TargetMode="External"/><Relationship Id="rId17" Type="http://schemas.openxmlformats.org/officeDocument/2006/relationships/hyperlink" Target="http://www.sec.gov/Archives/edgar/data/../../../ix?doc=/Archives/edgar/data/54476/000171126924000027/evrg-20240630.htm" TargetMode="External"/><Relationship Id="rId18" Type="http://schemas.openxmlformats.org/officeDocument/2006/relationships/hyperlink" Target="http://www.sec.gov/Archives/edgar/data/../../../ix?doc=/Archives/edgar/data/1711269/000119312524063625/d764748d8k.htm" TargetMode="External"/><Relationship Id="rId19" Type="http://schemas.openxmlformats.org/officeDocument/2006/relationships/hyperlink" Target="http://www.sec.gov/Archives/edgar/data/../../../ix?doc=/Archives/edgar/data/54476/000119312524088500/d780883d8k.htm" TargetMode="External"/><Relationship Id="rId20" Type="http://schemas.openxmlformats.org/officeDocument/2006/relationships/hyperlink" Target="http://www.sec.gov/Archives/edgar/data/../../../ix?doc=/Archives/edgar/data/54476/000119312524157846/d819221d8k.htm" TargetMode="External"/><Relationship Id="rId21" Type="http://schemas.openxmlformats.org/officeDocument/2006/relationships/hyperlink" Target="http://www.sec.gov/Archives/edgar/data/54476/000171126921000023/evrg12312020ex464descripti.htm" TargetMode="External"/><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41539</Words>
  <Characters>216994</Characters>
  <CharactersWithSpaces>259338</CharactersWithSpaces>
  <Paragraphs>2636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