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 October 31, 2022, Evergy, Inc. had 229,536,385 shares of common stock outstanding. On October 31, 2022, Evergy Metro, Inc. and Evergy Kansas Central, Inc. each had one share of common stock outstanding and held by Evergy, Inc.</w:t>
      </w:r>
    </w:p>
    <w:p>
      <w:pPr>
        <w:spacing w:after="0" w:line="155"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84" w:lineRule="exact"/>
        <w:rPr>
          <w:sz w:val="20"/>
          <w:szCs w:val="20"/>
          <w:color w:val="auto"/>
        </w:rPr>
      </w:pPr>
    </w:p>
    <w:p>
      <w:pPr>
        <w:ind w:right="460"/>
        <w:spacing w:after="0" w:line="255" w:lineRule="auto"/>
        <w:rPr>
          <w:sz w:val="20"/>
          <w:szCs w:val="20"/>
          <w:color w:val="auto"/>
        </w:rPr>
      </w:pPr>
      <w:r>
        <w:rPr>
          <w:rFonts w:ascii="Arial" w:cs="Arial" w:eastAsia="Arial" w:hAnsi="Arial"/>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2021 for each of Evergy, Evergy Kansas Central and Evergy Metro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542925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6"/>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2"/>
          </w:tcPr>
          <w:p>
            <w:pPr>
              <w:spacing w:after="0"/>
              <w:rPr>
                <w:sz w:val="20"/>
                <w:szCs w:val="20"/>
                <w:color w:val="auto"/>
              </w:rPr>
            </w:pPr>
            <w:r>
              <w:rPr>
                <w:rFonts w:ascii="Arial" w:cs="Arial" w:eastAsia="Arial" w:hAnsi="Arial"/>
                <w:sz w:val="18"/>
                <w:szCs w:val="18"/>
                <w:color w:val="0000FF"/>
                <w:w w:val="91"/>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0000FF"/>
                <w:w w:val="79"/>
              </w:rPr>
              <w:t>4</w:t>
            </w:r>
          </w:p>
        </w:tc>
        <w:tc>
          <w:tcPr>
            <w:tcW w:w="4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sz w:val="20"/>
                <w:szCs w:val="20"/>
                <w:color w:val="auto"/>
              </w:rPr>
            </w:pPr>
            <w:r>
              <w:rPr>
                <w:rFonts w:ascii="Arial" w:cs="Arial" w:eastAsia="Arial" w:hAnsi="Arial"/>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28"/>
          </w:tcPr>
          <w:p>
            <w:pPr>
              <w:spacing w:after="0"/>
              <w:rPr>
                <w:sz w:val="20"/>
                <w:szCs w:val="20"/>
                <w:color w:val="auto"/>
              </w:rPr>
            </w:pPr>
            <w:r>
              <w:rPr>
                <w:rFonts w:ascii="Arial" w:cs="Arial" w:eastAsia="Arial" w:hAnsi="Arial"/>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9"/>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2"/>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2"/>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Arial" w:cs="Arial" w:eastAsia="Arial" w:hAnsi="Arial"/>
                <w:sz w:val="18"/>
                <w:szCs w:val="18"/>
                <w:color w:val="0000FF"/>
                <w:w w:val="79"/>
              </w:rPr>
              <w:t>11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8"/>
          </w:tcPr>
          <w:p>
            <w:pPr>
              <w:spacing w:after="0"/>
              <w:rPr>
                <w:sz w:val="20"/>
                <w:szCs w:val="20"/>
                <w:color w:val="auto"/>
              </w:rPr>
            </w:pPr>
            <w:r>
              <w:rPr>
                <w:rFonts w:ascii="Arial" w:cs="Arial" w:eastAsia="Arial" w:hAnsi="Arial"/>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6"/>
          </w:tcPr>
          <w:p>
            <w:pPr>
              <w:spacing w:after="0"/>
              <w:rPr>
                <w:sz w:val="20"/>
                <w:szCs w:val="20"/>
                <w:color w:val="auto"/>
              </w:rPr>
            </w:pPr>
            <w:r>
              <w:rPr>
                <w:rFonts w:ascii="Arial" w:cs="Arial" w:eastAsia="Arial" w:hAnsi="Arial"/>
                <w:sz w:val="18"/>
                <w:szCs w:val="18"/>
                <w:color w:val="0000FF"/>
                <w:w w:val="88"/>
              </w:rPr>
              <w:t>Unaudited Consolidated Statements of Income</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28"/>
          </w:tcPr>
          <w:p>
            <w:pPr>
              <w:spacing w:after="0"/>
              <w:rPr>
                <w:sz w:val="20"/>
                <w:szCs w:val="20"/>
                <w:color w:val="auto"/>
              </w:rPr>
            </w:pPr>
            <w:r>
              <w:rPr>
                <w:rFonts w:ascii="Arial" w:cs="Arial" w:eastAsia="Arial" w:hAnsi="Arial"/>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4"/>
          </w:tcPr>
          <w:p>
            <w:pPr>
              <w:spacing w:after="0"/>
              <w:rPr>
                <w:sz w:val="20"/>
                <w:szCs w:val="20"/>
                <w:color w:val="auto"/>
              </w:rPr>
            </w:pPr>
            <w:r>
              <w:rPr>
                <w:rFonts w:ascii="Arial" w:cs="Arial" w:eastAsia="Arial" w:hAnsi="Arial"/>
                <w:sz w:val="18"/>
                <w:szCs w:val="18"/>
                <w:color w:val="0000FF"/>
                <w:w w:val="88"/>
              </w:rPr>
              <w:t>Unaudited Consolidated Balance Sheets</w:t>
            </w:r>
          </w:p>
        </w:tc>
        <w:tc>
          <w:tcPr>
            <w:tcW w:w="504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19</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2"/>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6"/>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23</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28"/>
          </w:tcPr>
          <w:p>
            <w:pPr>
              <w:spacing w:after="0"/>
              <w:rPr>
                <w:sz w:val="20"/>
                <w:szCs w:val="20"/>
                <w:color w:val="auto"/>
              </w:rPr>
            </w:pPr>
            <w:r>
              <w:rPr>
                <w:rFonts w:ascii="Arial" w:cs="Arial" w:eastAsia="Arial" w:hAnsi="Arial"/>
                <w:sz w:val="18"/>
                <w:szCs w:val="18"/>
                <w:color w:val="0000FF"/>
                <w:w w:val="94"/>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24</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2"/>
          </w:tcPr>
          <w:p>
            <w:pPr>
              <w:spacing w:after="0"/>
              <w:rPr>
                <w:sz w:val="20"/>
                <w:szCs w:val="20"/>
                <w:color w:val="auto"/>
              </w:rPr>
            </w:pPr>
            <w:r>
              <w:rPr>
                <w:rFonts w:ascii="Arial" w:cs="Arial" w:eastAsia="Arial" w:hAnsi="Arial"/>
                <w:sz w:val="18"/>
                <w:szCs w:val="18"/>
                <w:color w:val="0000FF"/>
                <w:w w:val="8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24</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sz w:val="20"/>
                <w:szCs w:val="20"/>
                <w:color w:val="auto"/>
              </w:rPr>
            </w:pPr>
            <w:r>
              <w:rPr>
                <w:rFonts w:ascii="Arial" w:cs="Arial" w:eastAsia="Arial" w:hAnsi="Arial"/>
                <w:sz w:val="18"/>
                <w:szCs w:val="18"/>
                <w:color w:val="0000FF"/>
                <w:w w:val="83"/>
              </w:rPr>
              <w:t>Revenue</w:t>
            </w:r>
          </w:p>
        </w:tc>
        <w:tc>
          <w:tcPr>
            <w:tcW w:w="2180" w:type="dxa"/>
            <w:vAlign w:val="bottom"/>
            <w:gridSpan w:val="9"/>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sz w:val="20"/>
                <w:szCs w:val="20"/>
                <w:color w:val="auto"/>
              </w:rPr>
            </w:pPr>
            <w:r>
              <w:rPr>
                <w:rFonts w:ascii="Arial" w:cs="Arial" w:eastAsia="Arial" w:hAnsi="Arial"/>
                <w:sz w:val="18"/>
                <w:szCs w:val="18"/>
                <w:color w:val="0000FF"/>
                <w:w w:val="83"/>
              </w:rPr>
              <w:t>Receivables</w:t>
            </w:r>
          </w:p>
        </w:tc>
        <w:tc>
          <w:tcPr>
            <w:tcW w:w="578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19"/>
          </w:tcPr>
          <w:p>
            <w:pPr>
              <w:spacing w:after="0"/>
              <w:rPr>
                <w:sz w:val="20"/>
                <w:szCs w:val="20"/>
                <w:color w:val="auto"/>
              </w:rPr>
            </w:pPr>
            <w:r>
              <w:rPr>
                <w:rFonts w:ascii="Arial" w:cs="Arial" w:eastAsia="Arial" w:hAnsi="Arial"/>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2040" w:type="dxa"/>
            <w:vAlign w:val="bottom"/>
            <w:gridSpan w:val="9"/>
          </w:tcPr>
          <w:p>
            <w:pPr>
              <w:spacing w:after="0"/>
              <w:rPr>
                <w:sz w:val="20"/>
                <w:szCs w:val="20"/>
                <w:color w:val="auto"/>
              </w:rPr>
            </w:pPr>
            <w:r>
              <w:rPr>
                <w:rFonts w:ascii="Arial" w:cs="Arial" w:eastAsia="Arial" w:hAnsi="Arial"/>
                <w:sz w:val="18"/>
                <w:szCs w:val="18"/>
                <w:color w:val="0000FF"/>
              </w:rPr>
              <w:t>Goodwill</w:t>
            </w:r>
          </w:p>
        </w:tc>
        <w:tc>
          <w:tcPr>
            <w:tcW w:w="460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3160" w:type="dxa"/>
            <w:vAlign w:val="bottom"/>
            <w:gridSpan w:val="14"/>
          </w:tcPr>
          <w:p>
            <w:pPr>
              <w:spacing w:after="0"/>
              <w:rPr>
                <w:sz w:val="20"/>
                <w:szCs w:val="20"/>
                <w:color w:val="auto"/>
              </w:rPr>
            </w:pPr>
            <w:r>
              <w:rPr>
                <w:rFonts w:ascii="Arial" w:cs="Arial" w:eastAsia="Arial" w:hAnsi="Arial"/>
                <w:sz w:val="18"/>
                <w:szCs w:val="18"/>
                <w:color w:val="0000FF"/>
                <w:w w:val="88"/>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38</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6640" w:type="dxa"/>
            <w:vAlign w:val="bottom"/>
            <w:gridSpan w:val="19"/>
          </w:tcPr>
          <w:p>
            <w:pPr>
              <w:spacing w:after="0"/>
              <w:rPr>
                <w:sz w:val="20"/>
                <w:szCs w:val="20"/>
                <w:color w:val="auto"/>
              </w:rPr>
            </w:pPr>
            <w:r>
              <w:rPr>
                <w:rFonts w:ascii="Arial" w:cs="Arial" w:eastAsia="Arial" w:hAnsi="Arial"/>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200" w:type="dxa"/>
            <w:vAlign w:val="bottom"/>
            <w:gridSpan w:val="6"/>
          </w:tcPr>
          <w:p>
            <w:pPr>
              <w:spacing w:after="0"/>
              <w:rPr>
                <w:sz w:val="20"/>
                <w:szCs w:val="20"/>
                <w:color w:val="auto"/>
              </w:rPr>
            </w:pPr>
            <w:r>
              <w:rPr>
                <w:rFonts w:ascii="Arial" w:cs="Arial" w:eastAsia="Arial" w:hAnsi="Arial"/>
                <w:sz w:val="18"/>
                <w:szCs w:val="18"/>
                <w:color w:val="0000FF"/>
                <w:w w:val="90"/>
              </w:rPr>
              <w:t>Long-Term Debt</w:t>
            </w:r>
          </w:p>
        </w:tc>
        <w:tc>
          <w:tcPr>
            <w:tcW w:w="3240" w:type="dxa"/>
            <w:vAlign w:val="bottom"/>
            <w:gridSpan w:val="10"/>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19"/>
          </w:tcPr>
          <w:p>
            <w:pPr>
              <w:spacing w:after="0"/>
              <w:rPr>
                <w:sz w:val="20"/>
                <w:szCs w:val="20"/>
                <w:color w:val="auto"/>
              </w:rPr>
            </w:pPr>
            <w:r>
              <w:rPr>
                <w:rFonts w:ascii="Arial" w:cs="Arial" w:eastAsia="Arial" w:hAnsi="Arial"/>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19"/>
          </w:tcPr>
          <w:p>
            <w:pPr>
              <w:spacing w:after="0"/>
              <w:rPr>
                <w:sz w:val="20"/>
                <w:szCs w:val="20"/>
                <w:color w:val="auto"/>
              </w:rPr>
            </w:pPr>
            <w:r>
              <w:rPr>
                <w:rFonts w:ascii="Arial" w:cs="Arial" w:eastAsia="Arial" w:hAnsi="Arial"/>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47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19"/>
          </w:tcPr>
          <w:p>
            <w:pPr>
              <w:spacing w:after="0"/>
              <w:rPr>
                <w:sz w:val="20"/>
                <w:szCs w:val="20"/>
                <w:color w:val="auto"/>
              </w:rPr>
            </w:pPr>
            <w:r>
              <w:rPr>
                <w:rFonts w:ascii="Arial" w:cs="Arial" w:eastAsia="Arial" w:hAnsi="Arial"/>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3240" w:type="dxa"/>
            <w:vAlign w:val="bottom"/>
            <w:gridSpan w:val="15"/>
          </w:tcPr>
          <w:p>
            <w:pPr>
              <w:spacing w:after="0"/>
              <w:rPr>
                <w:sz w:val="20"/>
                <w:szCs w:val="20"/>
                <w:color w:val="auto"/>
              </w:rPr>
            </w:pPr>
            <w:r>
              <w:rPr>
                <w:rFonts w:ascii="Arial" w:cs="Arial" w:eastAsia="Arial" w:hAnsi="Arial"/>
                <w:sz w:val="18"/>
                <w:szCs w:val="18"/>
                <w:color w:val="0000FF"/>
              </w:rPr>
              <w:t>Taxes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51</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54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6"/>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sz w:val="20"/>
                <w:szCs w:val="20"/>
                <w:color w:val="auto"/>
              </w:rPr>
            </w:pPr>
            <w:r>
              <w:rPr>
                <w:rFonts w:ascii="Arial" w:cs="Arial" w:eastAsia="Arial" w:hAnsi="Arial"/>
                <w:sz w:val="18"/>
                <w:szCs w:val="18"/>
                <w:color w:val="0000FF"/>
                <w:w w:val="93"/>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75</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2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40" w:type="dxa"/>
            <w:vAlign w:val="bottom"/>
            <w:tcBorders>
              <w:left w:val="single" w:sz="8" w:color="0000FF"/>
            </w:tcBorders>
            <w:gridSpan w:val="8"/>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gridSpan w:val="14"/>
          </w:tcPr>
          <w:p>
            <w:pPr>
              <w:spacing w:after="0"/>
              <w:rPr>
                <w:sz w:val="20"/>
                <w:szCs w:val="20"/>
                <w:color w:val="auto"/>
              </w:rPr>
            </w:pPr>
            <w:r>
              <w:rPr>
                <w:rFonts w:ascii="Arial" w:cs="Arial" w:eastAsia="Arial" w:hAnsi="Arial"/>
                <w:sz w:val="18"/>
                <w:szCs w:val="18"/>
                <w:color w:val="0000FF"/>
                <w:w w:val="88"/>
              </w:rPr>
              <w:t>Defaults Upon Senior Securities</w:t>
            </w:r>
          </w:p>
        </w:tc>
        <w:tc>
          <w:tcPr>
            <w:tcW w:w="2040" w:type="dxa"/>
            <w:vAlign w:val="bottom"/>
            <w:gridSpan w:val="8"/>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00" w:type="dxa"/>
            <w:vAlign w:val="bottom"/>
            <w:gridSpan w:val="14"/>
          </w:tcPr>
          <w:p>
            <w:pPr>
              <w:spacing w:after="0"/>
              <w:rPr>
                <w:sz w:val="20"/>
                <w:szCs w:val="20"/>
                <w:color w:val="auto"/>
              </w:rPr>
            </w:pPr>
            <w:r>
              <w:rPr>
                <w:rFonts w:ascii="Arial" w:cs="Arial" w:eastAsia="Arial" w:hAnsi="Arial"/>
                <w:sz w:val="18"/>
                <w:szCs w:val="18"/>
                <w:color w:val="0000FF"/>
              </w:rPr>
              <w:t>Mine Safety Disclosures</w:t>
            </w:r>
          </w:p>
        </w:tc>
        <w:tc>
          <w:tcPr>
            <w:tcW w:w="578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sz w:val="20"/>
                <w:szCs w:val="20"/>
                <w:color w:val="auto"/>
              </w:rPr>
            </w:pPr>
            <w:r>
              <w:rPr>
                <w:rFonts w:ascii="Arial" w:cs="Arial" w:eastAsia="Arial" w:hAnsi="Arial"/>
                <w:sz w:val="18"/>
                <w:szCs w:val="18"/>
                <w:color w:val="0000FF"/>
                <w:w w:val="99"/>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77</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Arial" w:cs="Arial" w:eastAsia="Arial" w:hAnsi="Arial"/>
                <w:sz w:val="18"/>
                <w:szCs w:val="18"/>
                <w:color w:val="0000FF"/>
                <w:w w:val="89"/>
              </w:rPr>
              <w:t>79</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4"/>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6"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uncertainties and other factors include, but are not limited to: economic and weather conditions and any impact on sales, prices and costs;</w:t>
      </w:r>
    </w:p>
    <w:p>
      <w:pPr>
        <w:spacing w:after="0" w:line="9"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changes in business strategy or operations; the impact of federal, state and local political, legislative, judicial and regulatory actions or developments, including deregulation, re-regulation, securitization and restructuring of the electric utility industry; decisions of regulators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regarding, among other things, customer rates and the prudency of operational decisions such as capital expenditures and asset retirements;</w:t>
      </w:r>
    </w:p>
    <w:p>
      <w:pPr>
        <w:spacing w:after="0" w:line="32" w:lineRule="exact"/>
        <w:rPr>
          <w:sz w:val="20"/>
          <w:szCs w:val="20"/>
          <w:color w:val="auto"/>
        </w:rPr>
      </w:pPr>
    </w:p>
    <w:p>
      <w:pPr>
        <w:ind w:right="700"/>
        <w:spacing w:after="0" w:line="272" w:lineRule="auto"/>
        <w:rPr>
          <w:sz w:val="20"/>
          <w:szCs w:val="20"/>
          <w:color w:val="auto"/>
        </w:rPr>
      </w:pPr>
      <w:r>
        <w:rPr>
          <w:rFonts w:ascii="Arial" w:cs="Arial" w:eastAsia="Arial" w:hAnsi="Arial"/>
          <w:sz w:val="16"/>
          <w:szCs w:val="16"/>
          <w:color w:val="auto"/>
        </w:rPr>
        <w:t>changes in applicable laws, regulations, rules, principles or practices, or the interpretations thereof, governing tax, accounting and environmental matters, including air and water quality and waste management and disposal; the impact of climate change, including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increased frequency and severity of significant weather events and the extent to which counterparties are willing to do business with, finance</w:t>
      </w:r>
    </w:p>
    <w:p>
      <w:pPr>
        <w:spacing w:after="0" w:line="9"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the operations of or purchase energy from the Evergy Companies due to the fact that the Evergy Companies operate coal-fired generation; prices and availability of electricity and natural gas in wholesale markets; market perception of the energy industry and the Evergy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Companies; the impact of the Coronavirus (COVID-19) pandemic on, among other things, sales, results of operations, financial condition,</w:t>
      </w:r>
    </w:p>
    <w:p>
      <w:pPr>
        <w:spacing w:after="0" w:line="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liquidity and cash flows, and also on operational issues, such as supply chain issues and the availability and ability of the Evergy Companies' employees and suppliers to perform the functions that are necessary to operate the Evergy Companies; changes in the energy trading markets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which the Evergy Companies participate, including retroactive repricing of transactions by regional transmission organizations (RTO) and independent system operators; financial market conditions and performance, including changes in interest rates and credit spreads and in</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availability and cost of capital and the effects on derivatives and hedges, nuclear decommissioning trust and pension plan assets and costs; impairments of long-lived assets or goodwill; credit ratings; inflation rates; the transition to a replacement for the London Interbank Offered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Rate (LIBOR) benchmark interest rate; effectiveness of risk management policies and procedures and the ability of counterparties to satisfy</w:t>
      </w:r>
    </w:p>
    <w:p>
      <w:pPr>
        <w:spacing w:after="0" w:line="9" w:lineRule="exact"/>
        <w:rPr>
          <w:sz w:val="20"/>
          <w:szCs w:val="20"/>
          <w:color w:val="auto"/>
        </w:rPr>
      </w:pPr>
    </w:p>
    <w:p>
      <w:pPr>
        <w:ind w:right="440"/>
        <w:spacing w:after="0" w:line="242" w:lineRule="auto"/>
        <w:rPr>
          <w:sz w:val="20"/>
          <w:szCs w:val="20"/>
          <w:color w:val="auto"/>
        </w:rPr>
      </w:pPr>
      <w:r>
        <w:rPr>
          <w:rFonts w:ascii="Arial" w:cs="Arial" w:eastAsia="Arial" w:hAnsi="Arial"/>
          <w:sz w:val="18"/>
          <w:szCs w:val="18"/>
          <w:color w:val="auto"/>
        </w:rPr>
        <w:t>their contractual commitments; impact of physical and cybersecurity breaches, criminal activity, terrorist attacks, acts of war and other disruptions to the Evergy Companies' facilities or information technology infrastructure or the facilities and infrastructure of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on which the Evergy Companies rely; impact of the Russian, Ukrainian conflict on the global energy market, ability to</w:t>
      </w:r>
    </w:p>
    <w:p>
      <w:pPr>
        <w:spacing w:after="0" w:line="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carry out marketing and sales plans; cost, availability, quality and timely provision of equipment, supplies, labor and fuel; ability to achieve generation goals and the occurrence and duration of planned and unplanned generation outages; delays and cost increases of generation,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transmission, distribution or other projects; the Evergy Companies' ability to manage their transmission and distribution development plans</w:t>
      </w:r>
    </w:p>
    <w:p>
      <w:pPr>
        <w:spacing w:after="0" w:line="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and transmission joint ventures; the inherent risks associated with the ownership and operation of a nuclear facility, including environmental, health, safety, regulatory and financial risks; workforce risks, including those related to the Evergy Companies' ability to attract and retain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qualified personnel, maintain satisfactory relationships with their labor unions and manage costs of, or changes in, wages, retirement, health</w:t>
      </w:r>
    </w:p>
    <w:p>
      <w:pPr>
        <w:spacing w:after="0" w:line="9" w:lineRule="exact"/>
        <w:rPr>
          <w:sz w:val="20"/>
          <w:szCs w:val="20"/>
          <w:color w:val="auto"/>
        </w:rPr>
      </w:pPr>
    </w:p>
    <w:p>
      <w:pPr>
        <w:ind w:right="500"/>
        <w:spacing w:after="0" w:line="272" w:lineRule="auto"/>
        <w:rPr>
          <w:sz w:val="20"/>
          <w:szCs w:val="20"/>
          <w:color w:val="auto"/>
        </w:rPr>
      </w:pPr>
      <w:r>
        <w:rPr>
          <w:rFonts w:ascii="Arial" w:cs="Arial" w:eastAsia="Arial" w:hAnsi="Arial"/>
          <w:sz w:val="16"/>
          <w:szCs w:val="16"/>
          <w:color w:val="auto"/>
        </w:rPr>
        <w:t>care and other benefits; disruption, costs and uncertainties caused by or related to the actions of individuals or entities, such as activist shareholders or special interest groups, that seek to influence Evergy's strategic plan, financial results or operations; the possibility that</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11"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color w:val="auto"/>
        </w:rPr>
        <w:t>This list of factors is not all-inclusive because it is not possible to predict all factors. You should also carefully consider the information contained in our other filings with the Securities and Exchange Commission (SEC). Additional risks and uncertainties are discussed from time to time in current, quarterly and annual reports filed by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80"/>
        <w:spacing w:after="0" w:line="257" w:lineRule="auto"/>
        <w:rPr>
          <w:sz w:val="20"/>
          <w:szCs w:val="20"/>
          <w:color w:val="auto"/>
        </w:rPr>
      </w:pPr>
      <w:r>
        <w:rPr>
          <w:rFonts w:ascii="Arial" w:cs="Arial" w:eastAsia="Arial" w:hAnsi="Arial"/>
          <w:sz w:val="20"/>
          <w:szCs w:val="20"/>
          <w:color w:val="auto"/>
        </w:rPr>
        <w:t>the Evergy 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59"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5" w:name="page6"/>
    <w:bookmarkEnd w:id="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line="257"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7940" w:type="dxa"/>
            <w:vAlign w:val="bottom"/>
            <w:gridSpan w:val="3"/>
          </w:tcPr>
          <w:p>
            <w:pPr>
              <w:ind w:left="200"/>
              <w:spacing w:after="0" w:line="203"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spacing w:after="0" w:line="20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20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80" w:type="dxa"/>
            <w:vAlign w:val="bottom"/>
            <w:gridSpan w:val="2"/>
            <w:vMerge w:val="continue"/>
          </w:tcPr>
          <w:p>
            <w:pPr>
              <w:spacing w:after="0"/>
              <w:rPr>
                <w:sz w:val="21"/>
                <w:szCs w:val="21"/>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kV</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Kilovolt</w:t>
            </w:r>
          </w:p>
        </w:tc>
        <w:tc>
          <w:tcPr>
            <w:tcW w:w="0" w:type="dxa"/>
            <w:vAlign w:val="bottom"/>
          </w:tcPr>
          <w:p>
            <w:pPr>
              <w:spacing w:after="0"/>
              <w:rPr>
                <w:sz w:val="1"/>
                <w:szCs w:val="1"/>
                <w:color w:val="auto"/>
              </w:rPr>
            </w:pPr>
          </w:p>
        </w:tc>
      </w:tr>
      <w:tr>
        <w:trPr>
          <w:trHeight w:val="87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8"/>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81"/>
        </w:trPr>
        <w:tc>
          <w:tcPr>
            <w:tcW w:w="20" w:type="dxa"/>
            <w:vAlign w:val="bottom"/>
          </w:tcPr>
          <w:p>
            <w:pPr>
              <w:spacing w:after="0"/>
              <w:rPr>
                <w:sz w:val="24"/>
                <w:szCs w:val="24"/>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MDNR</w:t>
            </w:r>
          </w:p>
        </w:tc>
        <w:tc>
          <w:tcPr>
            <w:tcW w:w="64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w w:val="89"/>
              </w:rPr>
              <w:t>Missouri Department of Natural Resources</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Midwest Energy Consumers Group</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Term Loan Facility</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Term Loan Credit Agreement</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6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2460" w:type="dxa"/>
            <w:vAlign w:val="bottom"/>
            <w:gridSpan w:val="3"/>
          </w:tcPr>
          <w:p>
            <w:pPr>
              <w:jc w:val="right"/>
              <w:ind w:right="39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24.7</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$24.7 and $32.9, respectively</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383.7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221.6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395.0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615.2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566.7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365.9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424.1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47.5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49.3</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66.2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75.4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1,905.7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1,710.3</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21,686.9</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21,002.6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142.5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147.8</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1,992.1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1,991.1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80" w:type="dxa"/>
            <w:vAlign w:val="bottom"/>
          </w:tcPr>
          <w:p>
            <w:pPr>
              <w:spacing w:after="0"/>
              <w:rPr>
                <w:sz w:val="18"/>
                <w:szCs w:val="18"/>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613.5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768.7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2,336.6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570.3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563.4</w:t>
            </w: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5,512.5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5,659.8</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29,247.6</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right"/>
              <w:ind w:right="359"/>
              <w:spacing w:after="0"/>
              <w:rPr>
                <w:sz w:val="20"/>
                <w:szCs w:val="20"/>
                <w:color w:val="auto"/>
              </w:rPr>
            </w:pPr>
            <w:r>
              <w:rPr>
                <w:rFonts w:ascii="Arial" w:cs="Arial" w:eastAsia="Arial" w:hAnsi="Arial"/>
                <w:sz w:val="14"/>
                <w:szCs w:val="14"/>
                <w:color w:val="auto"/>
                <w:w w:val="97"/>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349.5</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1,722.3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1,159.3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395.0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398.2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639.7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334.7</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88.6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74.6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18.0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72.2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218.6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3,671.7</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9,197.2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9,297.9</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1,982.1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1,861.9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178.9</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2,442.5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2,705.0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889.3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966.0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940.6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304.4</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15,960.4</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16,175.9</w:t>
            </w: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400" w:type="dxa"/>
            <w:vAlign w:val="bottom"/>
          </w:tcPr>
          <w:p>
            <w:pPr>
              <w:ind w:left="360"/>
              <w:spacing w:after="0" w:line="166"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7,216.6</w:t>
            </w:r>
          </w:p>
        </w:tc>
        <w:tc>
          <w:tcPr>
            <w:tcW w:w="44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Arial" w:cs="Arial" w:eastAsia="Arial" w:hAnsi="Arial"/>
                <w:sz w:val="16"/>
                <w:szCs w:val="16"/>
                <w:color w:val="auto"/>
              </w:rPr>
              <w:t>7,205.5</w:t>
            </w:r>
          </w:p>
        </w:tc>
        <w:tc>
          <w:tcPr>
            <w:tcW w:w="0" w:type="dxa"/>
            <w:vAlign w:val="bottom"/>
          </w:tcPr>
          <w:p>
            <w:pPr>
              <w:spacing w:after="0"/>
              <w:rPr>
                <w:sz w:val="1"/>
                <w:szCs w:val="1"/>
                <w:color w:val="auto"/>
              </w:rPr>
            </w:pPr>
          </w:p>
        </w:tc>
      </w:tr>
      <w:tr>
        <w:trPr>
          <w:trHeight w:val="209"/>
        </w:trPr>
        <w:tc>
          <w:tcPr>
            <w:tcW w:w="8400" w:type="dxa"/>
            <w:vAlign w:val="bottom"/>
          </w:tcPr>
          <w:p>
            <w:pPr>
              <w:ind w:left="360"/>
              <w:spacing w:after="0"/>
              <w:rPr>
                <w:sz w:val="20"/>
                <w:szCs w:val="20"/>
                <w:color w:val="auto"/>
              </w:rPr>
            </w:pPr>
            <w:r>
              <w:rPr>
                <w:rFonts w:ascii="Arial" w:cs="Arial" w:eastAsia="Arial" w:hAnsi="Arial"/>
                <w:sz w:val="16"/>
                <w:szCs w:val="16"/>
                <w:color w:val="auto"/>
              </w:rPr>
              <w:t>229,532,136 and 229,299,900 shares issued, stated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2,432.2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2,082.9</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(39.8)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9,609.0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9,244.4</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6.5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9,615.5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29,247.6</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28,520.5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jc w:val="center"/>
              <w:ind w:left="4799"/>
              <w:spacing w:after="0"/>
              <w:rPr>
                <w:sz w:val="20"/>
                <w:szCs w:val="20"/>
                <w:color w:val="auto"/>
              </w:rPr>
            </w:pPr>
            <w:r>
              <w:rPr>
                <w:rFonts w:ascii="Arial" w:cs="Arial" w:eastAsia="Arial" w:hAnsi="Arial"/>
                <w:sz w:val="16"/>
                <w:szCs w:val="16"/>
                <w:b w:val="1"/>
                <w:bCs w:val="1"/>
                <w:color w:val="auto"/>
              </w:rPr>
              <w:t>EVERGY, INC.</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680" w:type="dxa"/>
            <w:vAlign w:val="bottom"/>
            <w:gridSpan w:val="3"/>
          </w:tcPr>
          <w:p>
            <w:pPr>
              <w:jc w:val="center"/>
              <w:ind w:left="34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380" w:type="dxa"/>
            <w:vAlign w:val="bottom"/>
          </w:tcPr>
          <w:p>
            <w:pPr>
              <w:jc w:val="center"/>
              <w:ind w:left="4799"/>
              <w:spacing w:after="0"/>
              <w:rPr>
                <w:sz w:val="20"/>
                <w:szCs w:val="20"/>
                <w:color w:val="auto"/>
              </w:rPr>
            </w:pPr>
            <w:r>
              <w:rPr>
                <w:rFonts w:ascii="Arial" w:cs="Arial" w:eastAsia="Arial" w:hAnsi="Arial"/>
                <w:sz w:val="16"/>
                <w:szCs w:val="16"/>
                <w:color w:val="auto"/>
                <w:w w:val="93"/>
              </w:rPr>
              <w:t>(Unaudited)</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8"/>
        </w:trPr>
        <w:tc>
          <w:tcPr>
            <w:tcW w:w="6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00" w:type="dxa"/>
            <w:vAlign w:val="bottom"/>
          </w:tcPr>
          <w:p>
            <w:pPr>
              <w:spacing w:after="0"/>
              <w:rPr>
                <w:sz w:val="14"/>
                <w:szCs w:val="14"/>
                <w:color w:val="auto"/>
              </w:rPr>
            </w:pPr>
          </w:p>
        </w:tc>
      </w:tr>
      <w:tr>
        <w:trPr>
          <w:trHeight w:val="210"/>
        </w:trPr>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6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2021</w:t>
            </w:r>
          </w:p>
        </w:tc>
      </w:tr>
      <w:tr>
        <w:trPr>
          <w:trHeight w:val="182"/>
        </w:trPr>
        <w:tc>
          <w:tcPr>
            <w:tcW w:w="6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4"/>
                <w:szCs w:val="14"/>
                <w:color w:val="auto"/>
                <w:w w:val="99"/>
              </w:rPr>
              <w:t>(millions, except per share amounts)</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1,909.1</w:t>
            </w:r>
          </w:p>
        </w:tc>
        <w:tc>
          <w:tcPr>
            <w:tcW w:w="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1,616.5</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4,579.5</w:t>
            </w: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4,464.6</w:t>
            </w:r>
          </w:p>
        </w:tc>
      </w:tr>
      <w:tr>
        <w:trPr>
          <w:trHeight w:val="193"/>
        </w:trPr>
        <w:tc>
          <w:tcPr>
            <w:tcW w:w="6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643.0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355.8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1,366.3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81.6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73.6</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241.8</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801.2</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800.6</w:t>
            </w: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233.2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225.0</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694.3</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669.5</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302.9</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1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impairment loss on Sibley Unit 3</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6.0</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1,330.7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1,015.8</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3,412.5</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3,250.9</w:t>
            </w: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578.4</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600.7</w:t>
            </w:r>
          </w:p>
        </w:tc>
        <w:tc>
          <w:tcPr>
            <w:tcW w:w="3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1,167.0</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1,213.7</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13.1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2.6</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20.3</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(64.5)</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r>
      <w:tr>
        <w:trPr>
          <w:trHeight w:val="212"/>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(41.6)</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102.3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93.6</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293.4</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478.7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507.7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832.0</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929.1</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49.5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3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83.1</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5.5</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431.2</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452.5</w:t>
            </w:r>
          </w:p>
        </w:tc>
        <w:tc>
          <w:tcPr>
            <w:tcW w:w="3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754.4</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835.4</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9.2</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EVERGY, INC.</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428.2</w:t>
            </w: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449.4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745.2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826.3</w:t>
            </w:r>
          </w:p>
        </w:tc>
      </w:tr>
      <w:tr>
        <w:trPr>
          <w:trHeight w:val="166"/>
        </w:trPr>
        <w:tc>
          <w:tcPr>
            <w:tcW w:w="63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2"/>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1.86</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1.96</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3.24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1.86</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3.23</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AVERAGE COMMON SHARES OUTSTANDING</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229.9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229.9</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r>
      <w:tr>
        <w:trPr>
          <w:trHeight w:val="223"/>
        </w:trPr>
        <w:tc>
          <w:tcPr>
            <w:tcW w:w="6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230.6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230.5</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431.2</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452.5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754.4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835.4</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w:t>
            </w:r>
          </w:p>
        </w:tc>
        <w:tc>
          <w:tcPr>
            <w:tcW w:w="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2"/>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4.1</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3"/>
        </w:trPr>
        <w:tc>
          <w:tcPr>
            <w:tcW w:w="6380" w:type="dxa"/>
            <w:vAlign w:val="bottom"/>
          </w:tcPr>
          <w:p>
            <w:pPr>
              <w:ind w:left="140"/>
              <w:spacing w:after="0"/>
              <w:rPr>
                <w:sz w:val="20"/>
                <w:szCs w:val="20"/>
                <w:color w:val="auto"/>
              </w:rPr>
            </w:pPr>
            <w:r>
              <w:rPr>
                <w:rFonts w:ascii="Arial" w:cs="Arial" w:eastAsia="Arial" w:hAnsi="Arial"/>
                <w:sz w:val="16"/>
                <w:szCs w:val="16"/>
                <w:color w:val="auto"/>
              </w:rPr>
              <w:t>Defined benefit pension plans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Change in unrecognized pension expense, net of tax</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0.1</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63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432.6</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453.8</w:t>
            </w:r>
          </w:p>
        </w:tc>
        <w:tc>
          <w:tcPr>
            <w:tcW w:w="3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758.6</w:t>
            </w: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839.5</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9.2</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429.6</w:t>
            </w:r>
          </w:p>
        </w:tc>
        <w:tc>
          <w:tcPr>
            <w:tcW w:w="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450.7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749.4</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754.4</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694.3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47.7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18.3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54.6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(76.0)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204.8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169.5</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92.8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(308.7)</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1,477.7</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1,036.0</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(1,614.6)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(1,394.7)</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22.3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95.3</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62.9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 facility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76.0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246.9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497.3</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8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145.9</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r>
      <w:tr>
        <w:trPr>
          <w:trHeight w:val="21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24.7</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stock, net of issuance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2,269,447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66"/>
        </w:trPr>
        <w:tc>
          <w:tcPr>
            <w:tcW w:w="510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31,147</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510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tcPr>
          <w:p>
            <w:pPr>
              <w:jc w:val="right"/>
              <w:spacing w:after="0"/>
              <w:rPr>
                <w:sz w:val="20"/>
                <w:szCs w:val="20"/>
                <w:color w:val="auto"/>
              </w:rPr>
            </w:pPr>
            <w:r>
              <w:rPr>
                <w:rFonts w:ascii="Arial" w:cs="Arial" w:eastAsia="Arial" w:hAnsi="Arial"/>
                <w:sz w:val="16"/>
                <w:szCs w:val="16"/>
                <w:color w:val="auto"/>
              </w:rPr>
              <w:t>229,296,214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7,197.6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1,835.0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8,977.1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166"/>
        </w:trPr>
        <w:tc>
          <w:tcPr>
            <w:tcW w:w="510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4,865</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229,301,079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229,299,900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9,241.7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176,658</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229,476,558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38,743</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Change in unrecognized pension expense,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20" w:type="dxa"/>
            <w:vAlign w:val="bottom"/>
          </w:tcPr>
          <w:p>
            <w:pPr>
              <w:jc w:val="right"/>
              <w:spacing w:after="0"/>
              <w:rPr>
                <w:sz w:val="20"/>
                <w:szCs w:val="20"/>
                <w:color w:val="auto"/>
              </w:rPr>
            </w:pPr>
            <w:r>
              <w:rPr>
                <w:rFonts w:ascii="Arial" w:cs="Arial" w:eastAsia="Arial" w:hAnsi="Arial"/>
                <w:sz w:val="16"/>
                <w:szCs w:val="16"/>
                <w:color w:val="auto"/>
              </w:rPr>
              <w:t>229,515,301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7,212.5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2,136.0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9,310.8</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16,835</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($0.5725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229,532,136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9,615.5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14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2440" w:type="dxa"/>
            <w:vAlign w:val="bottom"/>
            <w:gridSpan w:val="3"/>
          </w:tcPr>
          <w:p>
            <w:pPr>
              <w:jc w:val="right"/>
              <w:ind w:right="39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10.3</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$11.7 and $13.0, respectively</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298.4</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201.6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200.0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153.0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318.4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283.2</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136.3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257.3</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19.8</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19.4</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44.4</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1,037.7</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970.0</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10,823.6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10,548.9</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142.5</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147.8</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749.1</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753.6</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300.5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368.4</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291.7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286.9</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1,341.3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1,408.9</w:t>
            </w:r>
          </w:p>
        </w:tc>
      </w:tr>
      <w:tr>
        <w:trPr>
          <w:trHeight w:val="216"/>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13,345.1</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638.2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406.0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153.0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199.3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232.2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182.6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106.1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51.5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71.5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12.9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12.8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7.3</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38.6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13.8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157.0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126.3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1,567.6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1,156.5</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3,886.3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3,934.2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851.3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867.9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61.0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61.7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1,377.0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1,469.4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428.8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435.6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450.5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436.6</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184.3</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172.2</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7,239.2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7,377.6</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1,794.2</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1,806.6</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4,531.8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4,544.2</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6.5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4,538.3</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4,541.5</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13,345.1</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13,075.6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gridSpan w:val="4"/>
          </w:tcPr>
          <w:p>
            <w:pPr>
              <w:jc w:val="center"/>
              <w:ind w:left="3959"/>
              <w:spacing w:after="0"/>
              <w:rPr>
                <w:sz w:val="20"/>
                <w:szCs w:val="20"/>
                <w:color w:val="auto"/>
              </w:rPr>
            </w:pPr>
            <w:r>
              <w:rPr>
                <w:rFonts w:ascii="Arial" w:cs="Arial" w:eastAsia="Arial" w:hAnsi="Arial"/>
                <w:sz w:val="16"/>
                <w:szCs w:val="16"/>
                <w:b w:val="1"/>
                <w:bCs w:val="1"/>
                <w:color w:val="auto"/>
              </w:rPr>
              <w:t>EVERGY KANSAS CENTRAL, INC.</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200" w:type="dxa"/>
            <w:vAlign w:val="bottom"/>
            <w:gridSpan w:val="4"/>
          </w:tcPr>
          <w:p>
            <w:pPr>
              <w:jc w:val="center"/>
              <w:ind w:left="3959"/>
              <w:spacing w:after="0"/>
              <w:rPr>
                <w:sz w:val="20"/>
                <w:szCs w:val="20"/>
                <w:color w:val="auto"/>
              </w:rPr>
            </w:pPr>
            <w:r>
              <w:rPr>
                <w:rFonts w:ascii="Arial" w:cs="Arial" w:eastAsia="Arial" w:hAnsi="Arial"/>
                <w:sz w:val="16"/>
                <w:szCs w:val="16"/>
                <w:b w:val="1"/>
                <w:bCs w:val="1"/>
                <w:color w:val="auto"/>
                <w:w w:val="89"/>
              </w:rPr>
              <w:t>Consolidated Statements of Income</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(Unaudited)</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68"/>
        </w:trPr>
        <w:tc>
          <w:tcPr>
            <w:tcW w:w="5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gridSpan w:val="3"/>
          </w:tcPr>
          <w:p>
            <w:pPr>
              <w:jc w:val="right"/>
              <w:ind w:right="539"/>
              <w:spacing w:after="0" w:line="168" w:lineRule="exact"/>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4"/>
                <w:szCs w:val="14"/>
                <w:color w:val="auto"/>
              </w:rPr>
            </w:pPr>
          </w:p>
        </w:tc>
        <w:tc>
          <w:tcPr>
            <w:tcW w:w="1480" w:type="dxa"/>
            <w:vAlign w:val="bottom"/>
            <w:gridSpan w:val="2"/>
          </w:tcPr>
          <w:p>
            <w:pPr>
              <w:jc w:val="right"/>
              <w:ind w:right="19"/>
              <w:spacing w:after="0" w:line="168" w:lineRule="exact"/>
              <w:rPr>
                <w:sz w:val="20"/>
                <w:szCs w:val="20"/>
                <w:color w:val="auto"/>
              </w:rPr>
            </w:pPr>
            <w:r>
              <w:rPr>
                <w:rFonts w:ascii="Arial" w:cs="Arial" w:eastAsia="Arial" w:hAnsi="Arial"/>
                <w:sz w:val="16"/>
                <w:szCs w:val="16"/>
                <w:b w:val="1"/>
                <w:bCs w:val="1"/>
                <w:color w:val="auto"/>
              </w:rPr>
              <w:t>Year to Date</w:t>
            </w:r>
          </w:p>
        </w:tc>
        <w:tc>
          <w:tcPr>
            <w:tcW w:w="780" w:type="dxa"/>
            <w:vAlign w:val="bottom"/>
          </w:tcPr>
          <w:p>
            <w:pPr>
              <w:spacing w:after="0"/>
              <w:rPr>
                <w:sz w:val="14"/>
                <w:szCs w:val="14"/>
                <w:color w:val="auto"/>
              </w:rPr>
            </w:pPr>
          </w:p>
        </w:tc>
      </w:tr>
      <w:tr>
        <w:trPr>
          <w:trHeight w:val="210"/>
        </w:trPr>
        <w:tc>
          <w:tcPr>
            <w:tcW w:w="5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r>
      <w:tr>
        <w:trPr>
          <w:trHeight w:val="229"/>
        </w:trPr>
        <w:tc>
          <w:tcPr>
            <w:tcW w:w="5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95"/>
              </w:rPr>
              <w:t>2021</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2021</w:t>
            </w:r>
          </w:p>
        </w:tc>
      </w:tr>
      <w:tr>
        <w:trPr>
          <w:trHeight w:val="182"/>
        </w:trPr>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1,021.4</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777.8</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2,359.3</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2,277.4</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342.1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143.2</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629.2</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543.7</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81.6</w:t>
            </w:r>
          </w:p>
        </w:tc>
        <w:tc>
          <w:tcPr>
            <w:tcW w:w="5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73.6</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241.8</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135.1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126.9</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402.3</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121.6</w:t>
            </w:r>
          </w:p>
        </w:tc>
        <w:tc>
          <w:tcPr>
            <w:tcW w:w="5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117.3</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361.9</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349.1</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54.9</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50.9</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163.3</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r>
      <w:tr>
        <w:trPr>
          <w:trHeight w:val="20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5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735.3</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511.9</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1,798.5</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1,650.7</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286.1</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265.9</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560.8</w:t>
            </w: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626.7</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 (loss)</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2.2</w:t>
            </w:r>
          </w:p>
        </w:tc>
        <w:tc>
          <w:tcPr>
            <w:tcW w:w="5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4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8.0</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(10.5)</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(29.8)</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07"/>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Expense, Net</w:t>
            </w:r>
          </w:p>
        </w:tc>
        <w:tc>
          <w:tcPr>
            <w:tcW w:w="5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(9.5)</w:t>
            </w: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(26.9)</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46.1</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131.7</w:t>
            </w:r>
          </w:p>
        </w:tc>
        <w:tc>
          <w:tcPr>
            <w:tcW w:w="5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auto"/>
              </w:rPr>
              <w:t>230.5</w:t>
            </w:r>
          </w:p>
        </w:tc>
        <w:tc>
          <w:tcPr>
            <w:tcW w:w="50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222.2</w:t>
            </w:r>
          </w:p>
        </w:tc>
        <w:tc>
          <w:tcPr>
            <w:tcW w:w="4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402.2</w:t>
            </w: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504.1</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15.5</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23.5</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216.1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200.7</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381.8</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9.2</w:t>
            </w:r>
          </w:p>
        </w:tc>
        <w:tc>
          <w:tcPr>
            <w:tcW w:w="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KANSAS CENTRAL, INC.</w:t>
            </w:r>
          </w:p>
        </w:tc>
        <w:tc>
          <w:tcPr>
            <w:tcW w:w="5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213.1</w:t>
            </w:r>
          </w:p>
        </w:tc>
        <w:tc>
          <w:tcPr>
            <w:tcW w:w="5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197.6</w:t>
            </w:r>
          </w:p>
        </w:tc>
        <w:tc>
          <w:tcPr>
            <w:tcW w:w="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372.6</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381.8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361.9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23.7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18.3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0.9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758.6</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528.3</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(691.5)</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(545.7)</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232.2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47.0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50.5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(385.0)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4,572.2</w:t>
            </w:r>
          </w:p>
        </w:tc>
        <w:tc>
          <w:tcPr>
            <w:tcW w:w="0" w:type="dxa"/>
            <w:vAlign w:val="bottom"/>
          </w:tcPr>
          <w:p>
            <w:pPr>
              <w:spacing w:after="0"/>
              <w:rPr>
                <w:sz w:val="1"/>
                <w:szCs w:val="1"/>
                <w:color w:val="auto"/>
              </w:rPr>
            </w:pPr>
          </w:p>
        </w:tc>
      </w:tr>
      <w:tr>
        <w:trPr>
          <w:trHeight w:val="257"/>
        </w:trPr>
        <w:tc>
          <w:tcPr>
            <w:tcW w:w="5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1,806.6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4,591.6</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1,741.1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4,482.2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4,538.3</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$8.6 and $13.3, respectively</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79.0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31.0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222.8</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277.8</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130.0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116.0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219.2</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14.1</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59.7</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86.3</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20.8</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22.6</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16.9</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19.7</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765.9</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766.5</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7,675.9</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7,474.9</w:t>
            </w:r>
          </w:p>
        </w:tc>
      </w:t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445.8</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410.7</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313.0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400.3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95.4</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104.4</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854.2</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915.4</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9,296.0</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300.0</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130.0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116.0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183.6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305.2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0.4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113.1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26.4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58.1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54.6</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9.9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33.6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37.8</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48.1</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48.8</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903.2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638.5</w:t>
            </w: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2,626.1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2,925.0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711.5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606.1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115.3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818.8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954.2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434.6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420.9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380.3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370.0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89.0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103.7</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5,175.6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5,497.1</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1,563.1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1,563.1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1,650.0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1,453.8</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4.1</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3,217.2</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3,021.2</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9,296.0</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9,156.8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84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rPr>
              <w:t>EVERGY METRO, INC.</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418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960" w:type="dxa"/>
            <w:vAlign w:val="bottom"/>
            <w:gridSpan w:val="2"/>
          </w:tcPr>
          <w:p>
            <w:pPr>
              <w:jc w:val="center"/>
              <w:ind w:left="1579"/>
              <w:spacing w:after="0"/>
              <w:rPr>
                <w:sz w:val="20"/>
                <w:szCs w:val="20"/>
                <w:color w:val="auto"/>
              </w:rPr>
            </w:pPr>
            <w:r>
              <w:rPr>
                <w:rFonts w:ascii="Arial" w:cs="Arial" w:eastAsia="Arial" w:hAnsi="Arial"/>
                <w:sz w:val="16"/>
                <w:szCs w:val="16"/>
                <w:color w:val="auto"/>
                <w:w w:val="93"/>
              </w:rPr>
              <w:t>(Unaudited)</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68"/>
        </w:trPr>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3"/>
          </w:tcPr>
          <w:p>
            <w:pPr>
              <w:jc w:val="right"/>
              <w:ind w:right="339"/>
              <w:spacing w:after="0" w:line="168" w:lineRule="exact"/>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4"/>
                <w:szCs w:val="14"/>
                <w:color w:val="auto"/>
              </w:rPr>
            </w:pPr>
          </w:p>
        </w:tc>
        <w:tc>
          <w:tcPr>
            <w:tcW w:w="1440" w:type="dxa"/>
            <w:vAlign w:val="bottom"/>
            <w:gridSpan w:val="2"/>
          </w:tcPr>
          <w:p>
            <w:pPr>
              <w:jc w:val="right"/>
              <w:ind w:right="39"/>
              <w:spacing w:after="0" w:line="168" w:lineRule="exact"/>
              <w:rPr>
                <w:sz w:val="20"/>
                <w:szCs w:val="20"/>
                <w:color w:val="auto"/>
              </w:rPr>
            </w:pPr>
            <w:r>
              <w:rPr>
                <w:rFonts w:ascii="Arial" w:cs="Arial" w:eastAsia="Arial" w:hAnsi="Arial"/>
                <w:sz w:val="16"/>
                <w:szCs w:val="16"/>
                <w:b w:val="1"/>
                <w:bCs w:val="1"/>
                <w:color w:val="auto"/>
              </w:rPr>
              <w:t>Year to Date</w:t>
            </w:r>
          </w:p>
        </w:tc>
        <w:tc>
          <w:tcPr>
            <w:tcW w:w="840" w:type="dxa"/>
            <w:vAlign w:val="bottom"/>
          </w:tcPr>
          <w:p>
            <w:pPr>
              <w:spacing w:after="0"/>
              <w:rPr>
                <w:sz w:val="14"/>
                <w:szCs w:val="14"/>
                <w:color w:val="auto"/>
              </w:rPr>
            </w:pPr>
          </w:p>
        </w:tc>
      </w:tr>
      <w:tr>
        <w:trPr>
          <w:trHeight w:val="210"/>
        </w:trPr>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r>
      <w:tr>
        <w:trPr>
          <w:trHeight w:val="229"/>
        </w:trPr>
        <w:tc>
          <w:tcPr>
            <w:tcW w:w="33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2022</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182"/>
        </w:trPr>
        <w:tc>
          <w:tcPr>
            <w:tcW w:w="3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641.8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571.8</w:t>
            </w:r>
          </w:p>
        </w:tc>
        <w:tc>
          <w:tcPr>
            <w:tcW w:w="6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1,564.4</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w:t>
            </w:r>
          </w:p>
        </w:tc>
      </w:tr>
      <w:tr>
        <w:trPr>
          <w:trHeight w:val="207"/>
        </w:trPr>
        <w:tc>
          <w:tcPr>
            <w:tcW w:w="3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5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195.8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133.2</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487.2</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w:t>
            </w: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76.0</w:t>
            </w:r>
          </w:p>
        </w:tc>
        <w:tc>
          <w:tcPr>
            <w:tcW w:w="3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6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240.8</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262.1</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252.2</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32.9</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389.5</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334.3</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1,080.2</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r>
      <w:tr>
        <w:trPr>
          <w:trHeight w:val="20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252.3</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237.5</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484.2</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w:t>
            </w:r>
          </w:p>
        </w:tc>
      </w:tr>
      <w:tr>
        <w:trPr>
          <w:trHeight w:val="19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0.4</w:t>
            </w:r>
          </w:p>
        </w:tc>
        <w:tc>
          <w:tcPr>
            <w:tcW w:w="3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0.6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11.2</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Income (Expense), Net</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(11.3)</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81.5</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226.4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391.4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33.2</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55.2</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1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193.2</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c>
          <w:tcPr>
            <w:tcW w:w="6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336.2</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193.2</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181.7</w:t>
            </w:r>
          </w:p>
        </w:tc>
        <w:tc>
          <w:tcPr>
            <w:tcW w:w="6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336.2</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2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25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(0.2)</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3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hedging activity, net of tax</w:t>
            </w:r>
          </w:p>
        </w:tc>
        <w:tc>
          <w:tcPr>
            <w:tcW w:w="2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(0.1)</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(0.2)</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2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(0.1)</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(0.2)</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5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193.1</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181.5</w:t>
            </w:r>
          </w:p>
        </w:tc>
        <w:tc>
          <w:tcPr>
            <w:tcW w:w="6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336.0</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336.2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252.2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23.9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72.0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(14.0)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17.0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60.4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41.0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639.6</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(574.5)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(474.4)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12.2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(513.5)</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(614.9)</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(140.0)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7"/>
              </w:rPr>
              <w:t>gains (losses) on</w:t>
            </w:r>
          </w:p>
        </w:tc>
        <w:tc>
          <w:tcPr>
            <w:tcW w:w="16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5"/>
              </w:rPr>
              <w:t>cash flow hedges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2,880.8</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1,444.8</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Balance as of December 31, 2021</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March 31, 2022</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Derivative hedging activity, net of tax</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June 30, 2022</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Dividends declared on common stock</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Derivative hedging activity, net of tax</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1,453.8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3,021.2</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1,508.4</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3,075.8</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88.4</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1,596.8</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3,164.1</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193.2</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1,650.0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-1392555</wp:posOffset>
            </wp:positionV>
            <wp:extent cx="70980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-1118870</wp:posOffset>
            </wp:positionV>
            <wp:extent cx="709803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-835660</wp:posOffset>
            </wp:positionV>
            <wp:extent cx="70980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-553085</wp:posOffset>
            </wp:positionV>
            <wp:extent cx="70980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-278130</wp:posOffset>
            </wp:positionV>
            <wp:extent cx="70980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3810</wp:posOffset>
            </wp:positionV>
            <wp:extent cx="70980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4560" w:space="720"/>
            <w:col w:w="5940"/>
          </w:cols>
          <w:pgMar w:left="320" w:top="121" w:right="359" w:bottom="1440" w:gutter="0" w:footer="0" w:header="0"/>
          <w:type w:val="continuous"/>
        </w:sectPr>
      </w:pPr>
    </w:p>
    <w:p>
      <w:pPr>
        <w:spacing w:after="0"/>
        <w:rPr>
          <w:sz w:val="20"/>
          <w:szCs w:val="20"/>
          <w:color w:val="auto"/>
        </w:rPr>
      </w:pPr>
      <w:r>
        <w:rPr>
          <w:rFonts w:ascii="Arial" w:cs="Arial" w:eastAsia="Arial" w:hAnsi="Arial"/>
          <w:sz w:val="12"/>
          <w:szCs w:val="12"/>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8" w:lineRule="exact"/>
        <w:rPr>
          <w:sz w:val="20"/>
          <w:szCs w:val="20"/>
          <w:color w:val="auto"/>
        </w:rPr>
      </w:pPr>
    </w:p>
    <w:p>
      <w:pPr>
        <w:ind w:left="660" w:right="100" w:hanging="328"/>
        <w:spacing w:after="0" w:line="26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64" w:lineRule="exact"/>
        <w:rPr>
          <w:rFonts w:ascii="Arial" w:cs="Arial" w:eastAsia="Arial" w:hAnsi="Arial"/>
          <w:sz w:val="20"/>
          <w:szCs w:val="20"/>
          <w:color w:val="auto"/>
        </w:rPr>
      </w:pPr>
    </w:p>
    <w:p>
      <w:pPr>
        <w:ind w:left="660" w:right="34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55"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55"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2021 Form 10-K.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6" w:lineRule="exact"/>
        <w:rPr>
          <w:sz w:val="20"/>
          <w:szCs w:val="20"/>
          <w:color w:val="auto"/>
        </w:rPr>
      </w:pPr>
    </w:p>
    <w:p>
      <w:pPr>
        <w:ind w:right="740"/>
        <w:spacing w:after="0" w:line="253"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9"/>
        </w:trPr>
        <w:tc>
          <w:tcPr>
            <w:tcW w:w="7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155.6</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459.6</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615.2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80.4</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238.0</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318.4</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53.0</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166.2</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219.2</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2022</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31,548.4</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15,053.8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12,172.7</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(12,082.2)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(5,835.6)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(4,995.5)</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20,190.5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9,942.5</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7,177.2</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1,328.3</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797.4</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414.3</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167.3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82.9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84.4</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21,686.9</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10,823.6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7,675.9</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30,289.9</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14,686.3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11,656.9</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(11,515.5)</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(5,590.8)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(4,733.7)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19,498.7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9,819.8</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6,923.2</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1,350.6</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652.2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475.3</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152.5</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76.1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76.4</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21,002.6</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10,548.9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7,474.9</w:t>
            </w:r>
          </w:p>
        </w:tc>
      </w:tr>
    </w:tbl>
    <w:p>
      <w:pPr>
        <w:spacing w:after="0" w:line="85" w:lineRule="exact"/>
        <w:rPr>
          <w:sz w:val="20"/>
          <w:szCs w:val="20"/>
          <w:color w:val="auto"/>
        </w:rPr>
      </w:pPr>
    </w:p>
    <w:p>
      <w:pPr>
        <w:ind w:left="180" w:right="200" w:hanging="172"/>
        <w:spacing w:after="0" w:line="235" w:lineRule="auto"/>
        <w:tabs>
          <w:tab w:leader="none" w:pos="175"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As of September 30, 2022 and December 31, 2021, represents the planned retirement of Evergy Kansas Central analog meters prior to the end of their remaining useful lives.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Abandoned Plant</w:t>
      </w:r>
    </w:p>
    <w:p>
      <w:pPr>
        <w:spacing w:after="0" w:line="2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 be retired, net on the consolidated balance sheets. If the asset is no longer in service, the net amount is classified as a regulatory asset on the consolidated balance sheets.</w:t>
      </w:r>
    </w:p>
    <w:p>
      <w:pPr>
        <w:spacing w:after="0" w:line="173" w:lineRule="exact"/>
        <w:rPr>
          <w:sz w:val="20"/>
          <w:szCs w:val="20"/>
          <w:color w:val="auto"/>
        </w:rPr>
      </w:pPr>
    </w:p>
    <w:p>
      <w:pPr>
        <w:jc w:val="both"/>
        <w:ind w:right="160"/>
        <w:spacing w:after="0" w:line="273" w:lineRule="auto"/>
        <w:rPr>
          <w:sz w:val="20"/>
          <w:szCs w:val="20"/>
          <w:color w:val="auto"/>
        </w:rPr>
      </w:pPr>
      <w:r>
        <w:rPr>
          <w:rFonts w:ascii="Arial" w:cs="Arial" w:eastAsia="Arial" w:hAnsi="Arial"/>
          <w:sz w:val="19"/>
          <w:szCs w:val="19"/>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Evergy Missouri West retired its Sibley Station in 2018 and the retirement of Sibley Unit 3 met the criteria to be considered an abandonment. Evergy has classified the remaining net book value of Sibley Unit 3 as retired generation facilities within regulatory assets on its consolidated balance sheet and as of December 31, 2021, this amount was $123.4 million. Evergy Missouri West collects a full return of and on its investment in Sibley Station in current customer rates and has requested the continued return of and on its unrecovered investment in Sibley Station as part of its current rate case with the Missouri Public Service Commission (MPSC) which was filed in January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In October 2019, the MPSC issued an accounting authority order (AAO) requiring Evergy Missouri West to defer to a regulatory liability all revenues collected from customers for return on investment, non-fuel operations and maintenance costs, taxes including accumulated deferred income taxes and all other costs associated with Sibley Station following its retirement in November 2018 to be considered in Evergy Missouri West's current rate case. Subsequent to the MPSC order in 2019, Evergy recorded a regulatory liability for the estimated amount of revenues that Evergy Missouri West had collected from customers for Sibley Station since December 2018 that Evergy determined was probable of refund. This regulatory liability did not include revenues collected related to the return on investment in Sibley Station as Evergy determined that they were not probable of refund based on the relevant facts and circumstances. As of December 31, 2021, this Sibley AAO regulatory liability was $29.3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2022, Evergy determined that the refund of revenues collected since December 2018 for return on investment in Sibley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Station was now probable based on regulatory precedent from an August 2022 MPSC decision in a similar proceeding for an unaffiliated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utility and the MPSC staff’s position in Evergy Missouri West’s current rate case. As a result of this determination, Evergy recorded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$47.5 million decrease to operating revenues on its consolidated statements of comprehensive income for the three months ended and year to</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date September 30, 2022, for the deferral to its Sibley AAO regulatory liability of revenues collected from customers for return on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investment in Sibley Station since December 2018. The Sibley AAO regulatory liability had a total value as of September 30, 2022 of</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$84.7 million.</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Based on the recent MPSC regulatory precedent, Evergy believes it is probable that the Sibley AAO regulatory liability will be offset for recovery purposes against its unrecovered investment in Sibley Unit 3 in its current rate case and as a result, has netted its Sibley AAO regulatory liability against its retired generation facilities regulatory asset for Sibley Unit 3 on its consolidated balance sheets as of September 30, 2022. Year to date September 30, 2022, the retired generation facilities regulatory asset has also been reduced by $7.1 million, primarily consisting of amortization expense equal to the depreciation expense for the asset reflected in retail rates.</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Evergy also recorded a $6.0 million estimated impairment loss on Sibley Unit 3 on its consolidated statements of comprehensive income for the three months ended and year to date September 30, 2022, as it no longer expects to earn a return on its unrecovered investment in Sibley Unit 3 based on the regulatory precedent discussed above. As of September 30, 2022, and following the netting of the Sibley AAO regulatory liability, amortization expense and the estimated impairment loss recorded in the third quarter of 2022, Evergy’s retired generation facilities regulatory asset for Sibley Unit 3 was $25.6 million.</w:t>
      </w:r>
    </w:p>
    <w:p>
      <w:pPr>
        <w:spacing w:after="0" w:line="201"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final value of Evergy’s retired generation facilities regulatory asset for Sibley Unit 3 and any impairment loss will be determined by the MPSC in its rate order in Evergy Missouri West’s current rate case, which is currently expected in November 2022, and could differ significantly from the amounts currently recorded. See Note 4 for additional information regarding the AAO and Evergy Missouri West's current rate case.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6" w:lineRule="exact"/>
        <w:rPr>
          <w:sz w:val="20"/>
          <w:szCs w:val="20"/>
          <w:color w:val="auto"/>
        </w:rPr>
      </w:pPr>
    </w:p>
    <w:p>
      <w:pPr>
        <w:ind w:right="520"/>
        <w:spacing w:after="0" w:line="307" w:lineRule="auto"/>
        <w:rPr>
          <w:sz w:val="20"/>
          <w:szCs w:val="20"/>
          <w:color w:val="auto"/>
        </w:rPr>
      </w:pPr>
      <w:r>
        <w:rPr>
          <w:rFonts w:ascii="Arial" w:cs="Arial" w:eastAsia="Arial" w:hAnsi="Arial"/>
          <w:sz w:val="18"/>
          <w:szCs w:val="18"/>
          <w:color w:val="auto"/>
        </w:rPr>
        <w:t>Year to date September 30, 2022, Evergy's investment earnings (loss) included a pre-tax loss of $16.3 million related to Evergy's equity investment in an early-stage energy solutions company. See "Evergy Equity Investment" in this Note 1 for further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(12.8)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(16.7)</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(19.2)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(10.5)</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0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5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6"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restricted stock and a warrant. Evergy computes the dilutive effects of potential issuances of common shares using the treasury stock method or the contingently issuable share method, as applicable.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430"/>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34"/>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20"/>
                <w:szCs w:val="20"/>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5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40" w:type="dxa"/>
            <w:vAlign w:val="bottom"/>
            <w:gridSpan w:val="4"/>
          </w:tcPr>
          <w:p>
            <w:pPr>
              <w:jc w:val="right"/>
              <w:ind w:right="70"/>
              <w:spacing w:after="0"/>
              <w:rPr>
                <w:sz w:val="20"/>
                <w:szCs w:val="20"/>
                <w:color w:val="auto"/>
              </w:rPr>
            </w:pPr>
            <w:r>
              <w:rPr>
                <w:rFonts w:ascii="Arial" w:cs="Arial" w:eastAsia="Arial" w:hAnsi="Arial"/>
                <w:sz w:val="16"/>
                <w:szCs w:val="16"/>
                <w:color w:val="auto"/>
                <w:w w:val="99"/>
              </w:rPr>
              <w:t>(millions, except per share amounts)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431.2</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754.4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428.2</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745.2</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230.5</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6"/>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67"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There were no anti-dilutive shares excluded from the computation of diluted EPS for the three months ended and year to date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6" w:lineRule="exact"/>
        <w:rPr>
          <w:sz w:val="20"/>
          <w:szCs w:val="20"/>
          <w:color w:val="auto"/>
        </w:rPr>
      </w:pPr>
    </w:p>
    <w:p>
      <w:pPr>
        <w:ind w:right="380"/>
        <w:spacing w:after="0" w:line="279" w:lineRule="auto"/>
        <w:rPr>
          <w:sz w:val="20"/>
          <w:szCs w:val="20"/>
          <w:color w:val="auto"/>
        </w:rPr>
      </w:pPr>
      <w:r>
        <w:rPr>
          <w:rFonts w:ascii="Arial" w:cs="Arial" w:eastAsia="Arial" w:hAnsi="Arial"/>
          <w:sz w:val="19"/>
          <w:szCs w:val="19"/>
          <w:color w:val="auto"/>
        </w:rPr>
        <w:t>In November 2022, Evergy's Board of Directors (Evergy Board) declared a quarterly dividend of $0.6125 per share on Evergy's common stock. The common dividend is payable on December 20, 2022, to shareholders of record as of November 18, 2022.</w:t>
      </w:r>
    </w:p>
    <w:p>
      <w:pPr>
        <w:spacing w:after="0" w:line="173"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In November 2022, Evergy Kansas Central's Board of Directors declared a cash dividend to Evergy of up to $70.0 million, payable on December 19, 2022</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2022, Evergy Metro's Board of Directors declared a dividend to Evergy of up to $50.0 million, payable on December 19, 2022</w:t>
      </w:r>
      <w:r>
        <w:rPr>
          <w:rFonts w:ascii="Arial" w:cs="Arial" w:eastAsia="Arial" w:hAnsi="Arial"/>
          <w:sz w:val="15"/>
          <w:szCs w:val="15"/>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305.5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128.6</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466"/>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130.9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51.7</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20"/>
                <w:szCs w:val="20"/>
                <w:color w:val="auto"/>
              </w:rPr>
            </w:pPr>
          </w:p>
        </w:tc>
      </w:tr>
      <w:tr>
        <w:trPr>
          <w:trHeight w:val="43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7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53.7</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6" w:lineRule="exact"/>
        <w:rPr>
          <w:sz w:val="20"/>
          <w:szCs w:val="20"/>
          <w:color w:val="auto"/>
        </w:rPr>
      </w:pPr>
    </w:p>
    <w:p>
      <w:pPr>
        <w:jc w:val="both"/>
        <w:ind w:right="160"/>
        <w:spacing w:after="0" w:line="253" w:lineRule="auto"/>
        <w:rPr>
          <w:sz w:val="20"/>
          <w:szCs w:val="20"/>
          <w:color w:val="auto"/>
        </w:rPr>
      </w:pPr>
      <w:r>
        <w:rPr>
          <w:rFonts w:ascii="Arial" w:cs="Arial" w:eastAsia="Arial" w:hAnsi="Arial"/>
          <w:sz w:val="20"/>
          <w:szCs w:val="20"/>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These circumstances resulted in higher than normal market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prices within the SPP Integrated Marketplace for both natural gas and power for the duration of the February 2021 winter weather event. As part of the February 2021 winter weather event and inclusive of the aforementioned items, Evergy incurred natural gas and purchased power costs, net of wholesale revenues, of $349.7 million for year to date September 30, 2021. This $349.7 million of net fuel and purchased power costs incurred was primarily driven by $293.4 million of costs at Evergy Missouri West and $127.9 million of costs at Evergy Kansas Central, partially offset by $71.6 million of net wholesale revenues at Evergy Metro.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amount of purchased power costs incurred and wholesale revenues recorded by the Evergy Companies in the first quarter of 2021 during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February 2021 winter weather event have been subject to subsequent resettlement activity by the SPP that has resulted in net increases to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of the February 2021 winter weather event from the amounts initially recorded. As of September 30, 2022, Evergy has incurred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natural gas and purchased power costs, net of wholesale revenues, of $367.9 million related to the February 2021 winter weather event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inclusive of these subsequent SPP resettlements. This $367.9 million of net fuel and purchased power costs was primarily driven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$296.6 million of costs at Evergy Missouri West and $134.3 million of costs at Evergy Kansas Central, partially offset by $63.0 million of net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wholesale revenues at Evergy Metro.</w:t>
      </w:r>
    </w:p>
    <w:p>
      <w:pPr>
        <w:spacing w:after="0" w:line="20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As of September 30, 2022 and December 31, 2021, the Evergy Companies had deferred substantially all of the fuel and purchased power costs, net of wholesale revenues, related to the February 2021 winter weather event to a regulatory asset or liability for recovery or refund through the respective fuel recovery mechanisms of Evergy Kansas Central and Evergy Metro and through a securitization financing order at Evergy Missouri West. See Note 4 for additional information regarding these regulatory proceedings.</w:t>
      </w:r>
    </w:p>
    <w:p>
      <w:pPr>
        <w:spacing w:after="0" w:line="1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$95.0 million of energy marketing margins year to date September 30, 2021, related to the February 2021 winter weather event, primarily driven by activities in the Electric Reliability Council of Texas (ERCOT).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From time to time, Evergy makes limited equity investments in early-stage energy solution companies. These investments have historically not had a significant impact on Evergy's results of operations. In October 2021, an equity investment in which Evergy held a minority stake through an initial investment of $3.7 million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were subject to a restriction on sale for 150 days. The equity investment had a fair value of $31.4 million as of December 31, 2021.</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In March 2022, Evergy sold its shares in the equity investment to a financial institution through a share forward agreement following the expiration of the restriction on sale. As part of the share forward agreement, Evergy delivered its shares to the financial institution in exchange for a series of cash settlements totaling $15.1 million based primarily on the volume-weighted average price (VWAP) of the shares over the term of the agreement, which was completed in June 2022. As a result of the completion of the share forward agreement, Evergy no longer has an equity investment in the company.</w:t>
      </w:r>
    </w:p>
    <w:p>
      <w:pPr>
        <w:spacing w:after="0" w:line="182" w:lineRule="exact"/>
        <w:rPr>
          <w:sz w:val="20"/>
          <w:szCs w:val="20"/>
          <w:color w:val="auto"/>
        </w:rPr>
      </w:pPr>
    </w:p>
    <w:p>
      <w:pPr>
        <w:jc w:val="both"/>
        <w:ind w:right="60"/>
        <w:spacing w:after="0" w:line="257" w:lineRule="auto"/>
        <w:rPr>
          <w:sz w:val="20"/>
          <w:szCs w:val="20"/>
          <w:color w:val="auto"/>
        </w:rPr>
      </w:pPr>
      <w:r>
        <w:rPr>
          <w:rFonts w:ascii="Arial" w:cs="Arial" w:eastAsia="Arial" w:hAnsi="Arial"/>
          <w:sz w:val="20"/>
          <w:szCs w:val="20"/>
          <w:color w:val="auto"/>
        </w:rPr>
        <w:t>Year to date September 30, 2022, Evergy recorded a pre-tax loss of $16.3 million in investment earnings (loss) on its consolidated statements of comprehensive income related to the decrease in market value of its equity investment prior to sale and the settlement of the share forward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In August 2022, Evergy Missouri West entered into an agreement with a renewable energy development company to purchase for approximately $250 million an operational wind farm located in the state of Oklahoma with a generating capacity of approximately 199 MW. Subject to customary regulatory approvals and closing conditions, this transaction is expected to close in the first half of 2023.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Year to Date</w:t>
            </w:r>
          </w:p>
        </w:tc>
        <w:tc>
          <w:tcPr>
            <w:tcW w:w="780" w:type="dxa"/>
            <w:vAlign w:val="bottom"/>
            <w:tcBorders>
              <w:top w:val="single" w:sz="8" w:color="auto"/>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r>
      <w:tr>
        <w:trPr>
          <w:trHeight w:val="238"/>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5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746.6</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1,711.8</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1,533.9</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583.7</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525.0</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1,452.3</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1,293.5</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197.2</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517.6</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30"/>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(39.0)</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1,488.5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3,661.5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3,303.1</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250.6</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382.0</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662.5</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101.3</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300.3</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Industrial steam and 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1,846.7</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4,360.8</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4,250.6</w:t>
            </w:r>
          </w:p>
        </w:tc>
      </w:tr>
      <w:tr>
        <w:trPr>
          <w:trHeight w:val="22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62.4</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1,909.1</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4,579.5</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4,464.6</w:t>
            </w:r>
          </w:p>
        </w:tc>
      </w:tr>
    </w:tbl>
    <w:p>
      <w:pPr>
        <w:spacing w:after="0" w:line="267" w:lineRule="exact"/>
        <w:rPr>
          <w:sz w:val="20"/>
          <w:szCs w:val="20"/>
          <w:color w:val="auto"/>
        </w:rPr>
      </w:pPr>
    </w:p>
    <w:p>
      <w:pPr>
        <w:ind w:right="320"/>
        <w:spacing w:after="0" w:line="277" w:lineRule="auto"/>
        <w:rPr>
          <w:sz w:val="20"/>
          <w:szCs w:val="20"/>
          <w:color w:val="auto"/>
        </w:rPr>
      </w:pPr>
      <w:r>
        <w:rPr>
          <w:rFonts w:ascii="Arial" w:cs="Arial" w:eastAsia="Arial" w:hAnsi="Arial"/>
          <w:sz w:val="19"/>
          <w:szCs w:val="19"/>
          <w:color w:val="auto"/>
        </w:rPr>
        <w:t>Evergy's other retail electric revenues for the three months ended and year to date September 30, 2022, include a $47.5 million deferral of revenues to a regulatory liability for the expected refund of amounts collected from customers since December 2018 for the return on investment of the retired Sibley Station. See "Abandoned Plant" in Note 1 for additional information.</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Year to Date</w:t>
            </w:r>
          </w:p>
        </w:tc>
        <w:tc>
          <w:tcPr>
            <w:tcW w:w="780" w:type="dxa"/>
            <w:vAlign w:val="bottom"/>
            <w:tcBorders>
              <w:top w:val="single" w:sz="8" w:color="auto"/>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r>
      <w:tr>
        <w:trPr>
          <w:trHeight w:val="238"/>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2021</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343.1</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762.0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267.0</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625.9</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536.8</w:t>
            </w: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134.0</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346.7</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230"/>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748.7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1,747.8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156.9</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76.8</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288.4</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402.7</w:t>
            </w: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91.2</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269.8</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997.2</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2,307.6</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w:t>
            </w: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24.2</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51.7</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1,021.4</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2,359.3</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3"/>
          </w:tcPr>
          <w:p>
            <w:pPr>
              <w:jc w:val="right"/>
              <w:ind w:right="391"/>
              <w:spacing w:after="0" w:line="182" w:lineRule="exact"/>
              <w:rPr>
                <w:sz w:val="20"/>
                <w:szCs w:val="20"/>
                <w:color w:val="auto"/>
              </w:rPr>
            </w:pPr>
            <w:r>
              <w:rPr>
                <w:rFonts w:ascii="Arial" w:cs="Arial" w:eastAsia="Arial" w:hAnsi="Arial"/>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rPr>
              <w:t>Year to Date</w:t>
            </w:r>
          </w:p>
        </w:tc>
        <w:tc>
          <w:tcPr>
            <w:tcW w:w="780" w:type="dxa"/>
            <w:vAlign w:val="bottom"/>
            <w:tcBorders>
              <w:top w:val="single" w:sz="8" w:color="auto"/>
            </w:tcBorders>
          </w:tcPr>
          <w:p>
            <w:pPr>
              <w:spacing w:after="0"/>
              <w:rPr>
                <w:sz w:val="15"/>
                <w:szCs w:val="15"/>
                <w:color w:val="auto"/>
              </w:rPr>
            </w:pPr>
          </w:p>
        </w:tc>
      </w:t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r>
      <w:tr>
        <w:trPr>
          <w:trHeight w:val="238"/>
        </w:trPr>
        <w:tc>
          <w:tcPr>
            <w:tcW w:w="6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2021</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255.9</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222.0</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221.9</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589.7</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98.8</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retail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6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electric retail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517.5</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1,297.8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2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86.6</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604.1</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1,398.8</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w:t>
            </w:r>
          </w:p>
        </w:tc>
      </w:tr>
      <w:tr>
        <w:trPr>
          <w:trHeight w:val="22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165.6</w:t>
            </w: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641.8</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1,564.4</w:t>
            </w:r>
          </w:p>
        </w:tc>
        <w:tc>
          <w:tcPr>
            <w:tcW w:w="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6"/>
              </w:rPr>
              <w:t>September 30</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187.3</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383.7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88.1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210.5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64.0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79.0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The Evergy Companies' other receivables at September 30, 2022 and December 31, 2021,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September 30</w:t>
            </w: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7"/>
        </w:trPr>
        <w:tc>
          <w:tcPr>
            <w:tcW w:w="4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2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 (income)</w:t>
            </w:r>
          </w:p>
        </w:tc>
        <w:tc>
          <w:tcPr>
            <w:tcW w:w="116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33"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8"/>
              </w:rPr>
              <w:t>September 30</w:t>
            </w: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7"/>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bl>
    <w:p>
      <w:pPr>
        <w:spacing w:after="0" w:line="280" w:lineRule="exact"/>
        <w:rPr>
          <w:sz w:val="20"/>
          <w:szCs w:val="20"/>
          <w:color w:val="auto"/>
        </w:rPr>
      </w:pPr>
    </w:p>
    <w:p>
      <w:pPr>
        <w:ind w:right="280"/>
        <w:spacing w:after="0" w:line="27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2022 Transmission Delivery Charge (TDC)</w:t>
      </w:r>
    </w:p>
    <w:p>
      <w:pPr>
        <w:spacing w:after="0" w:line="13"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In March 2022, the KCC issued an order adjusting Evergy Kansas Central's retail prices to include updated transmission costs as reflected in the Federal Energy Regulatory Commission (FERC) transmission formula rate (TFR). The new prices were effective in April 2022 and are expected to increase Evergy Kansas Central's annual retail revenues by $20.4 million when compared to 2021.</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TDC</w:t>
      </w:r>
    </w:p>
    <w:p>
      <w:pPr>
        <w:spacing w:after="0" w:line="20"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In April 2022, the KCC issued an order adjusting Evergy Metro's retail prices to include updated transmission costs as reflected in the FERC TFR. The new prices were effective in May 2022 and are expected to increase Evergy Metro's annual retail revenues by $7.9 million when compared to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85" w:lineRule="exact"/>
        <w:rPr>
          <w:sz w:val="20"/>
          <w:szCs w:val="20"/>
          <w:color w:val="auto"/>
        </w:rPr>
      </w:pPr>
    </w:p>
    <w:p>
      <w:pPr>
        <w:jc w:val="both"/>
        <w:ind w:right="300"/>
        <w:spacing w:after="0" w:line="255" w:lineRule="auto"/>
        <w:rPr>
          <w:sz w:val="20"/>
          <w:szCs w:val="20"/>
          <w:color w:val="auto"/>
        </w:rPr>
      </w:pPr>
      <w:r>
        <w:rPr>
          <w:rFonts w:ascii="Arial" w:cs="Arial" w:eastAsia="Arial" w:hAnsi="Arial"/>
          <w:sz w:val="20"/>
          <w:szCs w:val="20"/>
          <w:color w:val="auto"/>
        </w:rPr>
        <w:t>Evergy Kansas Central's and Evergy Metro's 2021 calculations of annual earnings did not result in a refund obligation. These calculations were filed with the KCC in March 2022. As of September 30, 2022, Evergy Kansas Central and Evergy Metro estimate their 2022 annual earnings will not result in a refund obligation. The final refund obligations for 2021 and 2022 will be decided by the KCC and could vary from the current estimates.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February 2021 Winter Weather Event AAO</w:t>
      </w:r>
    </w:p>
    <w:p>
      <w:pPr>
        <w:spacing w:after="0" w:line="16"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In February 2021, the KCC issued an emergency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Evergy Kansas Central recognized a regulatory asset pursuant to the AAO of approximately $120 million related to its costs incurred during the February 2021 winter weather event, primarily consisting of increased fuel, purchased power, and associated carrying costs. Evergy Metro's Kansas jurisdiction recognized a regulatory liability of approximately $40 million related to its increased wholesale revenues during the February 2021 winter weather event and associated carrying costs.</w:t>
      </w:r>
    </w:p>
    <w:p>
      <w:pPr>
        <w:spacing w:after="0" w:line="184" w:lineRule="exact"/>
        <w:rPr>
          <w:sz w:val="20"/>
          <w:szCs w:val="20"/>
          <w:color w:val="auto"/>
        </w:rPr>
      </w:pPr>
    </w:p>
    <w:p>
      <w:pPr>
        <w:ind w:right="240"/>
        <w:spacing w:after="0" w:line="252" w:lineRule="auto"/>
        <w:rPr>
          <w:sz w:val="20"/>
          <w:szCs w:val="20"/>
          <w:color w:val="auto"/>
        </w:rPr>
      </w:pPr>
      <w:r>
        <w:rPr>
          <w:rFonts w:ascii="Arial" w:cs="Arial" w:eastAsia="Arial" w:hAnsi="Arial"/>
          <w:sz w:val="20"/>
          <w:szCs w:val="20"/>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2023. As part of the filing, Evergy Metro also requested a decrease to its February 2021 winter weather event refund to Kansas customers, not currently reflected in its regulatory liability for the February 2021 winter weather event, for jurisdictional allocation differences in its Kansas and Missouri fuel recovery mechanisms.</w:t>
      </w:r>
    </w:p>
    <w:p>
      <w:pPr>
        <w:spacing w:after="0" w:line="20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In April 2022, Evergy Kansas Central, Evergy Metro, KCC staff and other intervenors filed a non-unanimous stipulation and agreement with the KCC that resolved all issues regarding the timing and method of recovery for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costs and revenues deferred pursuant to the February 2021 winter weather event AAO. As part of the non-unanimous stipulation and agreement, Evergy Kansas Central and Evergy Metro agreed to recover or refund, as appropriate, their deferred February 2021 winter weather amounts to customers through their fuel recovery mechanisms over two years and one year, respectively, beginning in April 2023, and to use the rate of 1.00% to apply carrying charges to these deferred amounts. The non-unanimous stipulation and agreement also permitted Evergy Metro to request the future recovery in its next Kansas rate case of an approximately $5 million under-recovery related to its February 2021 winter weather event refund to Kansas customers for jurisdictional allocation differences in its Kansas and Missouri fuel recovery mechanisms.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In June 2022, the KCC issued an order approving the non-unanimous stipulation and agreement.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2022 Rate Case Proceeding</w:t>
      </w:r>
    </w:p>
    <w:p>
      <w:pPr>
        <w:spacing w:after="0" w:line="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In January 2022, Evergy Metro filed an application with the MPSC to request an increase to its retail revenues of $43.9 million before rebasing fuel and purchased power expense, with a return on equity of 10% and a rate-making equity ratio of 51.19%.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Metro also requested an additional $3.8 million increase associated with rebasing fuel and purchased power expense as well as the implementation of tracking mechanisms for both property tax expense and credit loss expense and the creation of a storm reserve as part of its application with the MPSC.</w:t>
      </w:r>
    </w:p>
    <w:p>
      <w:pPr>
        <w:spacing w:after="0" w:line="17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During the third quarter of 2022, Evergy Metro, MPSC staff and other intervenors in the case reached several non-unanimous partial stipulations and agreements to settle certain issues in the case. The partial stipulations and agreements provide for an increase to Evergy Metro's retail revenues of $25.0 million after rebasing fuel and purchased power expense and are exclusive of certain items which will be resolved by the MPSC in its final order. The resolution of these items could have an impact on the final revenue requirement approved in the case. Evergy Metro also agreed to withdraw its request for the creation of a storm reserve. In September 2022, the MPSC issued an order approving the partial non-unanimous stipulations and agreements.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final order is expected from the MPSC in November 2022 and new rates will be effective in December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2022 Rate Case Proceeding</w:t>
      </w:r>
    </w:p>
    <w:p>
      <w:pPr>
        <w:spacing w:after="0" w:line="20"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In January 2022, Evergy Missouri West filed an application with the MPSC to request an increase to its retail revenues of $27.7 million before rebasing fuel and purchased power expense, with a return on equity of 10% and a rate-making equity ratio of 51.81%. The request reflects increases related to higher property taxes and the recovery of infrastructure investments made to improve reliability and enhance customer service and were also partially offset by significant customer savings and cost reductions created since the Great Plains Energy and Evergy Kansas Central merger in 2018. Evergy Missouri West also requested an additional $32.1 million increase associated with rebasing fuel and purchased power expense, the implementation of tracking mechanisms for both property tax expense and credit loss expense, the creation of a storm reserve, and the full return of and return on its unrecovered investment related to the 2018 retirement of Sibley Station as part of its application with the MPSC.</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During the third quarter of 2022, Evergy Missouri West, MPSC staff and other intervenors in the case reached several non-unanimous partial stipulations and agreements to settle certain issues in the case. The partial stipulations and agreements provide for an increase to Evergy Missouri West's retail revenues of $42.5 million after rebasing fuel and purchased power expense and are exclusive of certain items which will be resolved by the MPSC in its final order, including the return of and return on Evergy Missouri West's unrecovered investment related to the 2018 retirement of Sibley Station, among other items. The resolution of these items could have an impact on the final revenue requirement approved in the case. Evergy Missouri West also agreed to withdraw its request for the creation of a storm reserve. In September 2022, the MPSC issued an order approving the partial non-unanimous stipulations and agreements.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 final order is expected from the MPSC in November 2022 and new rates will be effective in December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spacing w:after="0" w:line="2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203"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In October 2019, the MPSC granted OPC's and MECG's request for an AAO and required Evergy Missouri West to record a regulatory liability for the revenues discussed above for consideration in Evergy Missouri West's current rate case. Subsequent to the MPSC order in 2019, Evergy recorded a regulatory liability for the estimated amount of revenues that Evergy Missouri West had collected from customers for Sibley Station since December 2018 that Evergy had determined was probable of refund. This regulatory liability did not include revenues collected related to the return on investment in Sibley Station as Evergy determined that they were not probable of refund based on the relevant facts and circumstances. As of December 31, 2021, this Sibley AAO regulatory liability was $29.3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2022, Evergy determined that the refund of revenues collected since December 2018 for return on investment in Sibley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Station was now probable based on regulatory precedent from an August 2022 MPSC decision in a similar proceeding for an unaffiliated</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utility and the MPSC staff’s position in Evergy Missouri West’s current rate case. As a result of this determination, Evergy recorded 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$47.5 million deferral to its Sibley AAO regulatory liability for the three months ended and year to date September 30, 2022 for 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collected from customers for return on investment in Sibley Station since December 2018. The Sibley AAO regulatory liability had a total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value as of September 30, 2022 of $84.7 million. Based on the recent MPSC regulatory precedent, Evergy believes that the Sibley AAO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regulatory liability will be offset for recovery purposes against its unrecovered investment in Sibley Unit 3 in its current rate case and as 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result, has netted its Sibley AAO regulatory liability against its retired generation facilities regulatory asset for Sibley Unit 3 on its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consolidated balance sheets as of September 30, 2022, resulting in a net regulatory asset of $25.6 million.</w:t>
      </w:r>
    </w:p>
    <w:p>
      <w:pPr>
        <w:spacing w:after="0" w:line="213"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The final value and rate treatment of Evergy’s Sibley AAO regulatory liability will be determined by the MPSC in its rate order in Evergy Missouri West’s current rate case, which is currently expected in November 2022, and could differ significantly from the amounts currently recorded. See "Abandoned Plant" in Note 1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and Evergy Missouri West February 2021 Winter Weather Event AAO</w:t>
      </w:r>
    </w:p>
    <w:p>
      <w:pPr>
        <w:spacing w:after="0" w:line="16"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Evergy Metro and Evergy Missouri West initially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above the amount included in base rates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Evergy Metro's Missouri jurisdiction recognized a regulatory liability of approximately $25 million related to its increased wholesale revenues during the February 2021 winter weather event. Evergy Missouri West recognized a regulatory asset of approximately $280 million related to its costs incurred during the February 2021 winter weather event, primarily consisting of increased fuel and purchased power costs.</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through its fuel recovery mechanism and indicated its intent to recover them through issuing securitized bonds 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w:t>
      </w:r>
    </w:p>
    <w:p>
      <w:pPr>
        <w:spacing w:after="0" w:line="17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In March 2022, the MPSC ordered Evergy Metro in a separate regulatory proceeding to file an adjustment to its fuel recovery mechanism in order to allow its wholesale revenues from the February 2021 winter weather event to be refunded to customers beginning in April 2022. The approximately $5 million decrease to the refund of February 2021 winter weather amounts requested by Evergy Metro due to jurisdictional allocation differences in its Kansas and Missouri fuel recovery mechanisms was not included in the adjustment.</w:t>
      </w:r>
    </w:p>
    <w:p>
      <w:pPr>
        <w:spacing w:after="0" w:line="150"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In April 2022, the MPSC staff filed a motion to suspend the February 2021 winter weather event AAO procedural schedule for Evergy Metro and Evergy Missouri West pending the resolution of Evergy Missouri West's petition for a securitization financing order discussed below. The MPSC granted the motion to suspend the AAO procedural schedule in April 2022. Evergy Metro began refunding the Missouri portion of its wholesale revenues from the February 2021 winter weather event to customers through its fuel recovery mechanism in April 2022.</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February 2021 Winter Weather Event Securitization</w:t>
      </w:r>
    </w:p>
    <w:p>
      <w:pPr>
        <w:spacing w:after="0" w:line="1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In March 2022, Evergy Missouri West filed a petition for financing order with the MPSC requesting authorization to finance its extraordinary fuel and purchased power costs incurred as part of the February 2021 winter weather event, including carrying costs, through the issuance of securitized bonds. Evergy Missouri West requested to repay the securitized bonds and collect the related amounts from customers over a period of approximately 15 years from the date of issuance of the securitized bonds.</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In October 2022, the MPSC issued a financing order authorizing Evergy Missouri West to issue securitized bonds to recover its extraordinary fuel and purchased power costs incurred as part of the February 2021 winter weather event. As part of this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w:t>
      </w:r>
    </w:p>
    <w:p>
      <w:pPr>
        <w:spacing w:after="0" w:line="198" w:lineRule="exact"/>
        <w:rPr>
          <w:sz w:val="20"/>
          <w:szCs w:val="20"/>
          <w:color w:val="auto"/>
        </w:rPr>
      </w:pPr>
    </w:p>
    <w:p>
      <w:pPr>
        <w:ind w:right="180"/>
        <w:spacing w:after="0" w:line="251" w:lineRule="auto"/>
        <w:rPr>
          <w:sz w:val="20"/>
          <w:szCs w:val="20"/>
          <w:color w:val="auto"/>
        </w:rPr>
      </w:pPr>
      <w:r>
        <w:rPr>
          <w:rFonts w:ascii="Arial" w:cs="Arial" w:eastAsia="Arial" w:hAnsi="Arial"/>
          <w:sz w:val="20"/>
          <w:szCs w:val="20"/>
          <w:color w:val="auto"/>
        </w:rPr>
        <w:t>In the third quarter of 2022, Evergy Missouri West recorded an increase of $15.0 million to its February 2021 winter weather event regulatory asset for the recovery of carrying charges granted in the MPSC's financing order. As of September 30, 2022, the value of Evergy Missouri West's February 2021 winter weather event regulatory asset was $303.1 million. Evergy Missouri West will continue to record carrying charges on its February 2021 winter weather event regulatory asset until it issues the securitized bonds authorized by the MPSC's financing order, which is currently expected in the first half of 2023.</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6"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20" w:lineRule="exact"/>
        <w:rPr>
          <w:sz w:val="20"/>
          <w:szCs w:val="20"/>
          <w:color w:val="auto"/>
        </w:rPr>
      </w:pPr>
    </w:p>
    <w:p>
      <w:pPr>
        <w:ind w:right="960"/>
        <w:spacing w:after="0" w:line="253" w:lineRule="auto"/>
        <w:rPr>
          <w:sz w:val="20"/>
          <w:szCs w:val="20"/>
          <w:color w:val="auto"/>
        </w:rPr>
      </w:pPr>
      <w:r>
        <w:rPr>
          <w:rFonts w:ascii="Arial" w:cs="Arial" w:eastAsia="Arial" w:hAnsi="Arial"/>
          <w:sz w:val="20"/>
          <w:szCs w:val="20"/>
          <w:color w:val="auto"/>
        </w:rPr>
        <w:t>In the most recent three years, the updated TFR was expected to adjust Evergy Kansas Central's annual transmission revenues by approximately:</w:t>
      </w:r>
    </w:p>
    <w:p>
      <w:pPr>
        <w:spacing w:after="0" w:line="8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$43.6 million increase effective in January 2023;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$33.2 million increase effective in January 2022;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three years, the updated TFR was expected to adjust Evergy Metro's annual transmission revenues by approximately:</w:t>
      </w:r>
    </w:p>
    <w:p>
      <w:pPr>
        <w:spacing w:after="0" w:line="128"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$8.6 million increase effective in January 2023;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$18.1 million increase effective in January 2022;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w:t>
      </w:r>
    </w:p>
    <w:p>
      <w:pPr>
        <w:spacing w:after="0" w:line="223"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2022.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There have been no pension settlement charges for the three months ended and year to date September 30, 2022. For the three months ended and year to date September 30, 2021, Evergy, Evergy Kansas Central and Evergy Metro recorded pension settlement charges of</w:t>
      </w:r>
    </w:p>
    <w:p>
      <w:pPr>
        <w:ind w:right="180"/>
        <w:spacing w:after="0" w:line="248" w:lineRule="auto"/>
        <w:rPr>
          <w:sz w:val="20"/>
          <w:szCs w:val="20"/>
          <w:color w:val="auto"/>
        </w:rPr>
      </w:pPr>
      <w:r>
        <w:rPr>
          <w:rFonts w:ascii="Arial" w:cs="Arial" w:eastAsia="Arial" w:hAnsi="Arial"/>
          <w:sz w:val="20"/>
          <w:szCs w:val="20"/>
          <w:color w:val="auto"/>
        </w:rPr>
        <w:t>$30.4 million, $22.5 million and $12.5 million, respectively. These settlement charges were the result of accelerated distributions as a result of employee retirements and annuity purchases for certain plan participants. Evergy, Evergy Kansas Central and Evergy Metro deferred substantially all of the charges to a regulatory asset and expect to recover these amounts over future periods pursuant to regulatory agreements.</w:t>
      </w:r>
    </w:p>
    <w:p>
      <w:pPr>
        <w:spacing w:after="0" w:line="203"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Post-Retirement Benefits</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93"/>
              </w:rPr>
              <w:t>Evergy</w:t>
            </w:r>
          </w:p>
        </w:tc>
        <w:tc>
          <w:tcPr>
            <w:tcW w:w="240" w:type="dxa"/>
            <w:vAlign w:val="bottom"/>
          </w:tcPr>
          <w:p>
            <w:pPr>
              <w:spacing w:after="0"/>
              <w:rPr>
                <w:sz w:val="15"/>
                <w:szCs w:val="15"/>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w w:val="96"/>
              </w:rPr>
              <w:t>Evergy</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9"/>
              </w:rPr>
              <w:t>Evergy</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7"/>
              </w:rPr>
              <w:t>Kansas</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6"/>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Prior service 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17.7</w:t>
            </w:r>
          </w:p>
        </w:tc>
        <w:tc>
          <w:tcPr>
            <w:tcW w:w="3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1"/>
                <w:szCs w:val="21"/>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Intercompany allocations</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3"/>
              </w:rPr>
              <w:t>Evergy</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Evergy</w:t>
            </w: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September 30, 2022</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Evergy</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Evergy</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Central</w:t>
            </w: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Metro</w:t>
            </w:r>
          </w:p>
        </w:tc>
        <w:tc>
          <w:tcPr>
            <w:tcW w:w="0" w:type="dxa"/>
            <w:vAlign w:val="bottom"/>
          </w:tcPr>
          <w:p>
            <w:pPr>
              <w:spacing w:after="0"/>
              <w:rPr>
                <w:sz w:val="1"/>
                <w:szCs w:val="1"/>
                <w:color w:val="auto"/>
              </w:rPr>
            </w:pPr>
          </w:p>
        </w:tc>
      </w:tr>
      <w:tr>
        <w:trPr>
          <w:trHeight w:val="223"/>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800" w:type="dxa"/>
            <w:vAlign w:val="bottom"/>
          </w:tcPr>
          <w:p>
            <w:pPr>
              <w:jc w:val="center"/>
              <w:ind w:left="330"/>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7"/>
              </w:rPr>
              <w:t>(2.8)</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Prior service 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155"/>
        </w:trPr>
        <w:tc>
          <w:tcPr>
            <w:tcW w:w="400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0"/>
              </w:rPr>
              <w:t>Net periodic benefit costs before regulatory adjustment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and intercompany allocations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1"/>
                <w:szCs w:val="21"/>
                <w:color w:val="auto"/>
              </w:rPr>
            </w:pPr>
          </w:p>
        </w:tc>
        <w:tc>
          <w:tcPr>
            <w:tcW w:w="800" w:type="dxa"/>
            <w:vAlign w:val="bottom"/>
          </w:tcPr>
          <w:p>
            <w:pPr>
              <w:jc w:val="center"/>
              <w:ind w:left="31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Intercompany allocations</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5"/>
                <w:szCs w:val="15"/>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w w:val="96"/>
              </w:rPr>
              <w:t>Evergy</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660"/>
              <w:spacing w:after="0"/>
              <w:rPr>
                <w:sz w:val="20"/>
                <w:szCs w:val="20"/>
                <w:color w:val="auto"/>
              </w:rPr>
            </w:pPr>
            <w:r>
              <w:rPr>
                <w:rFonts w:ascii="Arial" w:cs="Arial" w:eastAsia="Arial" w:hAnsi="Arial"/>
                <w:sz w:val="16"/>
                <w:szCs w:val="16"/>
                <w:color w:val="auto"/>
                <w:w w:val="96"/>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980" w:type="dxa"/>
            <w:vAlign w:val="bottom"/>
          </w:tcPr>
          <w:p>
            <w:pPr>
              <w:jc w:val="center"/>
              <w:ind w:left="291"/>
              <w:spacing w:after="0"/>
              <w:rPr>
                <w:sz w:val="20"/>
                <w:szCs w:val="20"/>
                <w:color w:val="auto"/>
              </w:rPr>
            </w:pPr>
            <w:r>
              <w:rPr>
                <w:rFonts w:ascii="Arial" w:cs="Arial" w:eastAsia="Arial" w:hAnsi="Arial"/>
                <w:sz w:val="18"/>
                <w:szCs w:val="18"/>
                <w:color w:val="auto"/>
                <w:w w:val="97"/>
              </w:rPr>
              <w:t>(7.1)</w:t>
            </w: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91"/>
              <w:spacing w:after="0"/>
              <w:rPr>
                <w:sz w:val="20"/>
                <w:szCs w:val="20"/>
                <w:color w:val="auto"/>
              </w:rPr>
            </w:pPr>
            <w:r>
              <w:rPr>
                <w:rFonts w:ascii="Arial" w:cs="Arial" w:eastAsia="Arial" w:hAnsi="Arial"/>
                <w:sz w:val="18"/>
                <w:szCs w:val="18"/>
                <w:color w:val="auto"/>
                <w:w w:val="97"/>
              </w:rPr>
              <w:t>(6.8)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45"/>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5"/>
                <w:szCs w:val="15"/>
                <w:color w:val="auto"/>
              </w:rPr>
            </w:pPr>
          </w:p>
        </w:tc>
        <w:tc>
          <w:tcPr>
            <w:tcW w:w="98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Evergy</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 2021</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Metro</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660"/>
              <w:spacing w:after="0"/>
              <w:rPr>
                <w:sz w:val="20"/>
                <w:szCs w:val="20"/>
                <w:color w:val="auto"/>
              </w:rPr>
            </w:pPr>
            <w:r>
              <w:rPr>
                <w:rFonts w:ascii="Arial" w:cs="Arial" w:eastAsia="Arial" w:hAnsi="Arial"/>
                <w:sz w:val="16"/>
                <w:szCs w:val="16"/>
                <w:color w:val="auto"/>
                <w:w w:val="96"/>
              </w:rPr>
              <w:t>(millions)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91"/>
              </w:rPr>
              <w:t>41.0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980" w:type="dxa"/>
            <w:vAlign w:val="bottom"/>
          </w:tcPr>
          <w:p>
            <w:pPr>
              <w:jc w:val="center"/>
              <w:ind w:left="291"/>
              <w:spacing w:after="0"/>
              <w:rPr>
                <w:sz w:val="20"/>
                <w:szCs w:val="20"/>
                <w:color w:val="auto"/>
              </w:rPr>
            </w:pPr>
            <w:r>
              <w:rPr>
                <w:rFonts w:ascii="Arial" w:cs="Arial" w:eastAsia="Arial" w:hAnsi="Arial"/>
                <w:sz w:val="18"/>
                <w:szCs w:val="18"/>
                <w:color w:val="auto"/>
                <w:w w:val="91"/>
              </w:rPr>
              <w:t>32.3</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91"/>
              </w:rPr>
              <w:t>33.4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91"/>
              <w:spacing w:after="0"/>
              <w:rPr>
                <w:sz w:val="20"/>
                <w:szCs w:val="20"/>
                <w:color w:val="auto"/>
              </w:rPr>
            </w:pPr>
            <w:r>
              <w:rPr>
                <w:rFonts w:ascii="Arial" w:cs="Arial" w:eastAsia="Arial" w:hAnsi="Arial"/>
                <w:sz w:val="18"/>
                <w:szCs w:val="18"/>
                <w:color w:val="auto"/>
                <w:w w:val="91"/>
              </w:rPr>
              <w:t>12.5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auto"/>
                <w:w w:val="91"/>
              </w:rPr>
              <w:t>76.1</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center"/>
              <w:ind w:left="291"/>
              <w:spacing w:after="0"/>
              <w:rPr>
                <w:sz w:val="20"/>
                <w:szCs w:val="20"/>
                <w:color w:val="auto"/>
              </w:rPr>
            </w:pPr>
            <w:r>
              <w:rPr>
                <w:rFonts w:ascii="Arial" w:cs="Arial" w:eastAsia="Arial" w:hAnsi="Arial"/>
                <w:sz w:val="18"/>
                <w:szCs w:val="18"/>
                <w:color w:val="auto"/>
                <w:w w:val="91"/>
              </w:rPr>
              <w:t>54.6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7"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color w:val="auto"/>
        </w:rPr>
        <w:t>Year to date September 30, 2022, Evergy, Evergy Kansas Central and Evergy Metro made pension contributions of $29.9 million, $17.7 million and $12.2 million, respectively. Evergy expects to make additional pension contributions of $53.9 million in 2022 to satisfy the Employee Retirement Income Security Act of 1974, as amended (ERISA) funding requirements and KCC and MPSC rate orders, of which $8.5 million is expected to be paid by Evergy Kansas Central and $45.4 million is expected to be paid by Evergy Metro.</w:t>
      </w:r>
    </w:p>
    <w:p>
      <w:pPr>
        <w:spacing w:after="0" w:line="167" w:lineRule="exact"/>
        <w:rPr>
          <w:sz w:val="20"/>
          <w:szCs w:val="20"/>
          <w:color w:val="auto"/>
        </w:rPr>
      </w:pPr>
    </w:p>
    <w:p>
      <w:pPr>
        <w:ind w:right="560"/>
        <w:spacing w:after="0" w:line="299" w:lineRule="auto"/>
        <w:rPr>
          <w:sz w:val="20"/>
          <w:szCs w:val="20"/>
          <w:color w:val="auto"/>
        </w:rPr>
      </w:pPr>
      <w:r>
        <w:rPr>
          <w:rFonts w:ascii="Arial" w:cs="Arial" w:eastAsia="Arial" w:hAnsi="Arial"/>
          <w:sz w:val="18"/>
          <w:szCs w:val="18"/>
          <w:color w:val="auto"/>
        </w:rPr>
        <w:t>Year to date September 30, 2022, Evergy, Evergy Kansas Central and Evergy Metro made post-retirement benefit contributions of $0.6 million, $0.3 million and $0.3 million, respectively. Evergy, Evergy Kansas Central and Evergy Metro expect to make additional contributions in 2022 of $1.6 million, $0.2 million and $1.4 million, respectively, to the post-retirement benefit plans.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Evergy's $2.5 billion master credit facility expires in 2026. Evergy, Evergy Kansas Central, Evergy Metro and Evergy Missouri West have borrowing capacity under the master credit facility with specific sublimits for each borrower. These sublimits can be unilaterally adjusted by Evergy for each borrower provided the sublimits remain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September 30, 2022, Evergy, Evergy Kansas Central, Evergy Metro and Evergy Missouri West were in compliance with this covenant.</w:t>
      </w:r>
    </w:p>
    <w:p>
      <w:pPr>
        <w:spacing w:after="0" w:line="182" w:lineRule="exact"/>
        <w:rPr>
          <w:sz w:val="20"/>
          <w:szCs w:val="20"/>
          <w:color w:val="auto"/>
        </w:rPr>
      </w:pPr>
    </w:p>
    <w:p>
      <w:pPr>
        <w:ind w:right="460"/>
        <w:spacing w:after="0" w:line="274"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September 30, 2022 and December 31, 2021.</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Paper</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Arial" w:cs="Arial" w:eastAsia="Arial" w:hAnsi="Arial"/>
                <w:sz w:val="16"/>
                <w:szCs w:val="16"/>
                <w:color w:val="auto"/>
                <w:w w:val="99"/>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361.7</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3.27%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3.23%</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341.3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0.34%</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0.40%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1,339.9</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 February 2022, Evergy, Inc. entered into a $500.0 million unsecured Term Loan Credit Agreement (Term Loan Facility) that expires in February 2023. As of September 30, 2022, Evergy had borrowed $500.0 million under the Term Loan Facility. The weighted average interest rate for borrowings under the Term Loan Facility as of September 30, 2022, was 3.83%. Evergy's borrowings under the Term Loan Facility were used for, among other things, working capital, capital expenditures and general corporate purposes. The Term Loan Facility contains customary covenants, including one that sets the ratio of maximum allowed total indebtedness to total capitalization of not greater than 0.65 to 1.00, for Evergy and its subsidiaries on a consolidated basis. As of September 30, 2022, Evergy was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In March 2022, Evergy Missouri West entered into a First Mortgage Indenture and Deed of Trust, dated as of March 1, 2022 (Evergy Missouri West Mortgage Indenture), establishing a first mortgage lien on substantially all of its present properties and certain after-acquired properties, subject to certain exceptions. In connection with the establishment of the Evergy Missouri West Mortgage Indenture, Evergy Missouri West issued collateral mortgage bonds secured by the Evergy Missouri West Mortgage Indenture to serve as collateral for Evergy Missouri West's obligations under the following outstanding unsecured senior notes:</w:t>
      </w:r>
    </w:p>
    <w:p>
      <w:pPr>
        <w:spacing w:after="0" w:line="6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$350.0 million of 2.86% Series A, maturing in 2031;</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3.01% Series B, maturing in 2033;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$75.0 million of 3.21% Series C, maturing in 2036.</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collateral mortgage bonds were issued to the holders of the unsecured senior notes, are only payable if Evergy Missouri West defaults on the underlying unsecured senior notes and do not increase the amount of outstanding debt for Evergy Missouri West.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a result of the above transactions, Evergy Missouri West's outstanding senior notes have effectively become secured by the mortgage lien of the Evergy Missouri West Mortgage Indenture and rank equally and ratably with all of Evergy Missouri West's mortgage bonds, regardless of series, from time to time issued and outstanding under the Evergy Missouri West Mortgage Indenture.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Also in March 2022, Evergy Missouri West issued, at a discount, $250.0 million of 3.75% First Mortgage Bonds, maturing in 2032.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In March 2022, Evergy Missouri West repaid its $100.0 million of 3.74% Senior Notes at maturity.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June 2022, Evergy repaid its $287.5 million of 5.292% Senior Notes at maturity.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Pollution Control Bonds</w:t>
      </w:r>
    </w:p>
    <w:p>
      <w:pPr>
        <w:spacing w:after="0" w:line="2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color w:val="auto"/>
        </w:rPr>
        <w:t>In July 2022, Evergy Metro remarketed its unsecured Series 2008 Environmental Improvement Revenue Refunding (EIRR) bonds maturing in 2038 totaling $23.4 million at a fixed rate of 3.50% through June 30, 2025.</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6"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204" w:lineRule="exact"/>
        <w:rPr>
          <w:sz w:val="20"/>
          <w:szCs w:val="20"/>
          <w:color w:val="auto"/>
        </w:rPr>
      </w:pPr>
    </w:p>
    <w:p>
      <w:pPr>
        <w:ind w:right="20"/>
        <w:spacing w:after="0" w:line="301"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93"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9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50"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9,546.7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9,687.2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3,936.3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auto"/>
              </w:rPr>
              <w:t>3,934.2</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4,522.5</w:t>
            </w: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2,926.1</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2,654.4</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2,925.0</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3,400.8</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280" w:hanging="172"/>
        <w:spacing w:after="0" w:line="252"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September 30, 2022 and December 31, 2021, includes $93.2 million and $97.9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6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September 30, 2022</w:t>
            </w:r>
          </w:p>
        </w:tc>
        <w:tc>
          <w:tcPr>
            <w:tcW w:w="3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4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106.0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93.0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13.0</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53.5</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53.5</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50.2</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24.7</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24.7</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14.7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14.7</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32.2</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32.2</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18.6</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18.6</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nuclear decommissioning trust</w:t>
            </w:r>
          </w:p>
        </w:tc>
        <w:tc>
          <w:tcPr>
            <w:tcW w:w="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300.5</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236.7</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63.8</w:t>
            </w: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15.5</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15.5</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6.7</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rabbi trust</w:t>
            </w:r>
          </w:p>
        </w:tc>
        <w:tc>
          <w:tcPr>
            <w:tcW w:w="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24.2</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24.2</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324.7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260.9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63.8</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0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224.7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224.7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00" w:type="dxa"/>
            <w:vAlign w:val="bottom"/>
          </w:tcPr>
          <w:p>
            <w:pPr>
              <w:ind w:left="340"/>
              <w:spacing w:after="0"/>
              <w:rPr>
                <w:sz w:val="20"/>
                <w:szCs w:val="20"/>
                <w:color w:val="auto"/>
              </w:rPr>
            </w:pPr>
            <w:r>
              <w:rPr>
                <w:rFonts w:ascii="Arial" w:cs="Arial" w:eastAsia="Arial" w:hAnsi="Arial"/>
                <w:sz w:val="16"/>
                <w:szCs w:val="16"/>
                <w:color w:val="auto"/>
              </w:rPr>
              <w:t>U.S. Treasury</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42.1</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42.1</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Agency</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0.3</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40"/>
              <w:spacing w:after="0"/>
              <w:rPr>
                <w:sz w:val="20"/>
                <w:szCs w:val="20"/>
                <w:color w:val="auto"/>
              </w:rPr>
            </w:pPr>
            <w:r>
              <w:rPr>
                <w:rFonts w:ascii="Arial" w:cs="Arial" w:eastAsia="Arial" w:hAnsi="Arial"/>
                <w:sz w:val="16"/>
                <w:szCs w:val="16"/>
                <w:color w:val="auto"/>
              </w:rPr>
              <w:t>State and local obligations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bonds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36.4</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40"/>
              <w:spacing w:after="0"/>
              <w:rPr>
                <w:sz w:val="20"/>
                <w:szCs w:val="20"/>
                <w:color w:val="auto"/>
              </w:rPr>
            </w:pPr>
            <w:r>
              <w:rPr>
                <w:rFonts w:ascii="Arial" w:cs="Arial" w:eastAsia="Arial" w:hAnsi="Arial"/>
                <w:sz w:val="16"/>
                <w:szCs w:val="16"/>
                <w:color w:val="auto"/>
              </w:rPr>
              <w:t>Foreign governments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nuclear decommissioning trust</w:t>
            </w:r>
          </w:p>
        </w:tc>
        <w:tc>
          <w:tcPr>
            <w:tcW w:w="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313.0</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272.1</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self-insured health plan trust</w:t>
            </w:r>
          </w:p>
        </w:tc>
        <w:tc>
          <w:tcPr>
            <w:tcW w:w="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12.4</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6.7</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325.4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278.8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Evergy investments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Total rabbi trusts</w:t>
            </w: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10.7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9"/>
              <w:spacing w:after="0"/>
              <w:rPr>
                <w:sz w:val="20"/>
                <w:szCs w:val="20"/>
                <w:color w:val="auto"/>
              </w:rPr>
            </w:pPr>
            <w:r>
              <w:rPr>
                <w:rFonts w:ascii="Arial" w:cs="Arial" w:eastAsia="Arial" w:hAnsi="Arial"/>
                <w:sz w:val="16"/>
                <w:szCs w:val="16"/>
                <w:color w:val="auto"/>
              </w:rPr>
              <w:t>613.5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508.8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63.8</w:t>
            </w: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34.9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12.4</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660.8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550.4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63.8</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140.4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126.5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13.9</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74.0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74.0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29.6</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32.7</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15.2</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368.4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306.6</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61.8</w:t>
            </w: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19.6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9.5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0.2</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31.7</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31.7</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338.3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61.8</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299.2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299.2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43.7</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400.3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352.1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412.8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358.6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Evergy investments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240"/>
              <w:spacing w:after="0" w:line="216" w:lineRule="exact"/>
              <w:rPr>
                <w:sz w:val="20"/>
                <w:szCs w:val="20"/>
                <w:color w:val="auto"/>
              </w:rPr>
            </w:pPr>
            <w:r>
              <w:rPr>
                <w:rFonts w:ascii="Arial" w:cs="Arial" w:eastAsia="Arial" w:hAnsi="Arial"/>
                <w:sz w:val="16"/>
                <w:szCs w:val="16"/>
                <w:color w:val="auto"/>
              </w:rPr>
              <w:t>Equity securities</w:t>
            </w:r>
            <w:r>
              <w:rPr>
                <w:rFonts w:ascii="Arial" w:cs="Arial" w:eastAsia="Arial" w:hAnsi="Arial"/>
                <w:sz w:val="21"/>
                <w:szCs w:val="21"/>
                <w:color w:val="auto"/>
                <w:vertAlign w:val="superscript"/>
              </w:rPr>
              <w:t>(c)</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other Evergy investments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193"/>
        </w:trPr>
        <w:tc>
          <w:tcPr>
            <w:tcW w:w="350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3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trusts</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43.9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768.7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658.7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48.2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61.8</w:t>
            </w:r>
          </w:p>
        </w:tc>
      </w:tr>
      <w:tr>
        <w:trPr>
          <w:trHeight w:val="216"/>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44.2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12.5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Other Evergy investments</w:t>
            </w:r>
            <w:r>
              <w:rPr>
                <w:rFonts w:ascii="Arial" w:cs="Arial" w:eastAsia="Arial" w:hAnsi="Arial"/>
                <w:sz w:val="21"/>
                <w:szCs w:val="21"/>
                <w:color w:val="auto"/>
                <w:vertAlign w:val="superscript"/>
              </w:rPr>
              <w:t>(c)</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31.4</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856.8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709.4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61.8</w:t>
            </w: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60" w:hanging="152"/>
        <w:spacing w:after="0" w:line="237" w:lineRule="auto"/>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was based on quoted market prices adjusted for a discount for lack of marketability based on a valuation model due to a restriction on the sale of the stock.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740"/>
        <w:spacing w:after="0" w:line="274"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September 30, 2022</w:t>
            </w:r>
          </w:p>
        </w:tc>
        <w:tc>
          <w:tcPr>
            <w:tcW w:w="38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December 31, 2021</w:t>
            </w:r>
          </w:p>
        </w:tc>
        <w:tc>
          <w:tcPr>
            <w:tcW w:w="266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September 30, 2022</w:t>
            </w:r>
          </w:p>
        </w:tc>
      </w:tr>
      <w:tr>
        <w:trPr>
          <w:trHeight w:val="218"/>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Unfunded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34"/>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Value</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29"/>
        </w:trPr>
        <w:tc>
          <w:tcPr>
            <w:tcW w:w="304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1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80" w:right="40" w:hanging="172"/>
        <w:spacing w:after="0" w:line="257"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2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spacing w:after="0" w:line="205"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Year to Date</w:t>
            </w:r>
          </w:p>
        </w:tc>
        <w:tc>
          <w:tcPr>
            <w:tcW w:w="980" w:type="dxa"/>
            <w:vAlign w:val="bottom"/>
            <w:tcBorders>
              <w:top w:val="single" w:sz="8" w:color="auto"/>
            </w:tcBorders>
          </w:tcPr>
          <w:p>
            <w:pPr>
              <w:spacing w:after="0"/>
              <w:rPr>
                <w:sz w:val="18"/>
                <w:szCs w:val="18"/>
                <w:color w:val="auto"/>
              </w:rPr>
            </w:pPr>
          </w:p>
        </w:tc>
      </w:tr>
      <w:tr>
        <w:trPr>
          <w:trHeight w:val="230"/>
        </w:trPr>
        <w:tc>
          <w:tcPr>
            <w:tcW w:w="4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3"/>
              </w:rPr>
              <w:t>September 30</w:t>
            </w: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19"/>
                <w:szCs w:val="19"/>
                <w:color w:val="auto"/>
              </w:rPr>
            </w:pPr>
          </w:p>
        </w:tc>
      </w:tr>
      <w:tr>
        <w:trPr>
          <w:trHeight w:val="234"/>
        </w:trPr>
        <w:tc>
          <w:tcPr>
            <w:tcW w:w="4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2021</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(74.3)</w:t>
            </w:r>
          </w:p>
        </w:tc>
        <w:tc>
          <w:tcPr>
            <w:tcW w:w="11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68.8</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(0.6)</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560" w:type="dxa"/>
            <w:vAlign w:val="bottom"/>
          </w:tcPr>
          <w:p>
            <w:pPr>
              <w:spacing w:after="0"/>
              <w:rPr>
                <w:sz w:val="19"/>
                <w:szCs w:val="19"/>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w w:val="97"/>
              </w:rPr>
              <w:t>(4.0)</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(0.4)</w:t>
            </w:r>
          </w:p>
        </w:tc>
      </w:tr>
      <w:tr>
        <w:trPr>
          <w:trHeight w:val="223"/>
        </w:trPr>
        <w:tc>
          <w:tcPr>
            <w:tcW w:w="4800" w:type="dxa"/>
            <w:vAlign w:val="bottom"/>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(82.3)</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00"/>
              <w:spacing w:after="0"/>
              <w:rPr>
                <w:sz w:val="20"/>
                <w:szCs w:val="20"/>
                <w:color w:val="auto"/>
              </w:rPr>
            </w:pPr>
            <w:r>
              <w:rPr>
                <w:rFonts w:ascii="Arial" w:cs="Arial" w:eastAsia="Arial" w:hAnsi="Arial"/>
                <w:sz w:val="18"/>
                <w:szCs w:val="18"/>
                <w:color w:val="auto"/>
              </w:rPr>
              <w:t>64.4</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(37.1)</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(67.2)</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00"/>
              <w:spacing w:after="0"/>
              <w:rPr>
                <w:sz w:val="20"/>
                <w:szCs w:val="20"/>
                <w:color w:val="auto"/>
              </w:rPr>
            </w:pPr>
            <w:r>
              <w:rPr>
                <w:rFonts w:ascii="Arial" w:cs="Arial" w:eastAsia="Arial" w:hAnsi="Arial"/>
                <w:sz w:val="18"/>
                <w:szCs w:val="18"/>
                <w:color w:val="auto"/>
              </w:rPr>
              <w:t>36.9</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(0.1)</w:t>
            </w:r>
          </w:p>
        </w:tc>
      </w:tr>
      <w:tr>
        <w:trPr>
          <w:trHeight w:val="223"/>
        </w:trPr>
        <w:tc>
          <w:tcPr>
            <w:tcW w:w="4800" w:type="dxa"/>
            <w:vAlign w:val="bottom"/>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(38.5)</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00"/>
              <w:spacing w:after="0"/>
              <w:rPr>
                <w:sz w:val="20"/>
                <w:szCs w:val="20"/>
                <w:color w:val="auto"/>
              </w:rPr>
            </w:pPr>
            <w:r>
              <w:rPr>
                <w:rFonts w:ascii="Arial" w:cs="Arial" w:eastAsia="Arial" w:hAnsi="Arial"/>
                <w:sz w:val="18"/>
                <w:szCs w:val="18"/>
                <w:color w:val="auto"/>
              </w:rPr>
              <w:t>36.8</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(37.2)</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(4.3)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600"/>
              <w:spacing w:after="0"/>
              <w:rPr>
                <w:sz w:val="20"/>
                <w:szCs w:val="20"/>
                <w:color w:val="auto"/>
              </w:rPr>
            </w:pPr>
            <w:r>
              <w:rPr>
                <w:rFonts w:ascii="Arial" w:cs="Arial" w:eastAsia="Arial" w:hAnsi="Arial"/>
                <w:sz w:val="18"/>
                <w:szCs w:val="18"/>
                <w:color w:val="auto"/>
              </w:rPr>
              <w:t>31.9</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(4.0)</w:t>
            </w:r>
          </w:p>
        </w:tc>
      </w:tr>
      <w:tr>
        <w:trPr>
          <w:trHeight w:val="230"/>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(43.1)</w:t>
            </w:r>
          </w:p>
        </w:tc>
        <w:tc>
          <w:tcPr>
            <w:tcW w:w="1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of their operations are in substantial compliance with current federal, state and local environmental standards.</w:t>
      </w:r>
    </w:p>
    <w:p>
      <w:pPr>
        <w:spacing w:after="0" w:line="190" w:lineRule="exact"/>
        <w:rPr>
          <w:sz w:val="20"/>
          <w:szCs w:val="20"/>
          <w:color w:val="auto"/>
        </w:rPr>
      </w:pPr>
    </w:p>
    <w:p>
      <w:pPr>
        <w:ind w:right="80"/>
        <w:spacing w:after="0" w:line="360"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Clean Air Act - Startup, Shutdown and Malfunction (SSM) Regulation</w:t>
      </w:r>
    </w:p>
    <w:p>
      <w:pPr>
        <w:spacing w:after="0" w:line="20"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2015, the Environmental Protection Agency (EPA) issued a final rule addressing how state implementation plans (SIPs) can treat excess emissions during SSM events. This rule was referred to as the 2015 SIP Call Rule. The rule required 36 states to submit SIP revisions by November 2016 to remove certain exemptions and other discretionary enforcement provisions that apply to excess emissions during SSM events. Legal challenges ensued and the case was eventually placed in abeyance. In December 2021, the U.S. Court of Appeals for the D.C. Circuit (D.C. Circuit) restarted the litigation and oral arguments were held in March 2022. An additional case was also taking place in the U.S. District Court for the Northern District of California (District Court of Northern California) and in June 2022, the District Court of Northern California entered a final consent decree establishing deadlines for the EPA to take final action on SIP revisions that were submitted in response to the 2015 SIP Call Rule. Deadlines for 26 states and air districts, including Kansas, Missouri and Oklahoma, are listed in the final consent decree. Final action from the EPA could result in required SIP revisions in Oklahoma, Kansas and Missouri which could have a material impact on the Evergy Companies. If the D.C. Circuit overturns the EPA's 2015 SIP Call Rule, the final consent decree's deadlines will no longer be valid.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State Implementation Plans (ITSIP)</w:t>
      </w:r>
    </w:p>
    <w:p>
      <w:pPr>
        <w:spacing w:after="0" w:line="2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In 2015, the EPA lowered the Ozone National Ambient Air Quality Standards (NAAQS) from 75 ppb to 70 ppb. Impacted states were required to submit ITSIPs in 2018 to comply with the "Good Neighbor Provisions" of the Clean Air Act (CAA). The EPA did not act on these ITSIP submissions and was challenged in a court filing in May 2021 to address them. In February 2022, the EPA published proposed disapprovals of ITSIPs for nineteen states including Missouri and Oklahoma. In April 2022, the EPA published a final approval of the Kansas ITSIP in the Federal Register. In June 2022, the Missouri Department of Natural Resources (MDNR) announced they intended to submit a supplemental ITSIP to the EPA and placed the document on public notice until August 2022. MDNR anticipates submitting the supplemental ITSIP to the EPA in the fourth quarter of 2022.</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Ozone Interstate Transport Federal Implementation Plans (ITFIP)</w:t>
      </w:r>
    </w:p>
    <w:p>
      <w:pPr>
        <w:spacing w:after="0" w:line="2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April 2022, the EPA published in the Federal Register the proposed ITFIP to resolve outstanding "Good Neighbor" obligations with respect to the 2015 Ozone NAAQS for 26 states including Missouri and Oklahoma. This ITFIP would establish a revised Cross-State Air Pollution Rule (CSAPR) ozone season nitrogen oxide (NOx) emissions trading program for electric generating units (EGUs), and limit ozone season NOx emissions from certain industrial stationary sources.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includes reductions to the state ozone season NOx budgets for Missouri and Oklahoma beginning in 2023 with additional reductions in future years. The Evergy Companies provided formal comments as part of the rulemaking process. The EPA intends to issue final ITFIP's for applicable states in March 2023. The EPA is also in the process of reconsidering its December 2020 decisions to retain the Ozone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NAAQS at the level set in 2015 and the annual and 24-hour PM2.5 NAAQS at the levels set in 2012. Due to uncertainty regarding the proposed ITFIP and potential lowering of the ozone and PM2.5 NAAQS, the Evergy Companies are unable to accurately assess the impacts of these potential EPA actions on their operations or consolidated financial results, but the cost to comply with the ITFIP and/or a lower future ozone or PM2.5 NAAQS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Regional Haze Rule</w:t>
      </w:r>
    </w:p>
    <w:p>
      <w:pPr>
        <w:spacing w:after="0" w:line="20"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 (KDHE) and MDNR as they worked to draft their SIP revisions. The Missouri SIP revision does not require any additional reductions from the Evergy Companies' generating units in the state. MDNR submitted the Missouri SIP revision to the EPA in August 2022, however, they failed to do so by the EPA's revised submittal deadline of August 15, 2022. As a result, on August 30,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KDHE submitted the Kansas SIP revision in July 2021. If a Kansas generating unit of the Evergy Companies is selected for analysis, the possibility exists that the state or EPA, through a revised SIP or a FIP, could determine that additional operational or physical modifications are required on the generating unit to further reduce emissions. The overall cost of those modifications could be material to the Evergy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20"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21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In July 2019, the EPA published the final Affordable Clean Energy (ACE) rule in the Federal Register. This rule contained emission guidelines for GHG emissions from existing electric utility generating units (EGUs) and revisions to emission guideline implementing regulations. The rule defined the "best system of emission reduction" (BSER) for GHG emissions from existing coal-fired EGUs as on-site, heat-rate efficiency improvements. In conjunction with the finalization of the ACE rule, the EPA repealed its previously adopted Clean Power Plan (CPP) on the basis that the EPA had exceeded its statutory authority under CAA section 111(d) by defining BSER through generation shifting. A number of states and industry parties filed petitions for review in the D.C. Circuit, challenging the EPA's repeal of the CPP and its enactment of the ACE rule, and in January 2021, the D.C. Circuit issued a decision holding that CAA section 111(d) could be read in a manner that allows the EPA to define BSER as including generation shifting. The D.C. Circuit therefore vacated both the EPA's repeal of the CPP and its replacement of that rule with the ACE rule, and remanded them to the EPA for further consideration. In October 2021, the Supreme Court granted petitions for certiorari to review the D.C. Circuit decision. The Supreme Court issued its decision in June 2022, reversing the D.C. Circuit's decisions and holding that, absent specific authorization from Congress, the EPA lacks authority to define BSER through generation shifting. Given that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Supreme Court found the CPP to be unlawful and that the deadlines established in the ACE rule have passed, neither rule is in effect following the Supreme Court's ruling. In June 2022, the EPA announced its intent to propose GHG regulations that would apply to EGUs by March 2023.</w:t>
      </w:r>
    </w:p>
    <w:p>
      <w:pPr>
        <w:spacing w:after="0" w:line="193" w:lineRule="exact"/>
        <w:rPr>
          <w:sz w:val="20"/>
          <w:szCs w:val="20"/>
          <w:color w:val="auto"/>
        </w:rPr>
      </w:pPr>
    </w:p>
    <w:p>
      <w:pPr>
        <w:ind w:right="760"/>
        <w:spacing w:after="0" w:line="287" w:lineRule="auto"/>
        <w:rPr>
          <w:sz w:val="20"/>
          <w:szCs w:val="20"/>
          <w:color w:val="auto"/>
        </w:rPr>
      </w:pPr>
      <w:r>
        <w:rPr>
          <w:rFonts w:ascii="Arial" w:cs="Arial" w:eastAsia="Arial" w:hAnsi="Arial"/>
          <w:sz w:val="19"/>
          <w:szCs w:val="19"/>
          <w:color w:val="auto"/>
        </w:rPr>
        <w:t>Due to uncertainty regarding the future of the EPA's GHG regulations, the Evergy Companies cannot determine the impacts on their operations or consolidated financial results, but the cost to comply with potential GHG rules could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2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release a proposed rulemaking in the fall of 2022 to address the vacated limitations for legacy wastewater and landfill leachate. Future ELG modifications for the best available technology economically achievable for the discharge of legacy wastewater and landfill leachate are likely and could be material to the Evergy Companies.</w:t>
      </w:r>
    </w:p>
    <w:p>
      <w:pPr>
        <w:spacing w:after="0" w:line="176"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In August 2021, the EPA published notice in the Federal Register that it is initiating a supplemental rulemaking to revise the ELG regulations after completing review of the ELG reconsideration rule as a result of an executive order from President Biden. As part of the rulemaking process, the EPA will determine if more stringent limitations and standards are appropriate. The 2020 ELG reconsideration rule will remain in effect while the EPA undertakes this new rulemaking.</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Evergy Companies have reviewed the 2020 ELG reconsideration regulation, and the costs to comply with these changes are not expected to be material. However, the Evergy Companies cannot predict what revisions the EPA may make under its supplemental rulemaking to revise the ELG regulations, and compliance costs associated with any revisions could be material.</w:t>
      </w:r>
    </w:p>
    <w:p>
      <w:pPr>
        <w:spacing w:after="0" w:line="173"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In August 2021, based on an order issued by the U.S. District Court for the District of Arizona, which vacated and remanded the EPA's Navigable Waters Protection Rule (NWPR), which was promulgated in 2020, the EPA and the U.S. Army Corps of Engineers announced that they had halted implementation of the NWPR nationwide, and were interpreting "Waters of the United States" consistent with the regulatory regime that was in place prior to 2015. In December 2021, the EPA and the Department of the Army published a proposed rule that would formally repeal the NWPR and revise the definition of “Waters of the United States” to restore the definitions of "Waters of the United States" that were in place prior to 2015. A final rule was expected in August 2022 but has not been issued. The Evergy Companies have reviewed the proposed rule and the impact on their operations or consolidated financial results are not expected to be material. A second rulemaking is expected in the future which will replace the NWPR. The cost to comply with any future rulemaking that replaces the NWPR could be material to the Evergy Companies.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color w:val="auto"/>
        </w:rPr>
        <w:t>the Utility Solid Waste Activities Group (USWAG) and other interested parties filed similar petitions in the D.C. Circuit challenging the EPA's legal positions regarding the CCR rule determinations proposed in January 2022. Some CCR units at Lawrence Energy Center and Sibley Generating Station have moved into corrective action. In January 2022, the EPA issued a "Notice of Potential Violation" to the Tecumseh Energy Center suggesting a closed CCR impoundment should enter corrective action. It is possible that the Tecumseh impoundment or other CCR units at other generation stations could move into corrective action based on the EPA CCR rule interpretations, enforcement actions, or execution of the Evergy Companies' CCR strategy. The cost to comply with these proposed determinations by the EPA could be material.</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The Evergy Companies have recorded Asset Retirement Obligations (AROs) for their current estimates for the closure of ash disposal ponds and landfills, but the revision of these AROs may be required in the future due to changes in existing CCR regulations, the results of groundwater monitoring of CCR units or changes in interpretation of existing CCR regulations or changes in the timing or cost to close ash disposal ponds and landfills. If revisions to these AROs are necessary, the impact on the Evergy Companies' operations or consolidated financial results could be material.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PARTY TRANSACTIONS AND RELATIONSHIPS</w:t>
      </w:r>
    </w:p>
    <w:p>
      <w:pPr>
        <w:spacing w:after="0" w:line="12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6" w:lineRule="exact"/>
        <w:rPr>
          <w:sz w:val="20"/>
          <w:szCs w:val="20"/>
          <w:color w:val="auto"/>
        </w:rPr>
      </w:pPr>
    </w:p>
    <w:p>
      <w:pPr>
        <w:jc w:val="both"/>
        <w:ind w:right="100"/>
        <w:spacing w:after="0" w:line="308"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3"/>
          </w:tcPr>
          <w:p>
            <w:pPr>
              <w:jc w:val="center"/>
              <w:ind w:left="109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left="370"/>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840" w:type="dxa"/>
            <w:vAlign w:val="bottom"/>
            <w:tcBorders>
              <w:top w:val="single" w:sz="8" w:color="auto"/>
            </w:tcBorders>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8"/>
              </w:rPr>
              <w:t>September 30</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r>
      <w:tr>
        <w:trPr>
          <w:trHeight w:val="238"/>
        </w:trPr>
        <w:tc>
          <w:tcPr>
            <w:tcW w:w="4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2021</w:t>
            </w:r>
          </w:p>
        </w:tc>
      </w:tr>
      <w:tr>
        <w:trPr>
          <w:trHeight w:val="206"/>
        </w:trPr>
        <w:tc>
          <w:tcPr>
            <w:tcW w:w="4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58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98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35.4</w:t>
            </w:r>
          </w:p>
        </w:tc>
        <w:tc>
          <w:tcPr>
            <w:tcW w:w="4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w:t>
            </w: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36.9</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6" w:lineRule="exact"/>
        <w:rPr>
          <w:sz w:val="20"/>
          <w:szCs w:val="20"/>
          <w:color w:val="auto"/>
        </w:rPr>
      </w:pPr>
    </w:p>
    <w:p>
      <w:pPr>
        <w:ind w:right="320"/>
        <w:spacing w:after="0" w:line="253"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97" w:lineRule="exact"/>
        <w:rPr>
          <w:sz w:val="20"/>
          <w:szCs w:val="20"/>
          <w:color w:val="auto"/>
        </w:rPr>
      </w:pPr>
    </w:p>
    <w:p>
      <w:pPr>
        <w:ind w:right="460"/>
        <w:spacing w:after="0" w:line="316" w:lineRule="auto"/>
        <w:rPr>
          <w:sz w:val="20"/>
          <w:szCs w:val="20"/>
          <w:color w:val="auto"/>
        </w:rPr>
      </w:pPr>
      <w:r>
        <w:rPr>
          <w:rFonts w:ascii="Arial" w:cs="Arial" w:eastAsia="Arial" w:hAnsi="Arial"/>
          <w:sz w:val="18"/>
          <w:szCs w:val="18"/>
          <w:color w:val="auto"/>
        </w:rPr>
        <w:t>At September 30, 2022, Evergy Metro had a $91.5 million outstanding receivable from Evergy Missouri West under the money pool. At December 31, 2021, Evergy Metro had a $155.0 million outstanding receivable from Evergy Missouri West under the money pool.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5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payable to Evergy</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520" w:type="dxa"/>
            <w:vAlign w:val="bottom"/>
          </w:tcPr>
          <w:p>
            <w:pPr>
              <w:spacing w:after="0"/>
              <w:rPr>
                <w:sz w:val="19"/>
                <w:szCs w:val="19"/>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7"/>
        </w:trPr>
        <w:tc>
          <w:tcPr>
            <w:tcW w:w="5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190.8</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3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2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7"/>
        </w:trPr>
        <w:tc>
          <w:tcPr>
            <w:tcW w:w="57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2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14.1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TAXES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3"/>
          </w:tcPr>
          <w:p>
            <w:pPr>
              <w:jc w:val="right"/>
              <w:ind w:right="150"/>
              <w:spacing w:after="0" w:line="191"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30"/>
              <w:spacing w:after="0" w:line="191"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6"/>
                <w:szCs w:val="16"/>
                <w:color w:val="auto"/>
              </w:rPr>
            </w:pPr>
          </w:p>
        </w:tc>
      </w:tr>
      <w:tr>
        <w:trPr>
          <w:trHeight w:val="230"/>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1"/>
              </w:rPr>
              <w:t>September 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28.5</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50.9</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55.4</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49.3</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56.8</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49.5</w:t>
            </w:r>
          </w:p>
        </w:tc>
        <w:tc>
          <w:tcPr>
            <w:tcW w:w="1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83.1</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gridSpan w:val="3"/>
          </w:tcPr>
          <w:p>
            <w:pPr>
              <w:jc w:val="center"/>
              <w:ind w:left="394"/>
              <w:spacing w:after="0" w:line="182" w:lineRule="exact"/>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center"/>
              <w:ind w:left="37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Borders>
              <w:top w:val="single" w:sz="8" w:color="auto"/>
            </w:tcBorders>
          </w:tcPr>
          <w:p>
            <w:pPr>
              <w:spacing w:after="0"/>
              <w:rPr>
                <w:sz w:val="15"/>
                <w:szCs w:val="15"/>
                <w:color w:val="auto"/>
              </w:rPr>
            </w:pPr>
          </w:p>
        </w:tc>
      </w:tr>
      <w:tr>
        <w:trPr>
          <w:trHeight w:val="234"/>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r>
      <w:tr>
        <w:trPr>
          <w:trHeight w:val="238"/>
        </w:trPr>
        <w:tc>
          <w:tcPr>
            <w:tcW w:w="5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Current income taxes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2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61.4</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State</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2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Investment tax credit</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Amortization</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2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23.5</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480"/>
        </w:trPr>
        <w:tc>
          <w:tcPr>
            <w:tcW w:w="5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5"/>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tcPr>
          <w:p>
            <w:pPr>
              <w:jc w:val="center"/>
              <w:ind w:left="374"/>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center"/>
              <w:ind w:left="37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Pr>
          <w:p>
            <w:pPr>
              <w:spacing w:after="0"/>
              <w:rPr>
                <w:sz w:val="15"/>
                <w:szCs w:val="15"/>
                <w:color w:val="auto"/>
              </w:rPr>
            </w:pPr>
          </w:p>
        </w:tc>
      </w:tr>
      <w:tr>
        <w:trPr>
          <w:trHeight w:val="234"/>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r>
      <w:tr>
        <w:trPr>
          <w:trHeight w:val="238"/>
        </w:trPr>
        <w:tc>
          <w:tcPr>
            <w:tcW w:w="5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Current income taxes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(22.5)</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200" w:type="dxa"/>
            <w:vAlign w:val="bottom"/>
            <w:tcBorders>
              <w:top w:val="single" w:sz="8" w:color="CCEEFF"/>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(20.4)</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54.3</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73.9</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22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200" w:type="dxa"/>
            <w:vAlign w:val="bottom"/>
            <w:tcBorders>
              <w:top w:val="single" w:sz="8" w:color="CCEEFF"/>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54.2</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73.8</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5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Investment tax credit amortization</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2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33.2</w:t>
            </w: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55.2</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972"/>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294"/>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6"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center"/>
              <w:ind w:left="533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ind w:left="59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1000" w:type="dxa"/>
            <w:vAlign w:val="bottom"/>
            <w:tcBorders>
              <w:top w:val="single" w:sz="8" w:color="auto"/>
            </w:tcBorders>
          </w:tcPr>
          <w:p>
            <w:pPr>
              <w:spacing w:after="0"/>
              <w:rPr>
                <w:sz w:val="15"/>
                <w:szCs w:val="15"/>
                <w:color w:val="auto"/>
              </w:rPr>
            </w:pPr>
          </w:p>
        </w:tc>
      </w:tr>
      <w:tr>
        <w:trPr>
          <w:trHeight w:val="234"/>
        </w:trPr>
        <w:tc>
          <w:tcPr>
            <w:tcW w:w="5800" w:type="dxa"/>
            <w:vAlign w:val="bottom"/>
          </w:tcPr>
          <w:p>
            <w:pPr>
              <w:spacing w:after="0"/>
              <w:rPr>
                <w:sz w:val="20"/>
                <w:szCs w:val="20"/>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20"/>
                <w:szCs w:val="20"/>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r>
      <w:tr>
        <w:trPr>
          <w:trHeight w:val="238"/>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(1.3)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(1.0)</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0.7</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0.7</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(5.6)</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(5.7)</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(5.8)</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(3.7)</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(3.1)</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(3.8)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(0.3)</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(0.6)</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(0.5)</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(0.4)</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2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0.3</w:t>
            </w: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2"/>
              </w:rPr>
              <w:t>10.3 %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11.2 %</w:t>
            </w:r>
          </w:p>
        </w:tc>
        <w:tc>
          <w:tcPr>
            <w:tcW w:w="1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9.9 %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45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4"/>
        </w:trPr>
        <w:tc>
          <w:tcPr>
            <w:tcW w:w="7500" w:type="dxa"/>
            <w:vAlign w:val="bottom"/>
            <w:gridSpan w:val="2"/>
          </w:tcPr>
          <w:p>
            <w:pPr>
              <w:jc w:val="center"/>
              <w:ind w:left="5330"/>
              <w:spacing w:after="0" w:line="184"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Pr>
          <w:p>
            <w:pPr>
              <w:spacing w:after="0"/>
              <w:rPr>
                <w:sz w:val="16"/>
                <w:szCs w:val="16"/>
                <w:color w:val="auto"/>
              </w:rPr>
            </w:pPr>
          </w:p>
        </w:tc>
        <w:tc>
          <w:tcPr>
            <w:tcW w:w="1920" w:type="dxa"/>
            <w:vAlign w:val="bottom"/>
          </w:tcPr>
          <w:p>
            <w:pPr>
              <w:jc w:val="center"/>
              <w:ind w:left="590"/>
              <w:spacing w:after="0" w:line="184" w:lineRule="exact"/>
              <w:rPr>
                <w:sz w:val="20"/>
                <w:szCs w:val="20"/>
                <w:color w:val="auto"/>
              </w:rPr>
            </w:pPr>
            <w:r>
              <w:rPr>
                <w:rFonts w:ascii="Arial" w:cs="Arial" w:eastAsia="Arial" w:hAnsi="Arial"/>
                <w:sz w:val="18"/>
                <w:szCs w:val="18"/>
                <w:b w:val="1"/>
                <w:bCs w:val="1"/>
                <w:color w:val="auto"/>
                <w:w w:val="91"/>
              </w:rPr>
              <w:t>Year to Date</w:t>
            </w:r>
          </w:p>
        </w:tc>
        <w:tc>
          <w:tcPr>
            <w:tcW w:w="1000" w:type="dxa"/>
            <w:vAlign w:val="bottom"/>
          </w:tcPr>
          <w:p>
            <w:pPr>
              <w:spacing w:after="0"/>
              <w:rPr>
                <w:sz w:val="16"/>
                <w:szCs w:val="16"/>
                <w:color w:val="auto"/>
              </w:rPr>
            </w:pPr>
          </w:p>
        </w:tc>
      </w:tr>
      <w:tr>
        <w:trPr>
          <w:trHeight w:val="230"/>
        </w:trPr>
        <w:tc>
          <w:tcPr>
            <w:tcW w:w="5800" w:type="dxa"/>
            <w:vAlign w:val="bottom"/>
          </w:tcPr>
          <w:p>
            <w:pPr>
              <w:spacing w:after="0"/>
              <w:rPr>
                <w:sz w:val="19"/>
                <w:szCs w:val="19"/>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19"/>
                <w:szCs w:val="19"/>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(2.7)</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(1.7)</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0.7</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0.5</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(3.6)</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(3.6)</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(7.7)</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(5.2)</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(0.6)</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(0.7)</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(0.5)</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(0.7)</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0.4</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0.1</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0.2</w:t>
            </w: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6.6 %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10.1 %</w:t>
            </w:r>
          </w:p>
        </w:tc>
        <w:tc>
          <w:tcPr>
            <w:tcW w:w="1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5.8 %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rPr>
              <w:t>Year to Date</w:t>
            </w:r>
          </w:p>
        </w:tc>
        <w:tc>
          <w:tcPr>
            <w:tcW w:w="1000" w:type="dxa"/>
            <w:vAlign w:val="bottom"/>
            <w:tcBorders>
              <w:top w:val="single" w:sz="8" w:color="auto"/>
            </w:tcBorders>
          </w:tcPr>
          <w:p>
            <w:pPr>
              <w:spacing w:after="0"/>
              <w:rPr>
                <w:sz w:val="15"/>
                <w:szCs w:val="15"/>
                <w:color w:val="auto"/>
              </w:rPr>
            </w:pPr>
          </w:p>
        </w:tc>
      </w:tr>
      <w:tr>
        <w:trPr>
          <w:trHeight w:val="234"/>
        </w:trPr>
        <w:tc>
          <w:tcPr>
            <w:tcW w:w="5800" w:type="dxa"/>
            <w:vAlign w:val="bottom"/>
          </w:tcPr>
          <w:p>
            <w:pPr>
              <w:spacing w:after="0"/>
              <w:rPr>
                <w:sz w:val="20"/>
                <w:szCs w:val="20"/>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September 30</w:t>
            </w:r>
          </w:p>
        </w:tc>
        <w:tc>
          <w:tcPr>
            <w:tcW w:w="8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r>
      <w:tr>
        <w:trPr>
          <w:trHeight w:val="238"/>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(0.1)</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0.7</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(6.3)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(7.8)</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(6.5)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(0.6)</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(0.4)</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(0.7)</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(0.4)</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0.4</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0.5</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7"/>
              </w:rPr>
              <w:t>(0.2)</w:t>
            </w:r>
          </w:p>
        </w:tc>
        <w:tc>
          <w:tcPr>
            <w:tcW w:w="19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(0.1)</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2"/>
              </w:rPr>
              <w:t>14.7 %</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12.7 %</w:t>
            </w:r>
          </w:p>
        </w:tc>
        <w:tc>
          <w:tcPr>
            <w:tcW w:w="1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14.1 %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55"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2021 Form 10-K. None of the registrants make any representation as to information related solely to Evergy, Evergy Kansas Central or Evergy Metro other than itself.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35"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0" w:lineRule="exact"/>
        <w:rPr>
          <w:sz w:val="20"/>
          <w:szCs w:val="20"/>
          <w:color w:val="auto"/>
        </w:rPr>
      </w:pPr>
    </w:p>
    <w:p>
      <w:pPr>
        <w:ind w:left="660" w:right="140" w:hanging="328"/>
        <w:spacing w:after="0" w:line="301"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32"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40" w:hanging="328"/>
        <w:spacing w:after="0" w:line="284"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56" w:lineRule="exact"/>
        <w:rPr>
          <w:sz w:val="20"/>
          <w:szCs w:val="20"/>
          <w:color w:val="auto"/>
        </w:rPr>
      </w:pPr>
    </w:p>
    <w:p>
      <w:pPr>
        <w:ind w:right="60"/>
        <w:spacing w:after="0" w:line="299"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Sibley Station</w:t>
      </w:r>
    </w:p>
    <w:p>
      <w:pPr>
        <w:spacing w:after="0" w:line="26"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Evergy Missouri West retired its Sibley Station in 2018 and the retirement of Sibley Unit 3 met the criteria to be considered an abandonment. Evergy has classified the remaining net book value of Sibley Unit 3 as retired generation facilities within regulatory assets on its consolidated balance sheet and as of December 31, 2021, this amount was $123.4 million. Evergy Missouri West collects a full return of and on its investment in Sibley Station in current customer rates and has requested the continued return of and on its unrecovered investment in Sibley Station as part of its current rate case with the MPSC which was filed in January 2022.</w:t>
      </w:r>
    </w:p>
    <w:p>
      <w:pPr>
        <w:spacing w:after="0" w:line="186"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In October 2019, the MPSC issued an AAO requiring Evergy Missouri West to defer to a regulatory liability all revenues collected from customers for return on investment, non-fuel operations and maintenance costs, taxes including accumulated deferred income taxes and all other costs associated with Sibley Station following its retirement in November 2018 to be considered in Evergy Missouri West's current rate case. Subsequent to the MPSC order in 2019, Evergy recorded a regulatory liability for the estimated amount of revenues that Evergy Missouri West had collected from customers for Sibley Station since December 2018 that Evergy had determined was probable of refund. This regulatory liability did not include revenues collected related to the return on investment in Sibley Station as Evergy determined that they were not probable of refund based on the relevant facts and circumstances. As of December 31, 2021, this Sibley AAO regulatory liability was $29.3 million.</w:t>
      </w:r>
    </w:p>
    <w:p>
      <w:pPr>
        <w:spacing w:after="0" w:line="176"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In the third quarter of 2022, Evergy determined that the refund of revenues collected since December 2018 for return on investment in Sibley Station was now probable based on regulatory precedent from an August 2022 MPSC decision in a similar proceeding for an unaffiliated utility and the MPSC staff's position in Evergy Missouri West's current rate case. As a result of this determination, Evergy recorded a $47.5 million decrease to operating revenues on its consolidated statements of comprehensive income for the three months ended and year to date September 30, 2022, for the deferral to its Sibley AAO regulatory liability of revenues collected from customers for return on investment in Sibley Station since December 2018. The Sibley AAO regulatory liability had a total value as of September 30, 2022 of $84.7 million.</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Based on the recent MPSC regulatory precedent, Evergy believes it is probable that the Sibley AAO regulatory liability will be offset for recovery purposes against its unrecovered investment in Sibley Unit 3 in its current rate case and as a result, has netted its Sibley AAO regulatory liability against its retired generation facilities regulatory asset for Sibley Unit 3 on its consolidated balance sheets as of September 30, 2022. Year to date September 30, 2022, the retired generation facilities regulatory asset has also been reduced by $7.1 million, primarily consisting of amortization expense equal to the depreciation expense for the asset reflected in retail rates.</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Evergy also recorded a $6.0 million estimated impairment loss on Sibley Unit 3 on its consolidated statements of comprehensive income for the three months ended and year to date September 30, 2022, as it no longer expects to earn a return on its unrecovered investment in Sibley Unit 3 based on the regulatory precedent discussed above. As of September 30, 2022, and following the netting of the Sibley AAO regulatory liability, amortization expense and the estimated impairment loss recorded in the third quarter of 2022, Evergy's retired generation facilities regulatory asset for Sibley Unit 3 was $25.6 million.</w:t>
      </w: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The final value of Evergy's retired generation facilities regulatory asset for Sibley Unit 3 and any impairment loss will be determined by the MPSC in its rate order in Evergy Missouri West's current rate case, which is currently expected in November 2022, and could differ significantly from the amounts currently recorded. See "Abandoned Plant" in Note 1 and "Evergy Missouri West Other Proceedings" in Note 4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Missouri West February 2021 Winter Weather Event Securitization</w:t>
      </w:r>
    </w:p>
    <w:p>
      <w:pPr>
        <w:spacing w:after="0" w:line="2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In March 2022, Evergy Missouri West filed a petition for a financing order with the MPSC requesting authorization to finance its extraordinary fuel and purchased power costs incurred as part of the February 2021 winter weather event, including carrying costs, through the issuance of securitized bonds. Evergy Missouri West requested to repay the securitized bonds and collect the related amounts from customers over a period of approximately 15 years from the date of issuance of the securitized bonds.</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In October 2022, the MPSC issued a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w:t>
      </w:r>
    </w:p>
    <w:p>
      <w:pPr>
        <w:spacing w:after="0" w:line="198"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In the third quarter of 2022, Evergy Missouri West recorded an increase of $15.0 million to its February 2021 winter weather event regulatory asset for the recovery of carrying charges granted in the MPSC's financing order. As of September 30, 2022, the value of Evergy Missouri West's February 2021 winter weather event regulatory asset was $303.1 million. Evergy Missouri West will continue to record carrying charges on its February 2021 winter weather event regulatory asset until it issues the securitized bonds authorized by the MPSC's financing order, which is currently expected in the first half of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Reduction Act</w:t>
      </w:r>
    </w:p>
    <w:p>
      <w:pPr>
        <w:spacing w:after="0" w:line="22"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 August 2022, the Inflation Reduction Act of 2022 (IRA) was signed into law by President Biden. The IRA extends tax credits for renewable energy technologies intended to reduce the impacts of climate change. The Production Tax Credit (PTC) and Investment Tax Credit (ITC) have been extended or reinstated for certain renewable energy projects beginning before January 1, 2025. The definition of property eligible for the ITC has been expanded to include standalone energy storage with a capacity of at least 5kWh. Both tax credits make a bonus credit available if certain prevailing wage, apprenticeship and domestic content requirements are met. The IRA modified and extended the Alternative Fuel Refueling Property Credit to include property placed in service before December 31, 2032 and it also removes the limitation per location. The IRA created a Nuclear Power Production Tax Credit for taxable years beginning on or after January 1, 2024 through December 31, 2032. For taxable years beginning after December 31, 2022, certain renewable energy tax credits may be transferred to third parties. The IRA also implemented a new 15% corporate minimum tax based on modified GAAP net income and a 1% excise tax on stock buybacks.</w:t>
      </w:r>
    </w:p>
    <w:p>
      <w:pPr>
        <w:spacing w:after="0" w:line="191"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The Evergy Companies anticipate utilizing the PTC and ITC for future renewable generation projects and are evaluating the Nuclear Power Production Tax Credit in connection with operations at Wolf Creek. The new corporate minimum tax and excise tax on stock buybacks are not expected to have a material impact on the Evergy Companies' operations or consolidated financial results and the Evergy Companies continue to evaluate the remaining IRA provisions for the effect on their future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Property Tax Tracker</w:t>
      </w:r>
    </w:p>
    <w:p>
      <w:pPr>
        <w:spacing w:after="0" w:line="26"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color w:val="auto"/>
        </w:rPr>
        <w:t>In June 2022, Missouri Senate Bill (S.B.) 745 was signed into law by the Governor of Missouri and became effective in August 2022. Among other items, S.B. 745 includes a provision requiring Missouri electric utilities to defer to a regulatory asset or regulatory liability, as appropriate, any difference between state or local property tax expenses incurred and the amounts included in rates. Any amounts deferred to a regulatory asset or liability under this provision would be included in the electric utility's revenue requirement in subsequent rate cases and recovered over a reasonable period of time to be determined by the MPSC. Evergy Metro and Evergy Missouri West began deferring the amounts associated with S.B. 745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Renewable Generation Investment</w:t>
      </w:r>
    </w:p>
    <w:p>
      <w:pPr>
        <w:spacing w:after="0" w:line="2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In August 2022, Evergy Missouri West entered into an agreement with a renewable energy development company to purchase for approximately $250 million an operational wind farm located in the state of Oklahoma with a generating capacity of approximately 199 MW. Subject to customary regulatory approvals and closing conditions, this transaction is expected to close in the first half of 2023.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Wolf Creek's most recent refueling outage began in October 2022 and the unit is expected to return to service in November 2022.</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34"/>
        </w:trPr>
        <w:tc>
          <w:tcPr>
            <w:tcW w:w="3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6"/>
              </w:rPr>
              <w:t>September 30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September 30</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3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07"/>
        </w:trPr>
        <w:tc>
          <w:tcPr>
            <w:tcW w:w="3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Arial" w:cs="Arial" w:eastAsia="Arial" w:hAnsi="Arial"/>
                <w:sz w:val="16"/>
                <w:szCs w:val="16"/>
                <w:color w:val="auto"/>
                <w:w w:val="92"/>
              </w:rPr>
              <w:t>(millions, except per share amounts)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3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bl>
    <w:p>
      <w:pPr>
        <w:spacing w:after="0" w:line="294"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Net income attributable to Evergy, Inc. decreased for the three months ended September 30, 2022, compared to the same period in 2021, primarily due to the expected refund of amounts collected from customers for the return on investment of Sibley Station, higher depreciation expense, higher unrealized losses from various equity investments and higher interest expense; partially offset by higher retail sales in the third quarter of 2022 driven by higher weather-normalized demand and favorable weather, higher transmission revenue, higher interest and dividend income and lower income tax expense.</w:t>
      </w:r>
    </w:p>
    <w:p>
      <w:pPr>
        <w:spacing w:after="0" w:line="201"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Diluted EPS decreased for the three months ended September 30, 2022, compared to the same period in 2021, primarily due to the decrease in net income attributable to Evergy, Inc. discussed above.</w:t>
      </w:r>
    </w:p>
    <w:p>
      <w:pPr>
        <w:spacing w:after="0" w:line="190" w:lineRule="exact"/>
        <w:rPr>
          <w:sz w:val="20"/>
          <w:szCs w:val="20"/>
          <w:color w:val="auto"/>
        </w:rPr>
      </w:pPr>
    </w:p>
    <w:p>
      <w:pPr>
        <w:ind w:right="180"/>
        <w:spacing w:after="0" w:line="252" w:lineRule="auto"/>
        <w:rPr>
          <w:sz w:val="20"/>
          <w:szCs w:val="20"/>
          <w:color w:val="auto"/>
        </w:rPr>
      </w:pPr>
      <w:r>
        <w:rPr>
          <w:rFonts w:ascii="Arial" w:cs="Arial" w:eastAsia="Arial" w:hAnsi="Arial"/>
          <w:sz w:val="20"/>
          <w:szCs w:val="20"/>
          <w:color w:val="auto"/>
        </w:rPr>
        <w:t>Net income attributable to Evergy, Inc. decreased year to date September 30, 2022, compared to the same period in 2021, primarily due to non-regulated energy marketing margins recognized in 2021 related to the February 2021 winter weather event, the expected refund of amounts collected from customers for the return on investment of Sibley Station, higher depreciation expense, higher property taxes, higher realized and unrealized losses from various equity investments and higher interest expense; partially offset by higher retail sales in 2022 driven by higher weather-normalized demand and favorable weather, higher transmission revenue, higher interest and dividend income and lower income tax expense.</w:t>
      </w:r>
    </w:p>
    <w:p>
      <w:pPr>
        <w:spacing w:after="0" w:line="185" w:lineRule="exact"/>
        <w:rPr>
          <w:sz w:val="20"/>
          <w:szCs w:val="20"/>
          <w:color w:val="auto"/>
        </w:rPr>
      </w:pPr>
    </w:p>
    <w:p>
      <w:pPr>
        <w:ind w:right="260"/>
        <w:spacing w:after="0" w:line="274" w:lineRule="auto"/>
        <w:rPr>
          <w:sz w:val="20"/>
          <w:szCs w:val="20"/>
          <w:color w:val="auto"/>
        </w:rPr>
      </w:pPr>
      <w:r>
        <w:rPr>
          <w:rFonts w:ascii="Arial" w:cs="Arial" w:eastAsia="Arial" w:hAnsi="Arial"/>
          <w:sz w:val="20"/>
          <w:szCs w:val="20"/>
          <w:color w:val="auto"/>
        </w:rPr>
        <w:t>Diluted EPS decreased year to date September 30, 2022, compared to the same period in 2021, primarily due to the decrease in net income attributable to Evergy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Utility Gross Margin (non-GAAP)</w:t>
      </w:r>
    </w:p>
    <w:p>
      <w:pPr>
        <w:spacing w:after="0" w:line="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40"/>
        <w:spacing w:after="0" w:line="255" w:lineRule="auto"/>
        <w:rPr>
          <w:sz w:val="20"/>
          <w:szCs w:val="20"/>
          <w:color w:val="auto"/>
        </w:rPr>
      </w:pPr>
      <w:r>
        <w:rPr>
          <w:rFonts w:ascii="Arial" w:cs="Arial" w:eastAsia="Arial" w:hAnsi="Arial"/>
          <w:sz w:val="20"/>
          <w:szCs w:val="20"/>
          <w:color w:val="auto"/>
        </w:rPr>
        <w:t>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Utility gross margin (non-GAAP) is intended to enhance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spacing w:after="0" w:line="200"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Earnings (non-GAAP) and Adjusted EPS (non-GAAP)</w:t>
      </w:r>
    </w:p>
    <w:p>
      <w:pPr>
        <w:spacing w:after="0" w:line="20"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Effective in the third quarter of 2022, the calculation of adjusted earnings (non-GAAP) and adjusted EPS (non-GAAP) excludes the revenues collected from customers for the return on investment of the retired Sibley Station in the current period and the subsequent deferral of the cumulative amount of revenues collected since December 2018 for expected future refunds to customers. See "Sibley Station" within this Executive Summary for additional information. Management believes that this is a more representative measure of Evergy's recurring earnings, assists in the comparability of results and is consistent with how management reviews performance. Evergy's adjusted earnings (non-GAAP) and adjusted EPS (non-GAAP) for the three months ended and year to date September 30, 2021 have been recast, as applicable, to conform to the current year presentation.</w:t>
      </w:r>
    </w:p>
    <w:p>
      <w:pPr>
        <w:spacing w:after="0" w:line="193" w:lineRule="exact"/>
        <w:rPr>
          <w:sz w:val="20"/>
          <w:szCs w:val="20"/>
          <w:color w:val="auto"/>
        </w:rPr>
      </w:pPr>
    </w:p>
    <w:p>
      <w:pPr>
        <w:ind w:right="360"/>
        <w:spacing w:after="0" w:line="251" w:lineRule="auto"/>
        <w:rPr>
          <w:sz w:val="20"/>
          <w:szCs w:val="20"/>
          <w:color w:val="auto"/>
        </w:rPr>
      </w:pPr>
      <w:r>
        <w:rPr>
          <w:rFonts w:ascii="Arial" w:cs="Arial" w:eastAsia="Arial" w:hAnsi="Arial"/>
          <w:sz w:val="20"/>
          <w:szCs w:val="20"/>
          <w:color w:val="auto"/>
        </w:rPr>
        <w:t>Evergy's adjusted earnings (non-GAAP) and adjusted EPS (non-GAAP) for the three months ended and year to date September 30, 2022, were $462.3 million or $2.01 per share and $789.7 million or $3.43 per share, respectively. For the three months ended and year to date September 30, 2021, Evergy's adjusted earnings (non-GAAP) and adjusted EPS (non-GAAP) were $452.4 million or $1.97 per share and $768.1 million or $3.35 per share, respectively.</w:t>
      </w:r>
    </w:p>
    <w:p>
      <w:pPr>
        <w:spacing w:after="0" w:line="19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addition to net income attributable to Evergy, Inc. and diluted EPS, Evergy's management uses adjusted earnings (non-GAAP) and adjusted EPS (non-GAAP) to evaluate earnings and EPS without i.) the income or costs resulting from non-regulated energy marketing margins from the February 2021 winter weather event; ii.) gains or losses related to equity investments subject to a restriction on sale; iii.) the revenues collected from customers for the return on investment of the retired Sibley Station in the current period and the subsequent deferral of the cumulative amount of revenues collected since December 2018 for expected future refunds to customers; iv.) the estimated impairment loss on Sibley Unit 3; v.) the mark-to-market impacts of economic hedges related to Evergy Kansas Central's non-regulated 8% ownership share of Jeffrey Energy Center; and vi.) costs resulting from executive transition, severance and advisor expenses.</w:t>
      </w:r>
    </w:p>
    <w:p>
      <w:pPr>
        <w:spacing w:after="0" w:line="162"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other companies' presentations or more useful than the GAAP information provided elsewhere in this report.</w:t>
      </w:r>
    </w:p>
    <w:p>
      <w:pPr>
        <w:spacing w:after="0" w:line="22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(d)</w:t>
            </w:r>
          </w:p>
        </w:tc>
        <w:tc>
          <w:tcPr>
            <w:tcW w:w="8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(g)</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Estimated impairment loss on Sibley Unit 3, pre-tax</w:t>
            </w:r>
            <w:r>
              <w:rPr>
                <w:rFonts w:ascii="Arial" w:cs="Arial" w:eastAsia="Arial" w:hAnsi="Arial"/>
                <w:sz w:val="23"/>
                <w:szCs w:val="23"/>
                <w:color w:val="auto"/>
                <w:vertAlign w:val="superscript"/>
              </w:rPr>
              <w:t>(h)</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(j)</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80"/>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Sibley Station return on investment,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Mark-to-market impact of JEC economic hedges,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80"/>
              <w:spacing w:after="0" w:line="243"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(d)</w:t>
            </w:r>
          </w:p>
        </w:tc>
        <w:tc>
          <w:tcPr>
            <w:tcW w:w="8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(g)</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Estimated impairment loss on Sibley Unit 3, pre-tax</w:t>
            </w:r>
            <w:r>
              <w:rPr>
                <w:rFonts w:ascii="Arial" w:cs="Arial" w:eastAsia="Arial" w:hAnsi="Arial"/>
                <w:sz w:val="23"/>
                <w:szCs w:val="23"/>
                <w:color w:val="auto"/>
                <w:vertAlign w:val="superscript"/>
              </w:rPr>
              <w:t>(h)</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Restricted equity investment losses, pre-tax</w:t>
            </w:r>
            <w:r>
              <w:rPr>
                <w:rFonts w:ascii="Arial" w:cs="Arial" w:eastAsia="Arial" w:hAnsi="Arial"/>
                <w:sz w:val="23"/>
                <w:szCs w:val="23"/>
                <w:color w:val="auto"/>
                <w:vertAlign w:val="superscript"/>
              </w:rPr>
              <w:t>(i)</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(j)</w:t>
            </w: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2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220" w:hanging="172"/>
        <w:spacing w:after="0" w:line="248"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revenues collected from customers for the return on investment of the retired Sibley Station in the current period and the subsequent deferral of the cumulative amount of revenues collected since December 2018 for expected future refunds to customers and are included in operating revenues on the consolidated statements of comprehensive income.</w:t>
      </w:r>
    </w:p>
    <w:p>
      <w:pPr>
        <w:spacing w:after="0" w:line="1" w:lineRule="exact"/>
        <w:rPr>
          <w:rFonts w:ascii="Arial" w:cs="Arial" w:eastAsia="Arial" w:hAnsi="Arial"/>
          <w:sz w:val="19"/>
          <w:szCs w:val="19"/>
          <w:color w:val="auto"/>
          <w:vertAlign w:val="superscript"/>
        </w:rPr>
      </w:pPr>
    </w:p>
    <w:p>
      <w:pPr>
        <w:ind w:left="180" w:right="180" w:hanging="172"/>
        <w:spacing w:after="0" w:line="253" w:lineRule="auto"/>
        <w:tabs>
          <w:tab w:leader="none" w:pos="175"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Reflects mark to market gains or losses related to forward contracts for natural gas and electricity entered into as economic hedges against fuel price volatility related to Evergy Kansas Central's non-regulated 8% ownership share of JEC and are included in operating revenues on the consolidated statements of comprehensive income.</w:t>
      </w:r>
    </w:p>
    <w:p>
      <w:pPr>
        <w:ind w:left="180" w:right="160" w:hanging="172"/>
        <w:spacing w:after="0"/>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and are included in operating and maintenance expense on the consolidated statements of comprehensive income.</w:t>
      </w:r>
    </w:p>
    <w:p>
      <w:pPr>
        <w:ind w:left="180" w:right="20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120" w:hanging="172"/>
        <w:spacing w:after="0" w:line="215" w:lineRule="auto"/>
        <w:tabs>
          <w:tab w:leader="none" w:pos="17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80" w:hanging="172"/>
        <w:spacing w:after="0"/>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80" w:right="200" w:hanging="172"/>
        <w:spacing w:after="0" w:line="238"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the estimated impairment loss on Sibley Unit 3 and is included in estimated impairment loss on Sibley Unit 3 on the consolidated statements of comprehensive income.</w:t>
      </w:r>
    </w:p>
    <w:p>
      <w:pPr>
        <w:ind w:left="180" w:right="240" w:hanging="172"/>
        <w:spacing w:after="0" w:line="220" w:lineRule="auto"/>
        <w:tabs>
          <w:tab w:leader="none" w:pos="17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losses related to equity investments which were subject to a restriction on sale and are included in investment earnings (loss) on the consolidated statements of comprehensive income.</w:t>
      </w:r>
    </w:p>
    <w:p>
      <w:pPr>
        <w:spacing w:after="0" w:line="1" w:lineRule="exact"/>
        <w:rPr>
          <w:rFonts w:ascii="Arial" w:cs="Arial" w:eastAsia="Arial" w:hAnsi="Arial"/>
          <w:sz w:val="21"/>
          <w:szCs w:val="21"/>
          <w:color w:val="auto"/>
          <w:vertAlign w:val="superscript"/>
        </w:rPr>
      </w:pPr>
    </w:p>
    <w:p>
      <w:pPr>
        <w:ind w:left="160" w:hanging="152"/>
        <w:spacing w:after="0" w:line="191" w:lineRule="auto"/>
        <w:tabs>
          <w:tab w:leader="none" w:pos="16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an income tax effect calculated at a statutory rate of approximately 22%, with the exception of certain non-deductible items.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environmental matters.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Year to Date</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9"/>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September 30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1,909.1</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1,616.5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4,579.5</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4,464.6</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643.0</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287.2</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355.8</w:t>
            </w:r>
          </w:p>
        </w:tc>
        <w:tc>
          <w:tcPr>
            <w:tcW w:w="4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1,366.3</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1,275.0</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266.2</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265.2</w:t>
            </w:r>
          </w:p>
        </w:tc>
        <w:tc>
          <w:tcPr>
            <w:tcW w:w="4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801.2</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800.6</w:t>
            </w: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694.3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100.7</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4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302.9</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impairment loss on Sibley Unit 3</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578.4</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600.7</w:t>
            </w:r>
          </w:p>
        </w:tc>
        <w:tc>
          <w:tcPr>
            <w:tcW w:w="4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1,167.0</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1,213.7</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293.4</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188"/>
        </w:trPr>
        <w:tc>
          <w:tcPr>
            <w:tcW w:w="4000" w:type="dxa"/>
            <w:vAlign w:val="bottom"/>
          </w:tcPr>
          <w:p>
            <w:pPr>
              <w:ind w:left="20"/>
              <w:spacing w:after="0" w:line="189"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754.4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r>
      <w:tr>
        <w:trPr>
          <w:trHeight w:val="188"/>
        </w:trPr>
        <w:tc>
          <w:tcPr>
            <w:tcW w:w="4000" w:type="dxa"/>
            <w:vAlign w:val="bottom"/>
          </w:tcPr>
          <w:p>
            <w:pPr>
              <w:ind w:left="20"/>
              <w:spacing w:after="0" w:line="189"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428.2</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449.4</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745.2</w:t>
            </w:r>
          </w:p>
        </w:tc>
        <w:tc>
          <w:tcPr>
            <w:tcW w:w="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Gross Margin (GAAP) and Utility Gross Margin (non-GAAP)</w:t>
      </w:r>
    </w:p>
    <w:p>
      <w:pPr>
        <w:spacing w:after="0" w:line="26" w:lineRule="exact"/>
        <w:rPr>
          <w:sz w:val="20"/>
          <w:szCs w:val="20"/>
          <w:color w:val="auto"/>
        </w:rPr>
      </w:pPr>
    </w:p>
    <w:p>
      <w:pPr>
        <w:ind w:left="1" w:right="140"/>
        <w:spacing w:after="0" w:line="253" w:lineRule="auto"/>
        <w:rPr>
          <w:sz w:val="20"/>
          <w:szCs w:val="20"/>
          <w:color w:val="auto"/>
        </w:rPr>
      </w:pPr>
      <w:r>
        <w:rPr>
          <w:rFonts w:ascii="Arial" w:cs="Arial" w:eastAsia="Arial" w:hAnsi="Arial"/>
          <w:sz w:val="20"/>
          <w:szCs w:val="20"/>
          <w:color w:val="auto"/>
        </w:rPr>
        <w:t>The following tables summarize Evergy's gross margin (GAAP) and MWhs sold and reconciles Evergy's gross margin (GAAP) to Evergy's utility gross margin (non-GAAP). See "Executive Summary - Non-GAAP Measures", above for additional information regarding gross margin (GAAP) and utility gross margin (non-GAAP).</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5,245</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5,277</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131</w:t>
            </w:r>
          </w:p>
        </w:tc>
        <w:tc>
          <w:tcPr>
            <w:tcW w:w="840" w:type="dxa"/>
            <w:vAlign w:val="bottom"/>
          </w:tcPr>
          <w:p>
            <w:pPr>
              <w:jc w:val="right"/>
              <w:spacing w:after="0"/>
              <w:rPr>
                <w:sz w:val="20"/>
                <w:szCs w:val="20"/>
                <w:color w:val="auto"/>
              </w:rPr>
            </w:pPr>
            <w:r>
              <w:rPr>
                <w:rFonts w:ascii="Arial" w:cs="Arial" w:eastAsia="Arial" w:hAnsi="Arial"/>
                <w:sz w:val="18"/>
                <w:szCs w:val="18"/>
                <w:color w:val="auto"/>
              </w:rPr>
              <w:t>5,146</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2,357</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1,488.5</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110.9</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12,912</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306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12,606</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250.6</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5,591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(292)</w:t>
            </w:r>
          </w:p>
        </w:tc>
        <w:tc>
          <w:tcPr>
            <w:tcW w:w="840" w:type="dxa"/>
            <w:vAlign w:val="bottom"/>
          </w:tcPr>
          <w:p>
            <w:pPr>
              <w:jc w:val="right"/>
              <w:spacing w:after="0"/>
              <w:rPr>
                <w:sz w:val="20"/>
                <w:szCs w:val="20"/>
                <w:color w:val="auto"/>
              </w:rPr>
            </w:pPr>
            <w:r>
              <w:rPr>
                <w:rFonts w:ascii="Arial" w:cs="Arial" w:eastAsia="Arial" w:hAnsi="Arial"/>
                <w:sz w:val="18"/>
                <w:szCs w:val="18"/>
                <w:color w:val="auto"/>
              </w:rPr>
              <w:t>5,883</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1,909.1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18,503</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711.8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1,187.1</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$127.4 million and $130.8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62" w:name="page63"/>
    <w:bookmarkEnd w:id="62"/>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49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20" w:type="dxa"/>
            <w:vAlign w:val="bottom"/>
            <w:tcBorders>
              <w:top w:val="single" w:sz="8" w:color="auto"/>
            </w:tcBorders>
          </w:tcPr>
          <w:p>
            <w:pPr>
              <w:spacing w:after="0"/>
              <w:rPr>
                <w:sz w:val="21"/>
                <w:szCs w:val="21"/>
                <w:color w:val="auto"/>
              </w:rPr>
            </w:pPr>
          </w:p>
        </w:tc>
      </w:tr>
      <w:tr>
        <w:trPr>
          <w:trHeight w:val="23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Change</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2021</w:t>
            </w:r>
          </w:p>
        </w:tc>
        <w:tc>
          <w:tcPr>
            <w:tcW w:w="10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1,711.8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177.9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1,533.9</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12,934</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1,452.3</w:t>
            </w:r>
          </w:p>
        </w:tc>
        <w:tc>
          <w:tcPr>
            <w:tcW w:w="2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158.8</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1,293.5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13,921</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13,538</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68.0</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6,677</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1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4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3,661.5</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358.4</w:t>
            </w:r>
          </w:p>
        </w:tc>
        <w:tc>
          <w:tcPr>
            <w:tcW w:w="3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3,303.1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33,630</w:t>
            </w:r>
          </w:p>
        </w:tc>
        <w:tc>
          <w:tcPr>
            <w:tcW w:w="11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32,616</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382.0</w:t>
            </w:r>
          </w:p>
        </w:tc>
        <w:tc>
          <w:tcPr>
            <w:tcW w:w="2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(280.5)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662.5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13,863</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776</w:t>
            </w:r>
          </w:p>
        </w:tc>
        <w:tc>
          <w:tcPr>
            <w:tcW w:w="820" w:type="dxa"/>
            <w:vAlign w:val="bottom"/>
          </w:tcPr>
          <w:p>
            <w:pPr>
              <w:jc w:val="right"/>
              <w:spacing w:after="0"/>
              <w:rPr>
                <w:sz w:val="20"/>
                <w:szCs w:val="20"/>
                <w:color w:val="auto"/>
              </w:rPr>
            </w:pPr>
            <w:r>
              <w:rPr>
                <w:rFonts w:ascii="Arial" w:cs="Arial" w:eastAsia="Arial" w:hAnsi="Arial"/>
                <w:sz w:val="18"/>
                <w:szCs w:val="18"/>
                <w:color w:val="auto"/>
              </w:rPr>
              <w:t>13,087</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300.3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235.7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4,579.5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114.9</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4,464.6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47,493</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w w:val="94"/>
              </w:rPr>
              <w:t>(1,366.3)</w:t>
            </w:r>
          </w:p>
        </w:tc>
        <w:tc>
          <w:tcPr>
            <w:tcW w:w="2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(91.3)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(1,275.0)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(411.2)</w:t>
            </w:r>
          </w:p>
        </w:tc>
        <w:tc>
          <w:tcPr>
            <w:tcW w:w="24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(694.3)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(302.9)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1,563.0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(62.6)</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Operating and maintenance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411.2</w:t>
            </w:r>
          </w:p>
        </w:tc>
        <w:tc>
          <w:tcPr>
            <w:tcW w:w="24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694.3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24.8</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302.9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2,971.4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2,972.8</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40" w:hanging="161"/>
        <w:spacing w:after="0" w:line="225" w:lineRule="auto"/>
        <w:tabs>
          <w:tab w:leader="none" w:pos="156"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$390.0 million and $411.9 million year to date September 30, 2022 and 2021, respectively.</w:t>
      </w:r>
    </w:p>
    <w:p>
      <w:pPr>
        <w:spacing w:after="0" w:line="289" w:lineRule="exact"/>
        <w:rPr>
          <w:sz w:val="20"/>
          <w:szCs w:val="20"/>
          <w:color w:val="auto"/>
        </w:rPr>
      </w:pPr>
    </w:p>
    <w:p>
      <w:pPr>
        <w:ind w:left="1"/>
        <w:spacing w:after="0" w:line="264" w:lineRule="auto"/>
        <w:rPr>
          <w:sz w:val="20"/>
          <w:szCs w:val="20"/>
          <w:color w:val="auto"/>
        </w:rPr>
      </w:pPr>
      <w:r>
        <w:rPr>
          <w:rFonts w:ascii="Arial" w:cs="Arial" w:eastAsia="Arial" w:hAnsi="Arial"/>
          <w:sz w:val="20"/>
          <w:szCs w:val="20"/>
          <w:color w:val="auto"/>
        </w:rPr>
        <w:t>Evergy's gross margin (GAAP) decreased $19.7 million for the three months ended September 30, 2022, compared to the same period in 2021 and Evergy's utility gross margin (non-GAAP) decreased $2.6 million for the three months ended September 30, 2022, compared to the same period in 2021, both measures were driven by:</w:t>
      </w:r>
    </w:p>
    <w:p>
      <w:pPr>
        <w:spacing w:after="0" w:line="65" w:lineRule="exact"/>
        <w:rPr>
          <w:sz w:val="20"/>
          <w:szCs w:val="20"/>
          <w:color w:val="auto"/>
        </w:rPr>
      </w:pPr>
    </w:p>
    <w:p>
      <w:pPr>
        <w:ind w:left="661" w:right="360" w:hanging="328"/>
        <w:spacing w:after="0" w:line="332"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$47.5 million decrease due to the deferral of revenues in the third quarter of 2022 for the expected refund of amounts collected from customers since December 2018 for the return on investment of the retired Sibley Station; partially offset by</w:t>
      </w:r>
    </w:p>
    <w:p>
      <w:pPr>
        <w:spacing w:after="0" w:line="7" w:lineRule="exact"/>
        <w:rPr>
          <w:rFonts w:ascii="Arial" w:cs="Arial" w:eastAsia="Arial" w:hAnsi="Arial"/>
          <w:sz w:val="18"/>
          <w:szCs w:val="18"/>
          <w:color w:val="auto"/>
        </w:rPr>
      </w:pPr>
    </w:p>
    <w:p>
      <w:pPr>
        <w:ind w:left="661" w:right="400" w:hanging="328"/>
        <w:spacing w:after="0" w:line="274" w:lineRule="auto"/>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$33.9 million increase primarily due to higher retail sales driven by higher weather-normalized demand and favorable weather (cooling degree days increased by 3%); and</w:t>
      </w:r>
    </w:p>
    <w:p>
      <w:pPr>
        <w:spacing w:after="0" w:line="55" w:lineRule="exact"/>
        <w:rPr>
          <w:rFonts w:ascii="Arial" w:cs="Arial" w:eastAsia="Arial" w:hAnsi="Arial"/>
          <w:sz w:val="20"/>
          <w:szCs w:val="20"/>
          <w:color w:val="auto"/>
        </w:rPr>
      </w:pPr>
    </w:p>
    <w:p>
      <w:pPr>
        <w:ind w:left="661" w:right="200" w:hanging="328"/>
        <w:spacing w:after="0" w:line="274" w:lineRule="auto"/>
        <w:tabs>
          <w:tab w:leader="none" w:pos="649"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$11.0 million increase in transmission revenue primarily due to updated transmission costs reflected in Evergy Kansas Central's FERC TFR effective in January 2022.</w:t>
      </w:r>
    </w:p>
    <w:p>
      <w:pPr>
        <w:spacing w:after="0" w:line="69"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Evergy's gross margin (GAAP) was also driven by:</w:t>
      </w:r>
    </w:p>
    <w:p>
      <w:pPr>
        <w:spacing w:after="0" w:line="108" w:lineRule="exact"/>
        <w:rPr>
          <w:sz w:val="20"/>
          <w:szCs w:val="20"/>
          <w:color w:val="auto"/>
        </w:rPr>
      </w:pPr>
    </w:p>
    <w:p>
      <w:pPr>
        <w:ind w:left="661" w:right="40" w:hanging="328"/>
        <w:spacing w:after="0" w:line="255" w:lineRule="auto"/>
        <w:tabs>
          <w:tab w:leader="none" w:pos="649"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$4.4 million increase in operating and maintenance expenses which are determined to be directly attributable to revenue producing activities primarily driven by a $7.9 million increase in transmission and distribution operating and maintenance expenses, partially offset by a $2.1 million decrease in plant operating and maintenance expense at fossil-fuel generating units as further described below;</w:t>
      </w:r>
    </w:p>
    <w:p>
      <w:pPr>
        <w:spacing w:after="0" w:line="89" w:lineRule="exact"/>
        <w:rPr>
          <w:rFonts w:ascii="Arial" w:cs="Arial" w:eastAsia="Arial" w:hAnsi="Arial"/>
          <w:sz w:val="20"/>
          <w:szCs w:val="20"/>
          <w:color w:val="auto"/>
        </w:rPr>
      </w:pPr>
    </w:p>
    <w:p>
      <w:pPr>
        <w:ind w:left="641" w:hanging="308"/>
        <w:spacing w:after="0"/>
        <w:tabs>
          <w:tab w:leader="none" w:pos="641"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$8.2 million increase in depreciation and amortization as further described below; and</w:t>
      </w:r>
    </w:p>
    <w:p>
      <w:pPr>
        <w:spacing w:after="0" w:line="107" w:lineRule="exact"/>
        <w:rPr>
          <w:rFonts w:ascii="Arial" w:cs="Arial" w:eastAsia="Arial" w:hAnsi="Arial"/>
          <w:sz w:val="20"/>
          <w:szCs w:val="20"/>
          <w:color w:val="auto"/>
        </w:rPr>
      </w:pPr>
    </w:p>
    <w:p>
      <w:pPr>
        <w:ind w:left="641" w:hanging="308"/>
        <w:spacing w:after="0"/>
        <w:tabs>
          <w:tab w:leader="none" w:pos="641"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$4.5 million increase in taxes other than income taxes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63" w:name="page64"/>
    <w:bookmarkEnd w:id="6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Evergy's gross margin (GAAP) decreased $62.6 million year to date September 30, 2022, compared to the same period in 2021 and Evergy's utility gross margin (non-GAAP) decreased $1.4 million year to date September 30, 2022, compared to the same period in 2021, both measures were driven by:</w:t>
      </w:r>
    </w:p>
    <w:p>
      <w:pPr>
        <w:spacing w:after="0" w:line="85" w:lineRule="exact"/>
        <w:rPr>
          <w:sz w:val="20"/>
          <w:szCs w:val="20"/>
          <w:color w:val="auto"/>
        </w:rPr>
      </w:pPr>
    </w:p>
    <w:p>
      <w:pPr>
        <w:ind w:left="660" w:right="28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$97.1 million decrease in non-regulated energy marketing margins recognized at Evergy Kansas Central related to the February 2021 winter weather event;</w:t>
      </w:r>
    </w:p>
    <w:p>
      <w:pPr>
        <w:spacing w:after="0" w:line="82" w:lineRule="exact"/>
        <w:rPr>
          <w:rFonts w:ascii="Arial" w:cs="Arial" w:eastAsia="Arial" w:hAnsi="Arial"/>
          <w:sz w:val="20"/>
          <w:szCs w:val="20"/>
          <w:color w:val="auto"/>
        </w:rPr>
      </w:pPr>
    </w:p>
    <w:p>
      <w:pPr>
        <w:ind w:left="660" w:right="340" w:hanging="328"/>
        <w:spacing w:after="0" w:line="301" w:lineRule="auto"/>
        <w:tabs>
          <w:tab w:leader="none" w:pos="6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$47.5 million decrease due to the deferral of revenues in the third quarter of 2022 for the expected refund of amounts collected from customers since December 2018 for the return on investment of the retired Sibley Station; and</w:t>
      </w:r>
    </w:p>
    <w:p>
      <w:pPr>
        <w:spacing w:after="0" w:line="32" w:lineRule="exact"/>
        <w:rPr>
          <w:rFonts w:ascii="Arial" w:cs="Arial" w:eastAsia="Arial" w:hAnsi="Arial"/>
          <w:sz w:val="19"/>
          <w:szCs w:val="19"/>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$1.6 million net decrease due to other impacts from the February 2021 winter weather event driven by:</w:t>
      </w:r>
    </w:p>
    <w:p>
      <w:pPr>
        <w:spacing w:after="0" w:line="121" w:lineRule="exact"/>
        <w:rPr>
          <w:rFonts w:ascii="Arial" w:cs="Arial" w:eastAsia="Arial" w:hAnsi="Arial"/>
          <w:sz w:val="20"/>
          <w:szCs w:val="20"/>
          <w:color w:val="auto"/>
        </w:rPr>
      </w:pPr>
    </w:p>
    <w:p>
      <w:pPr>
        <w:ind w:left="1300" w:hanging="320"/>
        <w:spacing w:after="0" w:line="287" w:lineRule="auto"/>
        <w:tabs>
          <w:tab w:leader="none" w:pos="1289"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$33.9 million decrease at Evergy Kansas Central driven by higher wholesale sales at its non-regulated 8% ownership share of JEC due to higher wholesale sale prices and MWhs sold in February 2021; partially offset by</w:t>
      </w:r>
    </w:p>
    <w:p>
      <w:pPr>
        <w:spacing w:after="0" w:line="57" w:lineRule="exact"/>
        <w:rPr>
          <w:rFonts w:ascii="Arial" w:cs="Arial" w:eastAsia="Arial" w:hAnsi="Arial"/>
          <w:sz w:val="19"/>
          <w:szCs w:val="19"/>
          <w:color w:val="auto"/>
        </w:rPr>
      </w:pPr>
    </w:p>
    <w:p>
      <w:pPr>
        <w:ind w:left="1300" w:right="300" w:hanging="320"/>
        <w:spacing w:after="0" w:line="257" w:lineRule="auto"/>
        <w:tabs>
          <w:tab w:leader="none" w:pos="1289" w:val="left"/>
        </w:tabs>
        <w:numPr>
          <w:ilvl w:val="1"/>
          <w:numId w:val="17"/>
        </w:numPr>
        <w:rPr>
          <w:rFonts w:ascii="Arial" w:cs="Arial" w:eastAsia="Arial" w:hAnsi="Arial"/>
          <w:sz w:val="20"/>
          <w:szCs w:val="20"/>
          <w:color w:val="auto"/>
        </w:rPr>
      </w:pPr>
      <w:r>
        <w:rPr>
          <w:rFonts w:ascii="Arial" w:cs="Arial" w:eastAsia="Arial" w:hAnsi="Arial"/>
          <w:sz w:val="20"/>
          <w:szCs w:val="20"/>
          <w:color w:val="auto"/>
        </w:rPr>
        <w:t>a $20.9 million increase at Evergy Missouri West driven by $14.7 million of increased fuel and purchased power costs in February 2021 that are not currently recoverable from customers through its fuel recovery mechanism and $6.2 million related to a special requirements contract with an industrial customer; and</w:t>
      </w:r>
    </w:p>
    <w:p>
      <w:pPr>
        <w:spacing w:after="0" w:line="84" w:lineRule="exact"/>
        <w:rPr>
          <w:rFonts w:ascii="Arial" w:cs="Arial" w:eastAsia="Arial" w:hAnsi="Arial"/>
          <w:sz w:val="20"/>
          <w:szCs w:val="20"/>
          <w:color w:val="auto"/>
        </w:rPr>
      </w:pPr>
    </w:p>
    <w:p>
      <w:pPr>
        <w:ind w:left="1300" w:hanging="320"/>
        <w:spacing w:after="0" w:line="257" w:lineRule="auto"/>
        <w:tabs>
          <w:tab w:leader="none" w:pos="1289"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 $11.4 million increase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84"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$111.2 million increase primarily due to higher retail sales driven by higher weather-normalized demand and favorable weather (cooling degree days increased by 7% and heating degree days increased by 2%); and</w:t>
      </w:r>
    </w:p>
    <w:p>
      <w:pPr>
        <w:spacing w:after="0" w:line="82"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$33.6 million increase in transmission revenue primarily due to updated transmission costs reflected in Evergy Kansas Central's FERC TFR effective in January 2022.</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Additionally, the decrease in Evergy's gross margin (GAAP) was also driven by:</w:t>
      </w:r>
    </w:p>
    <w:p>
      <w:pPr>
        <w:spacing w:after="0" w:line="108" w:lineRule="exact"/>
        <w:rPr>
          <w:sz w:val="20"/>
          <w:szCs w:val="20"/>
          <w:color w:val="auto"/>
        </w:rPr>
      </w:pPr>
    </w:p>
    <w:p>
      <w:pPr>
        <w:ind w:left="660" w:right="580" w:hanging="328"/>
        <w:spacing w:after="0" w:line="25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$22.5 million increase in operating and maintenance expenses which are determined to be directly attributable to revenue producing activities primarily driven by a $13.7 million increase in transmission and distribution operating and maintenance expenses and a $9.1 million increase in plant and operating and maintenance expense at fossil-fuel generating units as further described below;</w:t>
      </w:r>
    </w:p>
    <w:p>
      <w:pPr>
        <w:spacing w:after="0" w:line="89"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$24.8 million increase in depreciation and amortization as further described below;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$13.9 million increase in taxes other than income taxes as further described below.</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Evergy's operating and maintenance expense increased $1.0 million for the three months ended September 30, 2022, compared to the same period in 2021, primarily driven by:</w:t>
      </w:r>
    </w:p>
    <w:p>
      <w:pPr>
        <w:spacing w:after="0" w:line="88" w:lineRule="exact"/>
        <w:rPr>
          <w:sz w:val="20"/>
          <w:szCs w:val="20"/>
          <w:color w:val="auto"/>
        </w:rPr>
      </w:pPr>
    </w:p>
    <w:p>
      <w:pPr>
        <w:ind w:left="660" w:right="40" w:hanging="328"/>
        <w:spacing w:after="0" w:line="257"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$7.9 million increase in transmission and distribution operating and maintenance expenses primarily at Evergy Kansas Central and Evergy Missouri West driven by higher contractor costs and a $4.9 million increase in vegetation management costs in 2022; partially offset by</w:t>
      </w:r>
    </w:p>
    <w:p>
      <w:pPr>
        <w:spacing w:after="0" w:line="84"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$2.6 million decrease in costs recorded in the third quarter of 2022 associated with executive transition, including inducement bonuses, severance agreements and other transition expenses;</w:t>
      </w:r>
    </w:p>
    <w:p>
      <w:pPr>
        <w:spacing w:after="0" w:line="82"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$2.1 million decrease in plant operating and maintenance expense at fossil-fuel generating units primarily due to a $1.6 million decrease at Evergy Metro; and</w:t>
      </w:r>
    </w:p>
    <w:p>
      <w:pPr>
        <w:spacing w:after="0" w:line="82" w:lineRule="exact"/>
        <w:rPr>
          <w:rFonts w:ascii="Arial" w:cs="Arial" w:eastAsia="Arial" w:hAnsi="Arial"/>
          <w:sz w:val="20"/>
          <w:szCs w:val="20"/>
          <w:color w:val="auto"/>
        </w:rPr>
      </w:pPr>
    </w:p>
    <w:p>
      <w:pPr>
        <w:ind w:left="660" w:right="560" w:hanging="328"/>
        <w:spacing w:after="0" w:line="27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$1.6 million decrease in costs incurred in the third quarter of 2022 at Evergy Kansas Central related to non-regulated energy marketing margins recognized during the February 2021 winter weather event.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4" w:name="page65"/>
    <w:bookmarkEnd w:id="6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Evergy's operating and maintenance expense increased $0.6 million year to date September 30, 2022, compared to the same period in 2021, primarily driven by:</w:t>
      </w:r>
    </w:p>
    <w:p>
      <w:pPr>
        <w:spacing w:after="0" w:line="55" w:lineRule="exact"/>
        <w:rPr>
          <w:sz w:val="20"/>
          <w:szCs w:val="20"/>
          <w:color w:val="auto"/>
        </w:rPr>
      </w:pPr>
    </w:p>
    <w:p>
      <w:pPr>
        <w:ind w:left="660" w:right="300" w:hanging="328"/>
        <w:spacing w:after="0" w:line="257"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$13.7 million increase in transmission and distribution operating and maintenance expenses at Evergy Kansas Central, Evergy Metro and Evergy Missouri West driven by higher contractor costs and a $5.8 million increase in vegetation management costs in 2022;</w:t>
      </w:r>
    </w:p>
    <w:p>
      <w:pPr>
        <w:spacing w:after="0" w:line="84" w:lineRule="exact"/>
        <w:rPr>
          <w:rFonts w:ascii="Arial" w:cs="Arial" w:eastAsia="Arial" w:hAnsi="Arial"/>
          <w:sz w:val="20"/>
          <w:szCs w:val="20"/>
          <w:color w:val="auto"/>
        </w:rPr>
      </w:pPr>
    </w:p>
    <w:p>
      <w:pPr>
        <w:ind w:left="660" w:right="80" w:hanging="328"/>
        <w:spacing w:after="0" w:line="257"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$9.1 million increase in plant operating and maintenance expense at fossil-fuel generating units primarily due to a $4.5 million increase at Evergy Kansas Central driven by major maintenance outages at JEC in 2022 and a $3.8 million increase at Evergy Metro driven by major maintenance outages at Iatan Unit 1 and La Cygne Unit 2 in 2022;</w:t>
      </w:r>
    </w:p>
    <w:p>
      <w:pPr>
        <w:spacing w:after="0" w:line="84"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$4.3 million increase in program costs for energy efficiency programs under MEEIA in 2022, which have a direct offset in revenue; and</w:t>
      </w:r>
    </w:p>
    <w:p>
      <w:pPr>
        <w:spacing w:after="0" w:line="82" w:lineRule="exact"/>
        <w:rPr>
          <w:rFonts w:ascii="Arial" w:cs="Arial" w:eastAsia="Arial" w:hAnsi="Arial"/>
          <w:sz w:val="20"/>
          <w:szCs w:val="20"/>
          <w:color w:val="auto"/>
        </w:rPr>
      </w:pPr>
    </w:p>
    <w:p>
      <w:pPr>
        <w:ind w:left="660" w:right="540" w:hanging="328"/>
        <w:spacing w:after="0" w:line="274"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$2.0 million increase in injuries and damages expense primarily due to an increase in the reserves recorded at Evergy Kansas Central and Evergy Metro in 2022; partially offset by</w:t>
      </w:r>
    </w:p>
    <w:p>
      <w:pPr>
        <w:spacing w:after="0" w:line="55" w:lineRule="exact"/>
        <w:rPr>
          <w:rFonts w:ascii="Arial" w:cs="Arial" w:eastAsia="Arial" w:hAnsi="Arial"/>
          <w:sz w:val="20"/>
          <w:szCs w:val="20"/>
          <w:color w:val="auto"/>
        </w:rPr>
      </w:pPr>
    </w:p>
    <w:p>
      <w:pPr>
        <w:ind w:left="660" w:right="440" w:hanging="328"/>
        <w:spacing w:after="0" w:line="274"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$9.9 million decrease in costs recorded in 2022 associated with executive transition, including inducement bonuses, severance agreements and other transition expenses;</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$5.3 million decrease in advisor expenses incurred in 2022 associated with strategic planning;</w:t>
      </w:r>
    </w:p>
    <w:p>
      <w:pPr>
        <w:spacing w:after="0" w:line="121" w:lineRule="exact"/>
        <w:rPr>
          <w:rFonts w:ascii="Arial" w:cs="Arial" w:eastAsia="Arial" w:hAnsi="Arial"/>
          <w:sz w:val="20"/>
          <w:szCs w:val="20"/>
          <w:color w:val="auto"/>
        </w:rPr>
      </w:pPr>
    </w:p>
    <w:p>
      <w:pPr>
        <w:ind w:left="660" w:right="620" w:hanging="328"/>
        <w:spacing w:after="0" w:line="274"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$5.0 million decrease in costs incurred in 2022 at Evergy Kansas Central related to non-regulated energy marketing margins recognized during the February 2021 winter weather event;</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$5.0 million decrease in certain labor and employee benefits expenses; and</w:t>
      </w:r>
    </w:p>
    <w:p>
      <w:pPr>
        <w:spacing w:after="0" w:line="121" w:lineRule="exact"/>
        <w:rPr>
          <w:rFonts w:ascii="Arial" w:cs="Arial" w:eastAsia="Arial" w:hAnsi="Arial"/>
          <w:sz w:val="20"/>
          <w:szCs w:val="20"/>
          <w:color w:val="auto"/>
        </w:rPr>
      </w:pPr>
    </w:p>
    <w:p>
      <w:pPr>
        <w:jc w:val="both"/>
        <w:ind w:left="660" w:right="120" w:hanging="328"/>
        <w:spacing w:after="0" w:line="277"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$2.8 million decrease in voluntary severance expenses due to a $2.6 million decrease at Evergy Kansas Central, Evergy Metro and Evergy Missouri West related to Evergy voluntary exit programs in 2021 and $0.2 million in voluntary severance expenses incurred at Evergy Kansas Central and Evergy Metro related to Wolf Creek voluntary exit programs.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Evergy's depreciation and amortization increased $8.2 million for the three months ended September 30, 2022 and $24.8 million year to date September 30, 2022, compared to the same periods in 2021, driven by higher capital additions at Evergy Kansas Central and Evergy Metro in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Evergy's taxes other than income tax increased $4.5 million for the three months ended September 30, 2022 and $13.9 million year to date September 30, 2022, compared to the same periods in 2021, driven by an increase in property taxes in Missouri and Kansas primarily due to higher assessed property tax values.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Impairment Loss on Sibley Unit 3</w:t>
      </w:r>
    </w:p>
    <w:p>
      <w:pPr>
        <w:spacing w:after="0" w:line="26"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Evergy's estimated impairment loss on Sibley Unit 3 increased $6.0 million for the three months ended and year to date September 30, 2022, compared to the same periods in 2021, due to the recording of an impairment charge on Evergy Missouri West's regulatory asset for retired generation facilities related to Sibley Unit 3 in the third quarter of 2022. See "Abandoned Plant" in Note 1 of the consolidated financial statements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Evergy's other income, net increased $2.0 million for the three months ended September 30, 2022, primarily driven by:</w:t>
      </w:r>
    </w:p>
    <w:p>
      <w:pPr>
        <w:spacing w:after="0" w:line="100" w:lineRule="exact"/>
        <w:rPr>
          <w:sz w:val="20"/>
          <w:szCs w:val="20"/>
          <w:color w:val="auto"/>
        </w:rPr>
      </w:pPr>
    </w:p>
    <w:p>
      <w:pPr>
        <w:ind w:left="660" w:right="520" w:hanging="328"/>
        <w:spacing w:after="0" w:line="255"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$16.0 million increase in interest and dividend income primarily due to $15.0 million of carrying charges recorded by Evergy Missouri West in the third quarter of 2022 associated with its regulatory asset for fuel and purchased power costs related to the February 2021 winter weather event, driven by an MPSC order allowing for their recovery as part of Evergy Missouri West's securitization financing request; partially offset by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60" w:right="200" w:hanging="328"/>
        <w:spacing w:after="0" w:line="301" w:lineRule="auto"/>
        <w:tabs>
          <w:tab w:leader="none" w:pos="648"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$10.4 million decrease due to a $5.2 million realized gain from the sale of an equity investment in the third quarter of 2021 and a $5.1 million decrease due to unrealized losses from various equity investments in the third quarter of 2022; and</w:t>
      </w:r>
    </w:p>
    <w:p>
      <w:pPr>
        <w:spacing w:after="0" w:line="32" w:lineRule="exact"/>
        <w:rPr>
          <w:rFonts w:ascii="Arial" w:cs="Arial" w:eastAsia="Arial" w:hAnsi="Arial"/>
          <w:sz w:val="19"/>
          <w:szCs w:val="19"/>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$3.0 million of other income recorded in the third quarter of 2021 related to a contract termination fee.</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Evergy's other expense, net increased $38.4 million year to date September 30, 2022, compared to the same period in 2021, primarily driven by:</w:t>
      </w:r>
    </w:p>
    <w:p>
      <w:pPr>
        <w:spacing w:after="0" w:line="82" w:lineRule="exact"/>
        <w:rPr>
          <w:sz w:val="20"/>
          <w:szCs w:val="20"/>
          <w:color w:val="auto"/>
        </w:rPr>
      </w:pPr>
    </w:p>
    <w:p>
      <w:pPr>
        <w:ind w:left="660" w:right="200" w:hanging="328"/>
        <w:spacing w:after="0" w:line="268" w:lineRule="auto"/>
        <w:tabs>
          <w:tab w:leader="none" w:pos="648"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$27.3 million increase due to losses from equity investments primarily driven by a $16.3 million loss related to Evergy's equity investment in an early-stage energy solutions company that was sold in March 2022 through a share forward agreement which was completed in June 2022 (see "Evergy Equity Investment" in Note 1 of the consolidated financial statements for additional information), a $5.9 million increase due to lower unrealized gains from various equity investments in 2022 and a $5.2 million realized gain from the sale of an equity investment in the third quarter of 2021;</w:t>
      </w:r>
    </w:p>
    <w:p>
      <w:pPr>
        <w:spacing w:after="0" w:line="76" w:lineRule="exact"/>
        <w:rPr>
          <w:rFonts w:ascii="Arial" w:cs="Arial" w:eastAsia="Arial" w:hAnsi="Arial"/>
          <w:sz w:val="19"/>
          <w:szCs w:val="19"/>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$6.0 million increase due to recording lower Evergy Kansas Central COLI benefits in 2022;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$6.1 million of other income recorded in 2021 related to contract termination fees; partially offset by</w:t>
      </w:r>
    </w:p>
    <w:p>
      <w:pPr>
        <w:spacing w:after="0" w:line="107" w:lineRule="exact"/>
        <w:rPr>
          <w:rFonts w:ascii="Arial" w:cs="Arial" w:eastAsia="Arial" w:hAnsi="Arial"/>
          <w:sz w:val="20"/>
          <w:szCs w:val="20"/>
          <w:color w:val="auto"/>
        </w:rPr>
      </w:pPr>
    </w:p>
    <w:p>
      <w:pPr>
        <w:ind w:left="660" w:right="500" w:hanging="328"/>
        <w:spacing w:after="0" w:line="255"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$16.6 million increase in interest and dividend income primarily due to $15.0 million of carrying charges recorded by Evergy Missouri West in the third quarter of 2022 associated with its regulatory asset for fuel and purchased power costs related to the February 2021 winter weather event, driven by an MPSC order allowing for their recovery as part of Evergy Missouri West's securitization financing request.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2"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Evergy's interest expense increased $8.7 million for the three months ended September 30, 2022, compared to the same period in 2021, primarily driven by:</w:t>
      </w:r>
    </w:p>
    <w:p>
      <w:pPr>
        <w:spacing w:after="0" w:line="70" w:lineRule="exact"/>
        <w:rPr>
          <w:sz w:val="20"/>
          <w:szCs w:val="20"/>
          <w:color w:val="auto"/>
        </w:rPr>
      </w:pPr>
    </w:p>
    <w:p>
      <w:pPr>
        <w:ind w:left="660" w:right="20" w:hanging="328"/>
        <w:spacing w:after="0" w:line="301" w:lineRule="auto"/>
        <w:tabs>
          <w:tab w:leader="none" w:pos="648"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$14.2 million increase in interest expense on short-term borrowings primarily due to higher short-term debt balances and weighted-average interest rates for Evergy, Inc., Evergy Kansas Central and Evergy Missouri West in 2022; partially offset by</w:t>
      </w:r>
    </w:p>
    <w:p>
      <w:pPr>
        <w:spacing w:after="0" w:line="32" w:lineRule="exact"/>
        <w:rPr>
          <w:rFonts w:ascii="Arial" w:cs="Arial" w:eastAsia="Arial" w:hAnsi="Arial"/>
          <w:sz w:val="19"/>
          <w:szCs w:val="19"/>
          <w:color w:val="auto"/>
        </w:rPr>
      </w:pPr>
    </w:p>
    <w:p>
      <w:pPr>
        <w:ind w:left="660" w:right="780" w:hanging="328"/>
        <w:spacing w:after="0" w:line="27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$1.7 million decrease due to the repayment of Evergy Missouri West's $80.9 million of 8.27% Senior Notes at maturity in November 2021.</w:t>
      </w:r>
    </w:p>
    <w:p>
      <w:pPr>
        <w:spacing w:after="0" w:line="17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Evergy's interest expense increased $12.0 million year to date September 30, 2022, compared to the same period in 2021, primarily driven by:</w:t>
      </w:r>
    </w:p>
    <w:p>
      <w:pPr>
        <w:spacing w:after="0" w:line="82" w:lineRule="exact"/>
        <w:rPr>
          <w:sz w:val="20"/>
          <w:szCs w:val="20"/>
          <w:color w:val="auto"/>
        </w:rPr>
      </w:pPr>
    </w:p>
    <w:p>
      <w:pPr>
        <w:ind w:left="660" w:right="20" w:hanging="328"/>
        <w:spacing w:after="0" w:line="287" w:lineRule="auto"/>
        <w:tabs>
          <w:tab w:leader="none" w:pos="64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$19.9 million increase in interest expense on short-term borrowings primarily due to higher short-term debt balances and weighted-average interest rates for Evergy, Inc., Evergy Kansas Central and Evergy Missouri West in 2022; partially offset by</w:t>
      </w:r>
    </w:p>
    <w:p>
      <w:pPr>
        <w:spacing w:after="0" w:line="57" w:lineRule="exact"/>
        <w:rPr>
          <w:rFonts w:ascii="Arial" w:cs="Arial" w:eastAsia="Arial" w:hAnsi="Arial"/>
          <w:sz w:val="19"/>
          <w:szCs w:val="19"/>
          <w:color w:val="auto"/>
        </w:rPr>
      </w:pPr>
    </w:p>
    <w:p>
      <w:pPr>
        <w:ind w:left="660" w:right="780" w:hanging="328"/>
        <w:spacing w:after="0" w:line="274"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$5.0 million decrease due to the repayment of Evergy Missouri West's $80.9 million of 8.27% Senior Notes at maturity in November 2021.</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6"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Evergy's income tax expense decreased $7.7 million for the three months ended September 30, 2022, compared to the same period in 2021, primarily driven by lower pre-tax income in the third quarter of 2022.</w:t>
      </w:r>
    </w:p>
    <w:p>
      <w:pPr>
        <w:spacing w:after="0" w:line="196"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color w:val="auto"/>
        </w:rPr>
        <w:t>Evergy's income tax expense decreased $16.7 million year to date September 30, 2022, compared to the same period in 2021, primarily driven by lower pre-tax income in 2022.</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dividends to shareholders. See the Evergy Companies' combined 2021 Form 10-K for more information on Evergy's sources and uses of cash.</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As of September 30, 2022, Evergy had $1.3 billion of available borrowing capacity under its master credit facility. The available borrowing capacity under the master credit facility consisted of $449.3 million for Evergy, Inc., $361.7 million for Evergy Kansas Central, $350.0 million for Evergy Metro and $115.9 million for Evergy Missouri West. The Evergy Companies' borrowing capacity under the master credit facility also supports their issuance of commercial paper. See Note 7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In February 2022, Evergy, Inc. entered into a $500.0 million unsecured Term Loan Facility that expires in February 2023. As of</w:t>
      </w:r>
    </w:p>
    <w:p>
      <w:pPr>
        <w:spacing w:after="0" w:line="20"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auto"/>
        </w:rPr>
        <w:t>September 30, 2022, Evergy had borrowed $500.0 million under the Term Loan Facility. Evergy's borrowings under the Term Loan Facility were used for, among other things, working capital, capital expenditures and general corporate purposes.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6"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Year to date September 30, 2022, Evergy made pension contributions of $29.9 million. Evergy expects to make additional pension contributions of $53.9 million in 2022 to satisfy ERISA funding requirements and KCC and MPSC rate orders, of which $8.5 million is expected to be paid by Evergy Kansas Central and $45.4 million is expected to be paid by Evergy Metro. Also in 2022, Evergy expects to make additional post-retirement benefit contributions of $1.6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6"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As of September 30, 2022, Evergy was in compliance with all debt covenants under the master credit facility, the Term Loan Facility and certain debt instruments that contain restrictions that require the maintenance of certain capitalization and leverage ratios. See Note 7 to the consolidated financial statements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Authorizations</w:t>
      </w:r>
    </w:p>
    <w:p>
      <w:pPr>
        <w:spacing w:after="0" w:line="22"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color w:val="auto"/>
        </w:rPr>
        <w:t>The following table summarizes the regulatory short-term and long-term debt financing authorizations for Evergy Kansas Central, Evergy Kansas South, Evergy Metro and Evergy Missouri West and the remaining amount available under these authorizations as of September 30, 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20"/>
              <w:spacing w:after="0" w:line="202" w:lineRule="exact"/>
              <w:rPr>
                <w:sz w:val="20"/>
                <w:szCs w:val="20"/>
                <w:color w:val="auto"/>
              </w:rPr>
            </w:pPr>
            <w:r>
              <w:rPr>
                <w:rFonts w:ascii="Arial" w:cs="Arial" w:eastAsia="Arial" w:hAnsi="Arial"/>
                <w:sz w:val="18"/>
                <w:szCs w:val="18"/>
                <w:b w:val="1"/>
                <w:bCs w:val="1"/>
                <w:color w:val="auto"/>
              </w:rPr>
              <w:t>Available Under</w:t>
            </w:r>
          </w:p>
        </w:tc>
      </w:tr>
      <w:tr>
        <w:trPr>
          <w:trHeight w:val="243"/>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Type of Authorization</w:t>
            </w:r>
          </w:p>
        </w:tc>
        <w:tc>
          <w:tcPr>
            <w:tcW w:w="19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8"/>
              </w:rPr>
              <w:t>Commission</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21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Authorization Amount</w:t>
            </w:r>
          </w:p>
        </w:tc>
        <w:tc>
          <w:tcPr>
            <w:tcW w:w="18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Authorization</w:t>
            </w:r>
          </w:p>
        </w:tc>
      </w:tr>
      <w:tr>
        <w:trPr>
          <w:trHeight w:val="169"/>
        </w:trPr>
        <w:tc>
          <w:tcPr>
            <w:tcW w:w="27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Evergy Kansas Central &amp;</w:t>
            </w:r>
          </w:p>
        </w:tc>
        <w:tc>
          <w:tcPr>
            <w:tcW w:w="1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Evergy Kansas South</w:t>
            </w:r>
          </w:p>
        </w:tc>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gridSpan w:val="2"/>
          </w:tcPr>
          <w:p>
            <w:pPr>
              <w:ind w:left="820"/>
              <w:spacing w:after="0"/>
              <w:rPr>
                <w:sz w:val="20"/>
                <w:szCs w:val="20"/>
                <w:color w:val="auto"/>
              </w:rPr>
            </w:pPr>
            <w:r>
              <w:rPr>
                <w:rFonts w:ascii="Arial" w:cs="Arial" w:eastAsia="Arial" w:hAnsi="Arial"/>
                <w:sz w:val="16"/>
                <w:szCs w:val="16"/>
                <w:color w:val="auto"/>
              </w:rPr>
              <w:t>(in millions)</w:t>
            </w:r>
          </w:p>
        </w:tc>
        <w:tc>
          <w:tcPr>
            <w:tcW w:w="1220" w:type="dxa"/>
            <w:vAlign w:val="bottom"/>
          </w:tcPr>
          <w:p>
            <w:pPr>
              <w:spacing w:after="0"/>
              <w:rPr>
                <w:sz w:val="20"/>
                <w:szCs w:val="20"/>
                <w:color w:val="auto"/>
              </w:rPr>
            </w:pPr>
          </w:p>
        </w:tc>
      </w:tr>
      <w:tr>
        <w:trPr>
          <w:trHeight w:val="232"/>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9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FERC</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1,250.0</w:t>
            </w: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611.8</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9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FERC</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1,250.0</w:t>
            </w: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1,250.0</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Evergy Missouri West</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9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FERC</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750.0</w:t>
            </w:r>
          </w:p>
        </w:tc>
        <w:tc>
          <w:tcPr>
            <w:tcW w:w="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27.4</w:t>
            </w:r>
          </w:p>
        </w:tc>
      </w:tr>
      <w:tr>
        <w:trPr>
          <w:trHeight w:val="236"/>
        </w:trPr>
        <w:tc>
          <w:tcPr>
            <w:tcW w:w="27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(a)</w:t>
            </w:r>
          </w:p>
        </w:tc>
        <w:tc>
          <w:tcPr>
            <w:tcW w:w="19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FERC</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October 2024</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600.0</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In October 2022, FERC approved Evergy Missouri West's long-term debt authorization request.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400"/>
        <w:spacing w:after="0" w:line="255" w:lineRule="auto"/>
        <w:rPr>
          <w:sz w:val="20"/>
          <w:szCs w:val="20"/>
          <w:color w:val="auto"/>
        </w:rPr>
      </w:pPr>
      <w:r>
        <w:rPr>
          <w:rFonts w:ascii="Arial" w:cs="Arial" w:eastAsia="Arial" w:hAnsi="Arial"/>
          <w:sz w:val="20"/>
          <w:szCs w:val="20"/>
          <w:color w:val="auto"/>
        </w:rPr>
        <w:t>In September 2022, Evergy Kansas Central, Evergy Kansas South, Evergy Metro and Evergy Missouri West filed requests with FERC to have outstanding at any one time up to $1,250.0 million (combined for both Evergy Kansas Central and Evergy Kansas South), $1,250.0 million and $750.0 million in short-term debt instruments, respectively, through December 2024. FERC is expected to issue an order regarding this request by November 15, 2022.</w:t>
      </w:r>
    </w:p>
    <w:p>
      <w:pPr>
        <w:spacing w:after="0" w:line="184"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In September 2022, Evergy Missouri West filed a request with FERC to issue up to a total of $600.0 million in long-term debt instruments for a two-year authorization period beginning on the date of the FERC approval. FERC approved this request in October 2022.</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(1,349.1)</w:t>
            </w:r>
          </w:p>
        </w:tc>
      </w:tr>
      <w:tr>
        <w:trPr>
          <w:trHeight w:val="236"/>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20"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color w:val="auto"/>
        </w:rPr>
        <w:t>Evergy's cash flows from operating activities increased $441.7 million year to date September 30, 2022, compared to the same period in 2021, primarily driven by:</w:t>
      </w:r>
    </w:p>
    <w:p>
      <w:pPr>
        <w:spacing w:after="0" w:line="6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$371.8 million of cash payments for net fuel and purchased power costs during the February 2021 winter weather event; and</w:t>
      </w:r>
    </w:p>
    <w:p>
      <w:pPr>
        <w:spacing w:after="0" w:line="132" w:lineRule="exact"/>
        <w:rPr>
          <w:rFonts w:ascii="Arial" w:cs="Arial" w:eastAsia="Arial" w:hAnsi="Arial"/>
          <w:sz w:val="19"/>
          <w:szCs w:val="19"/>
          <w:color w:val="auto"/>
        </w:rPr>
      </w:pPr>
    </w:p>
    <w:p>
      <w:pPr>
        <w:ind w:left="660" w:right="36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$280.7 million increase in cash receipts for retail electric sales in 2022 primarily due to higher weather-normalized demand and favorable weather; partially offset by</w:t>
      </w:r>
    </w:p>
    <w:p>
      <w:pPr>
        <w:spacing w:after="0" w:line="82" w:lineRule="exact"/>
        <w:rPr>
          <w:rFonts w:ascii="Arial" w:cs="Arial" w:eastAsia="Arial" w:hAnsi="Arial"/>
          <w:sz w:val="20"/>
          <w:szCs w:val="20"/>
          <w:color w:val="auto"/>
        </w:rPr>
      </w:pPr>
    </w:p>
    <w:p>
      <w:pPr>
        <w:ind w:left="660" w:right="320" w:hanging="328"/>
        <w:spacing w:after="0" w:line="27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$89.2 million of cash receipts related to non-regulated energy marketing margins earned during the February 2021 winter weather event.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20"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Evergy's cash flows used in investing activities increased $276.0 million year to date September 30, 2022, compared to the same period in 2021, primarily driven by a $219.9 million increase in additions to property, plant and equipment due to increases at Evergy Kansas Central, Evergy Metro and Evergy Missouri West of $76.9 million, $100.1 million and $47.0 million, respectively, primarily due to increased spending for a variety of capital projects including transmission and distribution projects related to grid resiliency and other infrastructure improvements.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Evergy's cash flows from financing activities decreased $47.6 million year to date September 30, 2022, compared to the same period in 2021, primarily driven by:</w:t>
      </w:r>
    </w:p>
    <w:p>
      <w:pPr>
        <w:spacing w:after="0" w:line="84" w:lineRule="exact"/>
        <w:rPr>
          <w:sz w:val="20"/>
          <w:szCs w:val="20"/>
          <w:color w:val="auto"/>
        </w:rPr>
      </w:pPr>
    </w:p>
    <w:p>
      <w:pPr>
        <w:ind w:left="660" w:right="40" w:hanging="328"/>
        <w:spacing w:after="0" w:line="257" w:lineRule="auto"/>
        <w:tabs>
          <w:tab w:leader="none" w:pos="6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$250.4 million decrease in proceeds from long-term debt, net due to Evergy Missouri West's issuance of $500.0 million of Series A, B and C Senior Notes in April 2021, partially offset by Evergy Missouri West's issuance of $250.0 million of 3.75% First Mortgage Bonds in March 2022; and</w:t>
      </w:r>
    </w:p>
    <w:p>
      <w:pPr>
        <w:spacing w:after="0" w:line="71" w:lineRule="exact"/>
        <w:rPr>
          <w:rFonts w:ascii="Arial" w:cs="Arial" w:eastAsia="Arial" w:hAnsi="Arial"/>
          <w:sz w:val="20"/>
          <w:szCs w:val="20"/>
          <w:color w:val="auto"/>
        </w:rPr>
      </w:pPr>
    </w:p>
    <w:p>
      <w:pPr>
        <w:ind w:left="660" w:right="74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$112.5 million of Evergy common stock issued in April 2021 pursuant to a securities purchase agreement with an affiliate of Bluescape Energy Partners, LLC (Bluescape); partially offset by</w:t>
      </w:r>
    </w:p>
    <w:p>
      <w:pPr>
        <w:spacing w:after="0" w:line="55" w:lineRule="exact"/>
        <w:rPr>
          <w:rFonts w:ascii="Arial" w:cs="Arial" w:eastAsia="Arial" w:hAnsi="Arial"/>
          <w:sz w:val="20"/>
          <w:szCs w:val="20"/>
          <w:color w:val="auto"/>
        </w:rPr>
      </w:pPr>
    </w:p>
    <w:p>
      <w:pPr>
        <w:ind w:left="660" w:right="260" w:hanging="328"/>
        <w:spacing w:after="0" w:line="26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$261.3 million increase in short-term debt borrowings driven by higher borrowings of $159.2 million at Evergy Missouri West, $53.9 million at Evergy, Inc. and $48.2 million at Evergy Kansas Central, primarily due to higher capital expenditures in 2022 and for general corporate purposes; and</w:t>
      </w:r>
    </w:p>
    <w:p>
      <w:pPr>
        <w:spacing w:after="0" w:line="64" w:lineRule="exact"/>
        <w:rPr>
          <w:rFonts w:ascii="Arial" w:cs="Arial" w:eastAsia="Arial" w:hAnsi="Arial"/>
          <w:sz w:val="20"/>
          <w:szCs w:val="20"/>
          <w:color w:val="auto"/>
        </w:rPr>
      </w:pPr>
    </w:p>
    <w:p>
      <w:pPr>
        <w:ind w:left="660" w:right="320" w:hanging="328"/>
        <w:spacing w:after="0" w:line="274"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$60.9 million decrease in the repayment of borrowings against cash surrender value of corporate-owned life insurance primarily due to a higher number of policy settlements in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r>
      <w:tr>
        <w:trPr>
          <w:trHeight w:val="220"/>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2,359.3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629.2</w:t>
            </w:r>
          </w:p>
        </w:tc>
        <w:tc>
          <w:tcPr>
            <w:tcW w:w="26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543.7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402.3</w:t>
            </w:r>
          </w:p>
        </w:tc>
        <w:tc>
          <w:tcPr>
            <w:tcW w:w="26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560.8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(65.9)</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381.8</w:t>
            </w:r>
          </w:p>
        </w:tc>
        <w:tc>
          <w:tcPr>
            <w:tcW w:w="26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(79.6)</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461.4</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(79.7)</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Kansas Central Gross Margin (GAAP) and Utility Gross Margin (non-GAAP)</w:t>
      </w:r>
    </w:p>
    <w:p>
      <w:pPr>
        <w:spacing w:after="0" w:line="26" w:lineRule="exact"/>
        <w:rPr>
          <w:sz w:val="20"/>
          <w:szCs w:val="20"/>
          <w:color w:val="auto"/>
        </w:rPr>
      </w:pPr>
    </w:p>
    <w:p>
      <w:pPr>
        <w:jc w:val="both"/>
        <w:ind w:left="1" w:right="400"/>
        <w:spacing w:after="0" w:line="272" w:lineRule="auto"/>
        <w:rPr>
          <w:sz w:val="20"/>
          <w:szCs w:val="20"/>
          <w:color w:val="auto"/>
        </w:rPr>
      </w:pPr>
      <w:r>
        <w:rPr>
          <w:rFonts w:ascii="Arial" w:cs="Arial" w:eastAsia="Arial" w:hAnsi="Arial"/>
          <w:sz w:val="19"/>
          <w:szCs w:val="19"/>
          <w:color w:val="auto"/>
        </w:rPr>
        <w:t>The following table summarizes Evergy Kansas Central's gross margin (GAAP) and MWhs sold and reconciles Evergy Kansas Central's gross margin (GAAP) to Evergy Kansas Central's utility gross margin (non-GAAP). See "Executive Summary - Non-GAAP Measures", above for additional information regarding gross margin (GAAP) and utility gross margin (non-GAAP).</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4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MWhs Sold</w:t>
            </w:r>
          </w:p>
        </w:tc>
        <w:tc>
          <w:tcPr>
            <w:tcW w:w="900" w:type="dxa"/>
            <w:vAlign w:val="bottom"/>
            <w:tcBorders>
              <w:top w:val="single" w:sz="8" w:color="auto"/>
            </w:tcBorders>
          </w:tcPr>
          <w:p>
            <w:pPr>
              <w:spacing w:after="0"/>
              <w:rPr>
                <w:sz w:val="21"/>
                <w:szCs w:val="21"/>
                <w:color w:val="auto"/>
              </w:rPr>
            </w:pPr>
          </w:p>
        </w:tc>
      </w:tr>
      <w:tr>
        <w:trPr>
          <w:trHeight w:val="23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Change</w:t>
            </w: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color w:val="auto"/>
              </w:rPr>
              <w:t>(thousands)</w:t>
            </w: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5,487</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625.9</w:t>
            </w:r>
          </w:p>
        </w:tc>
        <w:tc>
          <w:tcPr>
            <w:tcW w:w="2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89.1</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536.8</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5,615</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148</w:t>
            </w:r>
          </w:p>
        </w:tc>
        <w:tc>
          <w:tcPr>
            <w:tcW w:w="900" w:type="dxa"/>
            <w:vAlign w:val="bottom"/>
          </w:tcPr>
          <w:p>
            <w:pPr>
              <w:jc w:val="right"/>
              <w:spacing w:after="0"/>
              <w:rPr>
                <w:sz w:val="20"/>
                <w:szCs w:val="20"/>
                <w:color w:val="auto"/>
              </w:rPr>
            </w:pPr>
            <w:r>
              <w:rPr>
                <w:rFonts w:ascii="Arial" w:cs="Arial" w:eastAsia="Arial" w:hAnsi="Arial"/>
                <w:sz w:val="18"/>
                <w:szCs w:val="18"/>
                <w:color w:val="auto"/>
              </w:rPr>
              <w:t>5,467</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346.7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53.7</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4,299</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30"/>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1,747.8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247.8</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15,431</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288.4</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402.7</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8,655</w:t>
            </w:r>
          </w:p>
        </w:tc>
        <w:tc>
          <w:tcPr>
            <w:tcW w:w="1300" w:type="dxa"/>
            <w:vAlign w:val="bottom"/>
          </w:tcPr>
          <w:p>
            <w:pPr>
              <w:jc w:val="right"/>
              <w:ind w:right="231"/>
              <w:spacing w:after="0"/>
              <w:rPr>
                <w:sz w:val="20"/>
                <w:szCs w:val="20"/>
                <w:color w:val="auto"/>
              </w:rPr>
            </w:pPr>
            <w:r>
              <w:rPr>
                <w:rFonts w:ascii="Arial" w:cs="Arial" w:eastAsia="Arial" w:hAnsi="Arial"/>
                <w:sz w:val="18"/>
                <w:szCs w:val="18"/>
                <w:color w:val="auto"/>
              </w:rPr>
              <w:t>749</w:t>
            </w:r>
          </w:p>
        </w:tc>
        <w:tc>
          <w:tcPr>
            <w:tcW w:w="900" w:type="dxa"/>
            <w:vAlign w:val="bottom"/>
          </w:tcPr>
          <w:p>
            <w:pPr>
              <w:jc w:val="right"/>
              <w:spacing w:after="0"/>
              <w:rPr>
                <w:sz w:val="20"/>
                <w:szCs w:val="20"/>
                <w:color w:val="auto"/>
              </w:rPr>
            </w:pPr>
            <w:r>
              <w:rPr>
                <w:rFonts w:ascii="Arial" w:cs="Arial" w:eastAsia="Arial" w:hAnsi="Arial"/>
                <w:sz w:val="18"/>
                <w:szCs w:val="18"/>
                <w:color w:val="auto"/>
              </w:rPr>
              <w:t>7,906</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269.8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53.3</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(79.9)</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3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N/A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2,359.3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81.9</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2,277.4</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24,086</w:t>
            </w:r>
          </w:p>
        </w:tc>
        <w:tc>
          <w:tcPr>
            <w:tcW w:w="13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22,768</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(629.2)</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(543.7)</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(241.8)</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(194.3)</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(163.3)</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762.6</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(57.7)</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820.3</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194.3</w:t>
            </w: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163.3</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1,488.3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1,516.9</w:t>
            </w:r>
          </w:p>
        </w:tc>
        <w:tc>
          <w:tcPr>
            <w:tcW w:w="1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r>
    </w:tbl>
    <w:p>
      <w:pPr>
        <w:spacing w:after="0" w:line="4" w:lineRule="exact"/>
        <w:rPr>
          <w:sz w:val="20"/>
          <w:szCs w:val="20"/>
          <w:color w:val="auto"/>
        </w:rPr>
      </w:pPr>
    </w:p>
    <w:p>
      <w:pPr>
        <w:ind w:left="161" w:right="180" w:hanging="161"/>
        <w:spacing w:after="0" w:line="257" w:lineRule="auto"/>
        <w:tabs>
          <w:tab w:leader="none" w:pos="142" w:val="left"/>
        </w:tabs>
        <w:numPr>
          <w:ilvl w:val="0"/>
          <w:numId w:val="28"/>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$201.8 million and $193.6 million year to date September 30, 2022 and 2021, respectively.</w:t>
      </w:r>
    </w:p>
    <w:p>
      <w:pPr>
        <w:spacing w:after="0" w:line="355" w:lineRule="exact"/>
        <w:rPr>
          <w:sz w:val="20"/>
          <w:szCs w:val="20"/>
          <w:color w:val="auto"/>
        </w:rPr>
      </w:pPr>
    </w:p>
    <w:p>
      <w:pPr>
        <w:ind w:left="1" w:right="180"/>
        <w:spacing w:after="0" w:line="257" w:lineRule="auto"/>
        <w:rPr>
          <w:sz w:val="20"/>
          <w:szCs w:val="20"/>
          <w:color w:val="auto"/>
        </w:rPr>
      </w:pPr>
      <w:r>
        <w:rPr>
          <w:rFonts w:ascii="Arial" w:cs="Arial" w:eastAsia="Arial" w:hAnsi="Arial"/>
          <w:sz w:val="20"/>
          <w:szCs w:val="20"/>
          <w:color w:val="auto"/>
        </w:rPr>
        <w:t>Evergy Kansas Central's gross margin (GAAP) decreased $57.7 million year to date September 30, 2022, compared to the same period in 2021 and Evergy Kansas Central's utility gross margin (non-GAAP) decreased $28.6 million year to date September 30, 2022, compared to the same period in 2021, both measures were driven by:</w:t>
      </w:r>
    </w:p>
    <w:p>
      <w:pPr>
        <w:spacing w:after="0" w:line="85" w:lineRule="exact"/>
        <w:rPr>
          <w:sz w:val="20"/>
          <w:szCs w:val="20"/>
          <w:color w:val="auto"/>
        </w:rPr>
      </w:pPr>
    </w:p>
    <w:p>
      <w:pPr>
        <w:ind w:left="661" w:right="340" w:hanging="328"/>
        <w:spacing w:after="0" w:line="260"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$97.1 million decrease in non-regulated energy marketing margins recognized at Evergy Kansas Central related to the February 2021 winter weather event; and</w:t>
      </w:r>
    </w:p>
    <w:p>
      <w:pPr>
        <w:spacing w:after="0" w:line="82" w:lineRule="exact"/>
        <w:rPr>
          <w:rFonts w:ascii="Arial" w:cs="Arial" w:eastAsia="Arial" w:hAnsi="Arial"/>
          <w:sz w:val="20"/>
          <w:szCs w:val="20"/>
          <w:color w:val="auto"/>
        </w:rPr>
      </w:pPr>
    </w:p>
    <w:p>
      <w:pPr>
        <w:ind w:left="661" w:hanging="328"/>
        <w:spacing w:after="0" w:line="257"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$33.9 million decrease related to other impacts from the February 2021 winter weather event driven by higher wholesale sales at Evergy Kansas Central's non-regulated 8% ownership share of JEC due to higher wholesale prices and MWhs sold in February 2021; partially offset by</w:t>
      </w:r>
    </w:p>
    <w:p>
      <w:pPr>
        <w:spacing w:after="0" w:line="84" w:lineRule="exact"/>
        <w:rPr>
          <w:rFonts w:ascii="Arial" w:cs="Arial" w:eastAsia="Arial" w:hAnsi="Arial"/>
          <w:sz w:val="20"/>
          <w:szCs w:val="20"/>
          <w:color w:val="auto"/>
        </w:rPr>
      </w:pPr>
    </w:p>
    <w:p>
      <w:pPr>
        <w:ind w:left="661" w:right="440" w:hanging="328"/>
        <w:spacing w:after="0" w:line="260"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$74.1 million increase primarily due to higher retail sales driven by higher weather-normalized demand and favorable weather (cooling degree days increased by 15%); and</w:t>
      </w:r>
    </w:p>
    <w:p>
      <w:pPr>
        <w:spacing w:after="0" w:line="82" w:lineRule="exact"/>
        <w:rPr>
          <w:rFonts w:ascii="Arial" w:cs="Arial" w:eastAsia="Arial" w:hAnsi="Arial"/>
          <w:sz w:val="20"/>
          <w:szCs w:val="20"/>
          <w:color w:val="auto"/>
        </w:rPr>
      </w:pPr>
    </w:p>
    <w:p>
      <w:pPr>
        <w:ind w:left="661" w:right="320" w:hanging="328"/>
        <w:spacing w:after="0" w:line="274" w:lineRule="auto"/>
        <w:tabs>
          <w:tab w:leader="none" w:pos="6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$28.3 million increase in transmission revenue primarily due to updated transmission costs reflected in Evergy Kansas Central's FERC TFR effective in January 2022.</w:t>
      </w:r>
    </w:p>
    <w:p>
      <w:pPr>
        <w:spacing w:after="0" w:line="55"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decrease in Evergy Kansas Central's gross margin (GAAP) was also driven by:</w:t>
      </w:r>
    </w:p>
    <w:p>
      <w:pPr>
        <w:spacing w:after="0" w:line="121" w:lineRule="exact"/>
        <w:rPr>
          <w:sz w:val="20"/>
          <w:szCs w:val="20"/>
          <w:color w:val="auto"/>
        </w:rPr>
      </w:pPr>
    </w:p>
    <w:p>
      <w:pPr>
        <w:jc w:val="both"/>
        <w:ind w:left="661" w:right="80" w:hanging="328"/>
        <w:spacing w:after="0" w:line="299" w:lineRule="auto"/>
        <w:tabs>
          <w:tab w:leader="none" w:pos="6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$6.2 million increase in operating and maintenance expenses which are determined to be directly attributable to revenue producing activities primarily driven by a $4.5 million increase in operating and maintenance expense at fossil-fuel generating units and a $1.5 million increase in transmission and distribution operating and maintenance expenses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1"/>
          </w:cols>
          <w:pgMar w:left="319" w:top="122" w:right="359" w:bottom="1440" w:gutter="0" w:footer="0" w:header="0"/>
        </w:sectPr>
      </w:pPr>
    </w:p>
    <w:bookmarkStart w:id="70" w:name="page71"/>
    <w:bookmarkEnd w:id="70"/>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$12.8 million increase in depreciation and amortization expense as described further below; and</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$10.1 million increase in taxes other than income taxes as described further below.</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6"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Evergy Kansas Central's operating and maintenance expense increased $14.4 million year to date September 30, 2022, compared to the same period in 2021, primarily driven by:</w:t>
      </w:r>
    </w:p>
    <w:p>
      <w:pPr>
        <w:spacing w:after="0" w:line="88"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$10.8 million increase in costs billed for common use assets in 2022 from Evergy Metro related to facilities and software assets;</w:t>
      </w:r>
    </w:p>
    <w:p>
      <w:pPr>
        <w:spacing w:after="0" w:line="144" w:lineRule="exact"/>
        <w:rPr>
          <w:rFonts w:ascii="Arial" w:cs="Arial" w:eastAsia="Arial" w:hAnsi="Arial"/>
          <w:sz w:val="18"/>
          <w:szCs w:val="18"/>
          <w:color w:val="auto"/>
        </w:rPr>
      </w:pPr>
    </w:p>
    <w:p>
      <w:pPr>
        <w:ind w:left="660" w:right="52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$4.5 million increase in plant operating and maintenance expense at fossil-fuel generating units driven by major maintenance outages at JEC in 2022;</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$2.9 million increase in certain labor and employee benefits expenses;</w:t>
      </w:r>
    </w:p>
    <w:p>
      <w:pPr>
        <w:spacing w:after="0" w:line="107" w:lineRule="exact"/>
        <w:rPr>
          <w:rFonts w:ascii="Arial" w:cs="Arial" w:eastAsia="Arial" w:hAnsi="Arial"/>
          <w:sz w:val="20"/>
          <w:szCs w:val="20"/>
          <w:color w:val="auto"/>
        </w:rPr>
      </w:pPr>
    </w:p>
    <w:p>
      <w:pPr>
        <w:ind w:left="660" w:right="260" w:hanging="328"/>
        <w:spacing w:after="0" w:line="274"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$1.5 million increase in transmission and distribution operating and maintenance expenses primarily driven by higher contractor costs; and</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$1.2 million increase in injuries and damages expense primarily due to an increase in the reserve recorded in 2022; partially offset by</w:t>
      </w:r>
    </w:p>
    <w:p>
      <w:pPr>
        <w:spacing w:after="0" w:line="82"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$6.9 million decrease in costs recorded in 2022 associated with executive transition, including inducement bonuses, severance agreements and other transition expenses;</w:t>
      </w:r>
    </w:p>
    <w:p>
      <w:pPr>
        <w:spacing w:after="0" w:line="82" w:lineRule="exact"/>
        <w:rPr>
          <w:rFonts w:ascii="Arial" w:cs="Arial" w:eastAsia="Arial" w:hAnsi="Arial"/>
          <w:sz w:val="20"/>
          <w:szCs w:val="20"/>
          <w:color w:val="auto"/>
        </w:rPr>
      </w:pPr>
    </w:p>
    <w:p>
      <w:pPr>
        <w:ind w:left="660" w:right="120" w:hanging="328"/>
        <w:spacing w:after="0" w:line="274"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$5.0 million decrease in costs incurred in 2022 related to non-regulated energy marketing margins recognized during the February 2021 winter weather event.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6"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color w:val="auto"/>
        </w:rPr>
        <w:t>Evergy Kansas Central's depreciation and amortization expense increased $12.8 million year to date September 30, 2022, compared to the same period in 2021, primarily driven by higher capital additions in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Taxes Other Than Income Tax</w:t>
      </w:r>
    </w:p>
    <w:p>
      <w:pPr>
        <w:spacing w:after="0" w:line="22" w:lineRule="exact"/>
        <w:rPr>
          <w:sz w:val="20"/>
          <w:szCs w:val="20"/>
          <w:color w:val="auto"/>
        </w:rPr>
      </w:pPr>
    </w:p>
    <w:p>
      <w:pPr>
        <w:ind w:right="120"/>
        <w:spacing w:after="0" w:line="284" w:lineRule="auto"/>
        <w:rPr>
          <w:sz w:val="20"/>
          <w:szCs w:val="20"/>
          <w:color w:val="auto"/>
        </w:rPr>
      </w:pPr>
      <w:r>
        <w:rPr>
          <w:rFonts w:ascii="Arial" w:cs="Arial" w:eastAsia="Arial" w:hAnsi="Arial"/>
          <w:sz w:val="19"/>
          <w:szCs w:val="19"/>
          <w:color w:val="auto"/>
        </w:rPr>
        <w:t>Evergy Kansas Central's taxes other than income tax increased $10.1 million year to date September 30, 2022, compared to the same period in 2021, driven by an increase in property taxes in Kansas primarily due to higher assessed property tax values.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2"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Evergy Kansas Central's other expense, net increased $24.5 million year to date September 30, 2022, compared to the same period in 2021, primarily driven by:</w:t>
      </w:r>
    </w:p>
    <w:p>
      <w:pPr>
        <w:spacing w:after="0" w:line="70"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$6.0 million increase due to recording lower COLI benefits in 2022;</w:t>
      </w:r>
    </w:p>
    <w:p>
      <w:pPr>
        <w:spacing w:after="0" w:line="121" w:lineRule="exact"/>
        <w:rPr>
          <w:rFonts w:ascii="Arial" w:cs="Arial" w:eastAsia="Arial" w:hAnsi="Arial"/>
          <w:sz w:val="20"/>
          <w:szCs w:val="20"/>
          <w:color w:val="auto"/>
        </w:rPr>
      </w:pPr>
    </w:p>
    <w:p>
      <w:pPr>
        <w:ind w:left="660" w:right="640" w:hanging="328"/>
        <w:spacing w:after="0" w:line="274"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$5.7 million decrease in investment earnings primarily due to $5.5 million of higher net unrealized losses in Evergy Kansas Central's rabbi trust in 2022;</w:t>
      </w:r>
    </w:p>
    <w:p>
      <w:pPr>
        <w:spacing w:after="0" w:line="55"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$4.7 million increase due to lower equity AFUDC primarily driven by higher average short-term debt balances in 2022; and</w:t>
      </w:r>
    </w:p>
    <w:p>
      <w:pPr>
        <w:spacing w:after="0" w:line="132" w:lineRule="exact"/>
        <w:rPr>
          <w:rFonts w:ascii="Arial" w:cs="Arial" w:eastAsia="Arial" w:hAnsi="Arial"/>
          <w:sz w:val="19"/>
          <w:szCs w:val="19"/>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$2.8 million of other income recorded in 2021 related to contract termination fees.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Evergy Kansas Central's interest expense increased $11.5 million year to date September 30, 2022, compared to the same period in 2021, primarily driven by a $7.0 million increase in interest expense on short-term borrowings primarily due to higher short-term debt balances and weighted-average interest rates in 2022.</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 Kansas Central's income tax expense decreased $22.2 million year to date September 30, 2022, compared to the same period in 2021, primarily driven by lower pre-tax income in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METRO,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00"/>
        <w:spacing w:after="0" w:line="274"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3"/>
              </w:rPr>
              <w:t>Change</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487.2</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240.8</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252.2</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484.2</w:t>
            </w:r>
          </w:p>
        </w:tc>
        <w:tc>
          <w:tcPr>
            <w:tcW w:w="26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336.2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32.9</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2" w:name="page73"/>
    <w:bookmarkEnd w:id="72"/>
    <w:p>
      <w:pPr>
        <w:ind w:left="1"/>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Evergy Metro Gross Margin (GAAP) and Utility Gross Margin (non-GAAP)</w:t>
      </w:r>
    </w:p>
    <w:p>
      <w:pPr>
        <w:spacing w:after="0" w:line="26" w:lineRule="exact"/>
        <w:rPr>
          <w:sz w:val="20"/>
          <w:szCs w:val="20"/>
          <w:color w:val="auto"/>
        </w:rPr>
      </w:pPr>
    </w:p>
    <w:p>
      <w:pPr>
        <w:ind w:left="1" w:right="80"/>
        <w:spacing w:after="0" w:line="253" w:lineRule="auto"/>
        <w:rPr>
          <w:sz w:val="20"/>
          <w:szCs w:val="20"/>
          <w:color w:val="auto"/>
        </w:rPr>
      </w:pPr>
      <w:r>
        <w:rPr>
          <w:rFonts w:ascii="Arial" w:cs="Arial" w:eastAsia="Arial" w:hAnsi="Arial"/>
          <w:sz w:val="20"/>
          <w:szCs w:val="20"/>
          <w:color w:val="auto"/>
        </w:rPr>
        <w:t>The following table summarizes Evergy Metro's gross margin (GAAP) and MWhs sold and reconciles Evergy Metro's gross margin (GAAP) to Evergy Metro's utility gross margin (non-GAAP). See "Executive Summary - Non-GAAP Measures", above for additional information regarding gross margin (GAAP) and utility gross margin (non-GAAP).</w:t>
      </w:r>
    </w:p>
    <w:p>
      <w:pPr>
        <w:spacing w:after="0" w:line="113"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4,502</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589.7</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542.5</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5,700</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128</w:t>
            </w:r>
          </w:p>
        </w:tc>
        <w:tc>
          <w:tcPr>
            <w:tcW w:w="96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1,295</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53</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1,297.8</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105.1</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11,550</w:t>
            </w:r>
          </w:p>
        </w:tc>
        <w:tc>
          <w:tcPr>
            <w:tcW w:w="14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264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237.3</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4,874</w:t>
            </w:r>
          </w:p>
        </w:tc>
        <w:tc>
          <w:tcPr>
            <w:tcW w:w="1400" w:type="dxa"/>
            <w:vAlign w:val="bottom"/>
          </w:tcPr>
          <w:p>
            <w:pPr>
              <w:ind w:left="800"/>
              <w:spacing w:after="0"/>
              <w:rPr>
                <w:sz w:val="20"/>
                <w:szCs w:val="20"/>
                <w:color w:val="auto"/>
              </w:rPr>
            </w:pPr>
            <w:r>
              <w:rPr>
                <w:rFonts w:ascii="Arial" w:cs="Arial" w:eastAsia="Arial" w:hAnsi="Arial"/>
                <w:sz w:val="18"/>
                <w:szCs w:val="18"/>
                <w:color w:val="auto"/>
              </w:rPr>
              <w:t>(84)</w:t>
            </w:r>
          </w:p>
        </w:tc>
        <w:tc>
          <w:tcPr>
            <w:tcW w:w="960" w:type="dxa"/>
            <w:vAlign w:val="bottom"/>
          </w:tcPr>
          <w:p>
            <w:pPr>
              <w:jc w:val="right"/>
              <w:spacing w:after="0"/>
              <w:rPr>
                <w:sz w:val="20"/>
                <w:szCs w:val="20"/>
                <w:color w:val="auto"/>
              </w:rPr>
            </w:pPr>
            <w:r>
              <w:rPr>
                <w:rFonts w:ascii="Arial" w:cs="Arial" w:eastAsia="Arial" w:hAnsi="Arial"/>
                <w:sz w:val="18"/>
                <w:szCs w:val="18"/>
                <w:color w:val="auto"/>
              </w:rPr>
              <w:t>4,958</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165.6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81.7</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1,564.4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16,424</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16,244</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(487.2)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(252.2)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570.9</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15.3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555.6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and maintenance </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252.2</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1,077.2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39.8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1,037.4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7199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spacing w:after="0" w:line="6" w:lineRule="exact"/>
        <w:rPr>
          <w:sz w:val="20"/>
          <w:szCs w:val="20"/>
          <w:color w:val="auto"/>
        </w:rPr>
      </w:pPr>
    </w:p>
    <w:p>
      <w:pPr>
        <w:ind w:left="161" w:right="200" w:hanging="161"/>
        <w:spacing w:after="0" w:line="257" w:lineRule="auto"/>
        <w:tabs>
          <w:tab w:leader="none" w:pos="142"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$86.7 million and $115.8 million year to date September 30, 2022 and 2021, respectively.</w:t>
      </w:r>
    </w:p>
    <w:p>
      <w:pPr>
        <w:spacing w:after="0" w:line="341" w:lineRule="exact"/>
        <w:rPr>
          <w:sz w:val="20"/>
          <w:szCs w:val="20"/>
          <w:color w:val="auto"/>
        </w:rPr>
      </w:pPr>
    </w:p>
    <w:p>
      <w:pPr>
        <w:ind w:left="1" w:right="240"/>
        <w:spacing w:after="0" w:line="264" w:lineRule="auto"/>
        <w:rPr>
          <w:sz w:val="20"/>
          <w:szCs w:val="20"/>
          <w:color w:val="auto"/>
        </w:rPr>
      </w:pPr>
      <w:r>
        <w:rPr>
          <w:rFonts w:ascii="Arial" w:cs="Arial" w:eastAsia="Arial" w:hAnsi="Arial"/>
          <w:sz w:val="20"/>
          <w:szCs w:val="20"/>
          <w:color w:val="auto"/>
        </w:rPr>
        <w:t>Evergy Metro's gross margin (GAAP) increased $15.3 million year to date September 30, 2022, compared to the same period in 2021 and Evergy Metro's utility gross margin (non-GAAP) increased $39.8 million year to date September 30, 2022, compared to the same period in 2021, both measures were driven by:</w:t>
      </w:r>
    </w:p>
    <w:p>
      <w:pPr>
        <w:spacing w:after="0" w:line="65" w:lineRule="exact"/>
        <w:rPr>
          <w:sz w:val="20"/>
          <w:szCs w:val="20"/>
          <w:color w:val="auto"/>
        </w:rPr>
      </w:pPr>
    </w:p>
    <w:p>
      <w:pPr>
        <w:ind w:left="661" w:right="460" w:hanging="328"/>
        <w:spacing w:after="0" w:line="274" w:lineRule="auto"/>
        <w:tabs>
          <w:tab w:leader="none" w:pos="649"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$28.4 million increase primarily due to higher retail sales driven by higher weather-normalized demand and favorable weather (heating degree days increased by 4%); and</w:t>
      </w:r>
    </w:p>
    <w:p>
      <w:pPr>
        <w:spacing w:after="0" w:line="55" w:lineRule="exact"/>
        <w:rPr>
          <w:rFonts w:ascii="Arial" w:cs="Arial" w:eastAsia="Arial" w:hAnsi="Arial"/>
          <w:sz w:val="20"/>
          <w:szCs w:val="20"/>
          <w:color w:val="auto"/>
        </w:rPr>
      </w:pPr>
    </w:p>
    <w:p>
      <w:pPr>
        <w:ind w:left="661" w:hanging="328"/>
        <w:spacing w:after="0" w:line="264" w:lineRule="auto"/>
        <w:tabs>
          <w:tab w:leader="none" w:pos="649"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 $11.4 million increase due to impacts from the February 2021 winter weather event driven by jurisdictional allocation differences currently present between Evergy Metro's fuel recovery mechanisms in Missouri and Kansas regarding its refund to customers for the net increase in wholesale revenues in February 2021.</w:t>
      </w:r>
    </w:p>
    <w:p>
      <w:pPr>
        <w:spacing w:after="0" w:line="65" w:lineRule="exact"/>
        <w:rPr>
          <w:sz w:val="20"/>
          <w:szCs w:val="20"/>
          <w:color w:val="auto"/>
        </w:rPr>
      </w:pPr>
    </w:p>
    <w:p>
      <w:pPr>
        <w:ind w:left="1"/>
        <w:spacing w:after="0"/>
        <w:rPr>
          <w:sz w:val="20"/>
          <w:szCs w:val="20"/>
          <w:color w:val="auto"/>
        </w:rPr>
      </w:pPr>
      <w:r>
        <w:rPr>
          <w:rFonts w:ascii="Arial" w:cs="Arial" w:eastAsia="Arial" w:hAnsi="Arial"/>
          <w:sz w:val="20"/>
          <w:szCs w:val="20"/>
          <w:color w:val="auto"/>
        </w:rPr>
        <w:t>Additionally, the increase in Evergy Metro's gross margin (GAAP) was also partially offset by:</w:t>
      </w:r>
    </w:p>
    <w:p>
      <w:pPr>
        <w:spacing w:after="0" w:line="121" w:lineRule="exact"/>
        <w:rPr>
          <w:sz w:val="20"/>
          <w:szCs w:val="20"/>
          <w:color w:val="auto"/>
        </w:rPr>
      </w:pPr>
    </w:p>
    <w:p>
      <w:pPr>
        <w:jc w:val="both"/>
        <w:ind w:left="661" w:right="60" w:hanging="328"/>
        <w:spacing w:after="0" w:line="299" w:lineRule="auto"/>
        <w:tabs>
          <w:tab w:leader="none" w:pos="6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$7.8 million increase in operating and maintenance expenses which are determined to be directly attributable to revenue producing activities primarily driven by a $5.6 million increase in transmission and distribution operating and maintenance expenses and a $3.8 million increase in plant operating and maintenance expense at fossil-fuel generating units as described further below;</w:t>
      </w:r>
    </w:p>
    <w:p>
      <w:pPr>
        <w:spacing w:after="0" w:line="36" w:lineRule="exact"/>
        <w:rPr>
          <w:rFonts w:ascii="Arial" w:cs="Arial" w:eastAsia="Arial" w:hAnsi="Arial"/>
          <w:sz w:val="18"/>
          <w:szCs w:val="18"/>
          <w:color w:val="auto"/>
        </w:rPr>
      </w:pPr>
    </w:p>
    <w:p>
      <w:pPr>
        <w:ind w:left="641" w:hanging="308"/>
        <w:spacing w:after="0"/>
        <w:tabs>
          <w:tab w:leader="none" w:pos="641"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$13.9 million increase in depreciation and amortization expense as described further below; and</w:t>
      </w:r>
    </w:p>
    <w:p>
      <w:pPr>
        <w:spacing w:after="0" w:line="121" w:lineRule="exact"/>
        <w:rPr>
          <w:rFonts w:ascii="Arial" w:cs="Arial" w:eastAsia="Arial" w:hAnsi="Arial"/>
          <w:sz w:val="20"/>
          <w:szCs w:val="20"/>
          <w:color w:val="auto"/>
        </w:rPr>
      </w:pPr>
    </w:p>
    <w:p>
      <w:pPr>
        <w:ind w:left="641" w:hanging="308"/>
        <w:spacing w:after="0"/>
        <w:tabs>
          <w:tab w:leader="none" w:pos="641"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$2.8 million increase in taxes other than income taxes as described further below.</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22"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Evergy Metro's operating and maintenance expense decreased $21.3 million year to date September 30, 2022, compared to the same period in 2021, primarily driven by:</w:t>
      </w:r>
    </w:p>
    <w:p>
      <w:pPr>
        <w:spacing w:after="0" w:line="88" w:lineRule="exact"/>
        <w:rPr>
          <w:sz w:val="20"/>
          <w:szCs w:val="20"/>
          <w:color w:val="auto"/>
        </w:rPr>
      </w:pPr>
    </w:p>
    <w:p>
      <w:pPr>
        <w:ind w:left="660" w:right="42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$10.1 million decrease due to higher costs billed for common use assets in 2022, primarily to Evergy Kansas Central related to facilities and software assets;</w:t>
      </w:r>
    </w:p>
    <w:p>
      <w:pPr>
        <w:spacing w:after="0" w:line="82" w:lineRule="exact"/>
        <w:rPr>
          <w:rFonts w:ascii="Arial" w:cs="Arial" w:eastAsia="Arial" w:hAnsi="Arial"/>
          <w:sz w:val="20"/>
          <w:szCs w:val="20"/>
          <w:color w:val="auto"/>
        </w:rPr>
      </w:pPr>
    </w:p>
    <w:p>
      <w:pPr>
        <w:ind w:left="640" w:hanging="308"/>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$9.0 million decrease in certain labor and employee benefits expenses; and</w:t>
      </w:r>
    </w:p>
    <w:p>
      <w:pPr>
        <w:spacing w:after="0" w:line="121" w:lineRule="exact"/>
        <w:rPr>
          <w:rFonts w:ascii="Arial" w:cs="Arial" w:eastAsia="Arial" w:hAnsi="Arial"/>
          <w:sz w:val="20"/>
          <w:szCs w:val="20"/>
          <w:color w:val="auto"/>
        </w:rPr>
      </w:pPr>
    </w:p>
    <w:p>
      <w:pPr>
        <w:ind w:left="660" w:right="46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$2.3 million decrease in costs recorded in 2022 associated with executive transition, including inducement bonuses, severance agreements and other transition expenses; partially offset by</w:t>
      </w:r>
    </w:p>
    <w:p>
      <w:pPr>
        <w:spacing w:after="0" w:line="82" w:lineRule="exact"/>
        <w:rPr>
          <w:rFonts w:ascii="Arial" w:cs="Arial" w:eastAsia="Arial" w:hAnsi="Arial"/>
          <w:sz w:val="20"/>
          <w:szCs w:val="20"/>
          <w:color w:val="auto"/>
        </w:rPr>
      </w:pPr>
    </w:p>
    <w:p>
      <w:pPr>
        <w:ind w:left="660" w:right="78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$5.6 million increase in various transmission and distribution operating and maintenance expenses primarily due to higher contractor costs and a $3.8 million increase in vegetation management costs in 2022; and</w:t>
      </w:r>
    </w:p>
    <w:p>
      <w:pPr>
        <w:spacing w:after="0" w:line="82" w:lineRule="exact"/>
        <w:rPr>
          <w:rFonts w:ascii="Arial" w:cs="Arial" w:eastAsia="Arial" w:hAnsi="Arial"/>
          <w:sz w:val="20"/>
          <w:szCs w:val="20"/>
          <w:color w:val="auto"/>
        </w:rPr>
      </w:pPr>
    </w:p>
    <w:p>
      <w:pPr>
        <w:ind w:left="660" w:right="560" w:hanging="328"/>
        <w:spacing w:after="0" w:line="274"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$3.8 million increase in plant operating and maintenance expense at fossil-fuel generating units driven by major maintenance outages at Iatan Unit 1 and La Cygne Unit 2 in 2022.</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Expense</w:t>
      </w:r>
    </w:p>
    <w:p>
      <w:pPr>
        <w:spacing w:after="0" w:line="2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Evergy Metro's depreciation and amortization expense increased $13.9 million year to date September 30, 2022, compared to the same period in 2021, primarily driven by higher capital additions in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Taxes Other Than Income Tax</w:t>
      </w:r>
    </w:p>
    <w:p>
      <w:pPr>
        <w:spacing w:after="0" w:line="26"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Evergy Metro's taxes other than income tax increased $2.8 million year to date September 30, 2022, compared to the same period in 2021, driven by an increase in property taxes in Missouri and Kansas primarily due to higher assessed property tax values.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Evergy Metro's income tax expense increased $11.5 million year to date September 30, 2022, compared to the same period in 2021, primarily driven by higher pre-tax income in 2022.</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2021 Form 10-K and therefore are not represented here.</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2021 Form 10-K. Evergy's exposure to market risk has not changed materially since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6"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September 30, 2022, that has materially affected, or is reasonably likely to materially affect, its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September 30, 2022, that has materially affected, or is reasonably likely to materially affect, its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September 30, 2022, that has materially affected, or is reasonably likely to materially affect, its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180"/>
        <w:spacing w:after="0" w:line="248"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4 and 10 to the consolidated financial statements. Such information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2021 Form 10-K for each of Evergy, Evergy Kansas Central and Evergy Metro, as well as Quarterly Reports on Form 10-Q and from time to time in Current Reports on Form 8-K filed by Evergy, Evergy Kansas Central and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Evergy Metro. There have been no material changes with regards to those risk factors since the filing of the 2021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6"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089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8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Total Number of</w:t>
            </w:r>
          </w:p>
        </w:tc>
        <w:tc>
          <w:tcPr>
            <w:tcW w:w="2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r>
      <w:tr>
        <w:trPr>
          <w:trHeight w:val="176"/>
        </w:trPr>
        <w:tc>
          <w:tcPr>
            <w:tcW w:w="1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Number of</w:t>
            </w:r>
          </w:p>
        </w:tc>
      </w:tr>
      <w:tr>
        <w:trPr>
          <w:trHeight w:val="184"/>
        </w:trPr>
        <w:tc>
          <w:tcPr>
            <w:tcW w:w="1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4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87"/>
              </w:rPr>
              <w:t>Purchased as</w:t>
            </w:r>
          </w:p>
        </w:tc>
        <w:tc>
          <w:tcPr>
            <w:tcW w:w="22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Shares (or Units)</w:t>
            </w:r>
          </w:p>
        </w:tc>
      </w:tr>
      <w:tr>
        <w:trPr>
          <w:trHeight w:val="180"/>
        </w:trPr>
        <w:tc>
          <w:tcPr>
            <w:tcW w:w="1980" w:type="dxa"/>
            <w:vAlign w:val="bottom"/>
          </w:tcPr>
          <w:p>
            <w:pPr>
              <w:spacing w:after="0"/>
              <w:rPr>
                <w:sz w:val="15"/>
                <w:szCs w:val="15"/>
                <w:color w:val="auto"/>
              </w:rPr>
            </w:pPr>
          </w:p>
        </w:tc>
        <w:tc>
          <w:tcPr>
            <w:tcW w:w="2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Total Number of</w:t>
            </w:r>
          </w:p>
        </w:tc>
        <w:tc>
          <w:tcPr>
            <w:tcW w:w="2200" w:type="dxa"/>
            <w:vAlign w:val="bottom"/>
          </w:tcPr>
          <w:p>
            <w:pPr>
              <w:jc w:val="center"/>
              <w:ind w:right="410"/>
              <w:spacing w:after="0" w:line="181" w:lineRule="exact"/>
              <w:rPr>
                <w:sz w:val="20"/>
                <w:szCs w:val="20"/>
                <w:color w:val="auto"/>
              </w:rPr>
            </w:pPr>
            <w:r>
              <w:rPr>
                <w:rFonts w:ascii="Arial" w:cs="Arial" w:eastAsia="Arial" w:hAnsi="Arial"/>
                <w:sz w:val="18"/>
                <w:szCs w:val="18"/>
                <w:b w:val="1"/>
                <w:bCs w:val="1"/>
                <w:color w:val="auto"/>
                <w:w w:val="88"/>
              </w:rPr>
              <w:t>Average Price</w:t>
            </w:r>
          </w:p>
        </w:tc>
        <w:tc>
          <w:tcPr>
            <w:tcW w:w="204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Part of Publicly</w:t>
            </w:r>
          </w:p>
        </w:tc>
        <w:tc>
          <w:tcPr>
            <w:tcW w:w="2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that May Yet Be</w:t>
            </w:r>
          </w:p>
        </w:tc>
      </w:tr>
      <w:tr>
        <w:trPr>
          <w:trHeight w:val="176"/>
        </w:trPr>
        <w:tc>
          <w:tcPr>
            <w:tcW w:w="1980" w:type="dxa"/>
            <w:vAlign w:val="bottom"/>
          </w:tcPr>
          <w:p>
            <w:pPr>
              <w:spacing w:after="0"/>
              <w:rPr>
                <w:sz w:val="15"/>
                <w:szCs w:val="15"/>
                <w:color w:val="auto"/>
              </w:rPr>
            </w:pP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2200" w:type="dxa"/>
            <w:vAlign w:val="bottom"/>
          </w:tcPr>
          <w:p>
            <w:pPr>
              <w:jc w:val="center"/>
              <w:ind w:right="350"/>
              <w:spacing w:after="0" w:line="176" w:lineRule="exact"/>
              <w:rPr>
                <w:sz w:val="20"/>
                <w:szCs w:val="20"/>
                <w:color w:val="auto"/>
              </w:rPr>
            </w:pPr>
            <w:r>
              <w:rPr>
                <w:rFonts w:ascii="Arial" w:cs="Arial" w:eastAsia="Arial" w:hAnsi="Arial"/>
                <w:sz w:val="18"/>
                <w:szCs w:val="18"/>
                <w:b w:val="1"/>
                <w:bCs w:val="1"/>
                <w:color w:val="auto"/>
                <w:w w:val="91"/>
              </w:rPr>
              <w:t>Paid per Share</w:t>
            </w:r>
          </w:p>
        </w:tc>
        <w:tc>
          <w:tcPr>
            <w:tcW w:w="2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r>
      <w:tr>
        <w:trPr>
          <w:trHeight w:val="243"/>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27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(a)</w:t>
            </w:r>
          </w:p>
        </w:tc>
        <w:tc>
          <w:tcPr>
            <w:tcW w:w="22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7"/>
              </w:rPr>
              <w:t>(or Unit)</w:t>
            </w:r>
          </w:p>
        </w:tc>
        <w:tc>
          <w:tcPr>
            <w:tcW w:w="2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or Programs</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r>
      <w:tr>
        <w:trPr>
          <w:trHeight w:val="22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1 -31</w:t>
            </w:r>
          </w:p>
        </w:tc>
        <w:tc>
          <w:tcPr>
            <w:tcW w:w="2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1,949</w:t>
            </w:r>
          </w:p>
        </w:tc>
        <w:tc>
          <w:tcPr>
            <w:tcW w:w="2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$66.81</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rPr>
              <w:t>August 1 - 31</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24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2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707</w:t>
            </w: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70.03</w:t>
            </w:r>
          </w:p>
        </w:tc>
        <w:tc>
          <w:tcPr>
            <w:tcW w:w="2040" w:type="dxa"/>
            <w:vAlign w:val="bottom"/>
            <w:tcBorders>
              <w:bottom w:val="single" w:sz="8" w:color="auto"/>
            </w:tcBorders>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2,656</w:t>
            </w:r>
          </w:p>
        </w:tc>
        <w:tc>
          <w:tcPr>
            <w:tcW w:w="2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$67.67</w:t>
            </w:r>
          </w:p>
        </w:tc>
        <w:tc>
          <w:tcPr>
            <w:tcW w:w="204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restricted stock units.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5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8"/>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5"/>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5"/>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78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20"/>
                <w:szCs w:val="20"/>
                <w:color w:val="0000FF"/>
                <w:w w:val="91"/>
              </w:rPr>
              <w:t>Rule 13a-14(a)/15d-14(a) Certification of David A. Campbell.</w:t>
            </w:r>
          </w:p>
        </w:tc>
        <w:tc>
          <w:tcPr>
            <w:tcW w:w="1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0000FF"/>
              </w:rPr>
              <w:t>Rule 13a-14(a)/15d-14(a) Certification of Kirkland B. Andrews.</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color w:val="0000FF"/>
                <w:w w:val="91"/>
              </w:rPr>
              <w:t>Section 1350 Certifications.</w:t>
            </w:r>
          </w:p>
        </w:tc>
        <w:tc>
          <w:tcPr>
            <w:tcW w:w="2840" w:type="dxa"/>
            <w:vAlign w:val="bottom"/>
            <w:tcBorders>
              <w:top w:val="single" w:sz="8" w:color="0000FF"/>
            </w:tcBorders>
            <w:gridSpan w:val="4"/>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1"/>
              </w:rPr>
              <w:t>Section 1350 Certifications.</w:t>
            </w:r>
          </w:p>
        </w:tc>
        <w:tc>
          <w:tcPr>
            <w:tcW w:w="4480" w:type="dxa"/>
            <w:vAlign w:val="bottom"/>
            <w:gridSpan w:val="5"/>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tcPr>
          <w:p>
            <w:pPr>
              <w:spacing w:after="0"/>
              <w:rPr>
                <w:sz w:val="20"/>
                <w:szCs w:val="20"/>
                <w:color w:val="auto"/>
              </w:rPr>
            </w:pPr>
            <w:r>
              <w:rPr>
                <w:rFonts w:ascii="Arial" w:cs="Arial" w:eastAsia="Arial" w:hAnsi="Arial"/>
                <w:sz w:val="20"/>
                <w:szCs w:val="20"/>
                <w:color w:val="0000FF"/>
                <w:w w:val="90"/>
              </w:rPr>
              <w:t>Section 1350 Certifications.</w:t>
            </w:r>
          </w:p>
        </w:tc>
        <w:tc>
          <w:tcPr>
            <w:tcW w:w="4500" w:type="dxa"/>
            <w:vAlign w:val="bottom"/>
            <w:gridSpan w:val="6"/>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20" w:type="dxa"/>
            <w:vAlign w:val="bottom"/>
            <w:gridSpan w:val="7"/>
          </w:tcPr>
          <w:p>
            <w:pPr>
              <w:spacing w:after="0"/>
              <w:rPr>
                <w:sz w:val="20"/>
                <w:szCs w:val="20"/>
                <w:color w:val="auto"/>
              </w:rPr>
            </w:pPr>
            <w:r>
              <w:rPr>
                <w:rFonts w:ascii="Arial" w:cs="Arial" w:eastAsia="Arial" w:hAnsi="Arial"/>
                <w:sz w:val="20"/>
                <w:szCs w:val="20"/>
                <w:color w:val="auto"/>
              </w:rPr>
              <w:t>XBRL Instance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20" w:type="dxa"/>
            <w:vAlign w:val="bottom"/>
            <w:gridSpan w:val="3"/>
          </w:tcPr>
          <w:p>
            <w:pPr>
              <w:ind w:left="300"/>
              <w:spacing w:after="0" w:line="19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93"/>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7"/>
          </w:tcPr>
          <w:p>
            <w:pPr>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20" w:type="dxa"/>
            <w:vAlign w:val="bottom"/>
            <w:gridSpan w:val="3"/>
          </w:tcPr>
          <w:p>
            <w:pPr>
              <w:ind w:left="300"/>
              <w:spacing w:after="0" w:line="215"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Arial" w:cs="Arial" w:eastAsia="Arial" w:hAnsi="Arial"/>
          <w:sz w:val="20"/>
          <w:szCs w:val="20"/>
          <w:color w:val="auto"/>
        </w:rPr>
        <w:t>Evergy Metro</w:t>
      </w:r>
    </w:p>
    <w:p>
      <w:pPr>
        <w:spacing w:after="0" w:line="186" w:lineRule="exact"/>
        <w:rPr>
          <w:sz w:val="20"/>
          <w:szCs w:val="20"/>
          <w:color w:val="auto"/>
        </w:rPr>
      </w:pPr>
    </w:p>
    <w:p>
      <w:pPr>
        <w:ind w:right="60" w:firstLine="8"/>
        <w:spacing w:after="0" w:line="257" w:lineRule="auto"/>
        <w:tabs>
          <w:tab w:leader="none" w:pos="1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25" w:lineRule="exact"/>
        <w:rPr>
          <w:sz w:val="20"/>
          <w:szCs w:val="20"/>
          <w:color w:val="auto"/>
        </w:rPr>
      </w:pPr>
    </w:p>
    <w:p>
      <w:pPr>
        <w:jc w:val="both"/>
        <w:ind w:firstLine="8"/>
        <w:spacing w:after="0" w:line="257" w:lineRule="auto"/>
        <w:tabs>
          <w:tab w:leader="none" w:pos="247" w:val="left"/>
        </w:tabs>
        <w:numPr>
          <w:ilvl w:val="0"/>
          <w:numId w:val="40"/>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1" w:lineRule="exact"/>
        <w:rPr>
          <w:rFonts w:ascii="Arial" w:cs="Arial" w:eastAsia="Arial" w:hAnsi="Arial"/>
          <w:sz w:val="20"/>
          <w:szCs w:val="20"/>
          <w:color w:val="auto"/>
        </w:rPr>
      </w:pPr>
    </w:p>
    <w:p>
      <w:pPr>
        <w:ind w:right="560" w:firstLine="8"/>
        <w:spacing w:after="0" w:line="274" w:lineRule="auto"/>
        <w:tabs>
          <w:tab w:leader="none" w:pos="346"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 Indicates management contract or compensatory plan or arrangement.</w:t>
      </w:r>
    </w:p>
    <w:p>
      <w:pPr>
        <w:sectPr>
          <w:pgSz w:w="11900" w:h="16838" w:orient="portrait"/>
          <w:cols w:equalWidth="0" w:num="1">
            <w:col w:w="11040"/>
          </w:cols>
          <w:pgMar w:left="320" w:top="9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96"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8" w:name="page79"/>
    <w:bookmarkEnd w:id="78"/>
    <w:p>
      <w:pPr>
        <w:spacing w:after="0"/>
        <w:rPr>
          <w:sz w:val="20"/>
          <w:szCs w:val="20"/>
          <w:color w:val="auto"/>
        </w:rPr>
      </w:pPr>
      <w:r>
        <w:rPr>
          <w:rFonts w:ascii="Arial" w:cs="Arial" w:eastAsia="Arial" w:hAnsi="Arial"/>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EVERGY, INC.</w:t>
      </w:r>
    </w:p>
    <w:p>
      <w:pPr>
        <w:spacing w:after="0" w:line="289" w:lineRule="exact"/>
        <w:rPr>
          <w:sz w:val="20"/>
          <w:szCs w:val="20"/>
          <w:color w:val="auto"/>
        </w:rPr>
      </w:pPr>
    </w:p>
    <w:p>
      <w:pPr>
        <w:ind w:left="900" w:right="4740" w:hanging="4035"/>
        <w:spacing w:after="0" w:line="267" w:lineRule="auto"/>
        <w:tabs>
          <w:tab w:leader="none" w:pos="88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3, 2022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(Executive Vice President and Chief Financial Officer)</w:t>
      </w:r>
    </w:p>
    <w:p>
      <w:pPr>
        <w:spacing w:after="0" w:line="34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KANSAS CENTRAL, INC.</w:t>
      </w:r>
    </w:p>
    <w:p>
      <w:pPr>
        <w:spacing w:after="0" w:line="289" w:lineRule="exact"/>
        <w:rPr>
          <w:sz w:val="20"/>
          <w:szCs w:val="20"/>
          <w:color w:val="auto"/>
        </w:rPr>
      </w:pPr>
    </w:p>
    <w:p>
      <w:pPr>
        <w:ind w:left="920" w:right="4720" w:hanging="4062"/>
        <w:spacing w:after="0" w:line="267" w:lineRule="auto"/>
        <w:tabs>
          <w:tab w:leader="none" w:pos="9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3, 2022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38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EVERGY METRO, INC.</w:t>
      </w:r>
    </w:p>
    <w:p>
      <w:pPr>
        <w:spacing w:after="0" w:line="289" w:lineRule="exact"/>
        <w:rPr>
          <w:sz w:val="20"/>
          <w:szCs w:val="20"/>
          <w:color w:val="auto"/>
        </w:rPr>
      </w:pPr>
    </w:p>
    <w:p>
      <w:pPr>
        <w:ind w:left="920" w:right="4720" w:hanging="4062"/>
        <w:spacing w:after="0" w:line="267" w:lineRule="auto"/>
        <w:tabs>
          <w:tab w:leader="none" w:pos="90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 xml:space="preserve">November 3, 2022 By: </w:t>
      </w:r>
      <w:r>
        <w:rPr>
          <w:rFonts w:ascii="Arial" w:cs="Arial" w:eastAsia="Arial" w:hAnsi="Arial"/>
          <w:sz w:val="20"/>
          <w:szCs w:val="20"/>
          <w:u w:val="single" w:color="auto"/>
          <w:color w:val="auto"/>
        </w:rPr>
        <w:t>/s/ Kirkland B. Andrews</w:t>
      </w:r>
      <w:r>
        <w:rPr>
          <w:rFonts w:ascii="Arial" w:cs="Arial" w:eastAsia="Arial" w:hAnsi="Arial"/>
          <w:sz w:val="20"/>
          <w:szCs w:val="20"/>
          <w:color w:val="auto"/>
        </w:rPr>
        <w:t xml:space="preserve"> (Kirkland B. Andrews)</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121" w:right="4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200"/>
              <w:spacing w:after="0"/>
              <w:rPr>
                <w:sz w:val="20"/>
                <w:szCs w:val="20"/>
                <w:color w:val="auto"/>
              </w:rPr>
            </w:pPr>
            <w:r>
              <w:rPr>
                <w:rFonts w:ascii="Arial" w:cs="Arial" w:eastAsia="Arial" w:hAnsi="Arial"/>
                <w:sz w:val="18"/>
                <w:szCs w:val="18"/>
                <w:color w:val="0038FF"/>
              </w:rPr>
              <w:t>November 3, 2022</w:t>
            </w:r>
          </w:p>
        </w:tc>
        <w:tc>
          <w:tcPr>
            <w:tcW w:w="4900" w:type="dxa"/>
            <w:vAlign w:val="bottom"/>
            <w:gridSpan w:val="3"/>
          </w:tcPr>
          <w:p>
            <w:pPr>
              <w:ind w:left="216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900" w:type="dxa"/>
            <w:vAlign w:val="bottom"/>
            <w:gridSpan w:val="3"/>
          </w:tcPr>
          <w:p>
            <w:pPr>
              <w:ind w:left="216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900" w:type="dxa"/>
            <w:vAlign w:val="bottom"/>
            <w:gridSpan w:val="3"/>
          </w:tcPr>
          <w:p>
            <w:pPr>
              <w:ind w:left="216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November 3, 2022</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88"/>
        </w:trPr>
        <w:tc>
          <w:tcPr>
            <w:tcW w:w="6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November 3,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November 3,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88"/>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November 3, 2022</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November 3, 2022</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88"/>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100" w:type="dxa"/>
            <w:vAlign w:val="bottom"/>
            <w:gridSpan w:val="2"/>
          </w:tcPr>
          <w:p>
            <w:pPr>
              <w:spacing w:after="0" w:line="189"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September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bl>
    <w:p>
      <w:pPr>
        <w:sectPr>
          <w:pgSz w:w="11900" w:h="16838" w:orient="portrait"/>
          <w:cols w:equalWidth="0" w:num="1">
            <w:col w:w="11240"/>
          </w:cols>
          <w:pgMar w:left="320" w:top="89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September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bl>
    <w:p>
      <w:pPr>
        <w:sectPr>
          <w:pgSz w:w="11900" w:h="16838" w:orient="portrait"/>
          <w:cols w:equalWidth="0" w:num="1">
            <w:col w:w="11240"/>
          </w:cols>
          <w:pgMar w:left="320" w:top="89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September 30, 2022,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42"/>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3, 2022</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4"/>
    </w:lvl>
    <w:lvl w:ilvl="1">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lvl w:ilvl="1">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2022-11-04T05:33:50Z</dcterms:created>
  <dcterms:modified xsi:type="dcterms:W3CDTF">2022-11-04T05:33:50Z</dcterms:modified>
</cp:coreProperties>
</file>