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680" w:right="2320" w:hanging="2348"/>
        <w:spacing w:after="0" w:line="277" w:lineRule="auto"/>
        <w:tabs>
          <w:tab w:leader="none" w:pos="25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2019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680" w:right="2320" w:hanging="2358"/>
        <w:spacing w:after="0" w:line="277" w:lineRule="auto"/>
        <w:tabs>
          <w:tab w:leader="none" w:pos="253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152400</wp:posOffset>
            </wp:positionV>
            <wp:extent cx="258127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127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224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8"/>
              </w:rPr>
              <w:t>Commission</w:t>
            </w:r>
          </w:p>
        </w:tc>
        <w:tc>
          <w:tcPr>
            <w:tcW w:w="5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220" w:type="dxa"/>
            <w:vAlign w:val="bottom"/>
          </w:tcPr>
          <w:p>
            <w:pPr>
              <w:spacing w:after="0"/>
              <w:rPr>
                <w:sz w:val="23"/>
                <w:szCs w:val="23"/>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224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92"/>
              </w:rPr>
              <w:t>File Number</w:t>
            </w:r>
          </w:p>
        </w:tc>
        <w:tc>
          <w:tcPr>
            <w:tcW w:w="5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220" w:type="dxa"/>
            <w:vAlign w:val="bottom"/>
          </w:tcPr>
          <w:p>
            <w:pPr>
              <w:spacing w:after="0"/>
              <w:rPr>
                <w:sz w:val="23"/>
                <w:szCs w:val="23"/>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Identification Number</w:t>
            </w:r>
          </w:p>
        </w:tc>
        <w:tc>
          <w:tcPr>
            <w:tcW w:w="0" w:type="dxa"/>
            <w:vAlign w:val="bottom"/>
          </w:tcPr>
          <w:p>
            <w:pPr>
              <w:spacing w:after="0"/>
              <w:rPr>
                <w:sz w:val="1"/>
                <w:szCs w:val="1"/>
                <w:color w:val="auto"/>
              </w:rPr>
            </w:pPr>
          </w:p>
        </w:tc>
      </w:tr>
      <w:tr>
        <w:trPr>
          <w:trHeight w:val="34"/>
        </w:trPr>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212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5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rPr>
              <w:t>EVERGY, INC.</w:t>
            </w:r>
          </w:p>
        </w:tc>
        <w:tc>
          <w:tcPr>
            <w:tcW w:w="2740" w:type="dxa"/>
            <w:vAlign w:val="bottom"/>
            <w:gridSpan w:val="4"/>
          </w:tcPr>
          <w:p>
            <w:pPr>
              <w:jc w:val="center"/>
              <w:ind w:left="130"/>
              <w:spacing w:after="0"/>
              <w:rPr>
                <w:sz w:val="20"/>
                <w:szCs w:val="20"/>
                <w:color w:val="auto"/>
              </w:rPr>
            </w:pPr>
            <w:r>
              <w:rPr>
                <w:rFonts w:ascii="Arial" w:cs="Arial" w:eastAsia="Arial" w:hAnsi="Arial"/>
                <w:sz w:val="18"/>
                <w:szCs w:val="18"/>
                <w:color w:val="auto"/>
                <w:w w:val="91"/>
              </w:rPr>
              <w:t>82-2733395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gridSpan w:val="4"/>
          </w:tcPr>
          <w:p>
            <w:pPr>
              <w:jc w:val="center"/>
              <w:ind w:right="20"/>
              <w:spacing w:after="0"/>
              <w:rPr>
                <w:sz w:val="20"/>
                <w:szCs w:val="20"/>
                <w:color w:val="auto"/>
              </w:rPr>
            </w:pPr>
            <w:r>
              <w:rPr>
                <w:rFonts w:ascii="Arial" w:cs="Arial" w:eastAsia="Arial" w:hAnsi="Arial"/>
                <w:sz w:val="18"/>
                <w:szCs w:val="18"/>
                <w:color w:val="auto"/>
                <w:w w:val="93"/>
              </w:rPr>
              <w:t>(a Missouri corporation)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00" w:type="dxa"/>
            <w:vAlign w:val="bottom"/>
            <w:gridSpan w:val="3"/>
          </w:tcPr>
          <w:p>
            <w:pPr>
              <w:jc w:val="center"/>
              <w:ind w:right="2000"/>
              <w:spacing w:after="0"/>
              <w:rPr>
                <w:sz w:val="20"/>
                <w:szCs w:val="20"/>
                <w:color w:val="auto"/>
              </w:rPr>
            </w:pPr>
            <w:r>
              <w:rPr>
                <w:rFonts w:ascii="Arial" w:cs="Arial" w:eastAsia="Arial" w:hAnsi="Arial"/>
                <w:sz w:val="18"/>
                <w:szCs w:val="18"/>
                <w:color w:val="auto"/>
                <w:w w:val="91"/>
              </w:rPr>
              <w:t>1200 Main Street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Kansas City, Missouri 64105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2"/>
          </w:tcPr>
          <w:p>
            <w:pPr>
              <w:jc w:val="center"/>
              <w:ind w:left="1970"/>
              <w:spacing w:after="0"/>
              <w:rPr>
                <w:sz w:val="20"/>
                <w:szCs w:val="20"/>
                <w:color w:val="auto"/>
              </w:rPr>
            </w:pPr>
            <w:r>
              <w:rPr>
                <w:rFonts w:ascii="Arial" w:cs="Arial" w:eastAsia="Arial" w:hAnsi="Arial"/>
                <w:sz w:val="18"/>
                <w:szCs w:val="18"/>
                <w:color w:val="auto"/>
                <w:w w:val="90"/>
              </w:rPr>
              <w:t>(816) 556-2200</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12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8"/>
              </w:rPr>
              <w:t>WESTAR ENERGY, INC.</w:t>
            </w:r>
          </w:p>
        </w:tc>
        <w:tc>
          <w:tcPr>
            <w:tcW w:w="2740" w:type="dxa"/>
            <w:vAlign w:val="bottom"/>
            <w:gridSpan w:val="4"/>
          </w:tcPr>
          <w:p>
            <w:pPr>
              <w:jc w:val="center"/>
              <w:ind w:left="130"/>
              <w:spacing w:after="0"/>
              <w:rPr>
                <w:sz w:val="20"/>
                <w:szCs w:val="20"/>
                <w:color w:val="auto"/>
              </w:rPr>
            </w:pPr>
            <w:r>
              <w:rPr>
                <w:rFonts w:ascii="Arial" w:cs="Arial" w:eastAsia="Arial" w:hAnsi="Arial"/>
                <w:sz w:val="18"/>
                <w:szCs w:val="18"/>
                <w:color w:val="auto"/>
                <w:w w:val="91"/>
              </w:rPr>
              <w:t>48-0290150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(a Kansas corporation)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818 South Kansas Avenue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4"/>
          </w:tcPr>
          <w:p>
            <w:pPr>
              <w:jc w:val="center"/>
              <w:ind w:right="20"/>
              <w:spacing w:after="0"/>
              <w:rPr>
                <w:sz w:val="20"/>
                <w:szCs w:val="20"/>
                <w:color w:val="auto"/>
              </w:rPr>
            </w:pPr>
            <w:r>
              <w:rPr>
                <w:rFonts w:ascii="Arial" w:cs="Arial" w:eastAsia="Arial" w:hAnsi="Arial"/>
                <w:sz w:val="18"/>
                <w:szCs w:val="18"/>
                <w:color w:val="auto"/>
                <w:w w:val="88"/>
              </w:rPr>
              <w:t>Topeka, Kansas 66612</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2"/>
          </w:tcPr>
          <w:p>
            <w:pPr>
              <w:jc w:val="center"/>
              <w:ind w:left="1970"/>
              <w:spacing w:after="0"/>
              <w:rPr>
                <w:sz w:val="20"/>
                <w:szCs w:val="20"/>
                <w:color w:val="auto"/>
              </w:rPr>
            </w:pPr>
            <w:r>
              <w:rPr>
                <w:rFonts w:ascii="Arial" w:cs="Arial" w:eastAsia="Arial" w:hAnsi="Arial"/>
                <w:sz w:val="18"/>
                <w:szCs w:val="18"/>
                <w:color w:val="auto"/>
                <w:w w:val="90"/>
              </w:rPr>
              <w:t>(785) 575-6300</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12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KANSAS CITY POWER &amp; LIGHT COMPANY</w:t>
            </w:r>
          </w:p>
        </w:tc>
        <w:tc>
          <w:tcPr>
            <w:tcW w:w="2740" w:type="dxa"/>
            <w:vAlign w:val="bottom"/>
            <w:gridSpan w:val="4"/>
          </w:tcPr>
          <w:p>
            <w:pPr>
              <w:jc w:val="center"/>
              <w:ind w:left="130"/>
              <w:spacing w:after="0"/>
              <w:rPr>
                <w:sz w:val="20"/>
                <w:szCs w:val="20"/>
                <w:color w:val="auto"/>
              </w:rPr>
            </w:pPr>
            <w:r>
              <w:rPr>
                <w:rFonts w:ascii="Arial" w:cs="Arial" w:eastAsia="Arial" w:hAnsi="Arial"/>
                <w:sz w:val="18"/>
                <w:szCs w:val="18"/>
                <w:color w:val="auto"/>
                <w:w w:val="91"/>
              </w:rPr>
              <w:t>44-0308720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gridSpan w:val="4"/>
          </w:tcPr>
          <w:p>
            <w:pPr>
              <w:jc w:val="center"/>
              <w:ind w:right="20"/>
              <w:spacing w:after="0"/>
              <w:rPr>
                <w:sz w:val="20"/>
                <w:szCs w:val="20"/>
                <w:color w:val="auto"/>
              </w:rPr>
            </w:pPr>
            <w:r>
              <w:rPr>
                <w:rFonts w:ascii="Arial" w:cs="Arial" w:eastAsia="Arial" w:hAnsi="Arial"/>
                <w:sz w:val="18"/>
                <w:szCs w:val="18"/>
                <w:color w:val="auto"/>
                <w:w w:val="93"/>
              </w:rPr>
              <w:t>(a Missouri corporation)</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00" w:type="dxa"/>
            <w:vAlign w:val="bottom"/>
            <w:gridSpan w:val="3"/>
          </w:tcPr>
          <w:p>
            <w:pPr>
              <w:jc w:val="center"/>
              <w:ind w:right="2000"/>
              <w:spacing w:after="0"/>
              <w:rPr>
                <w:sz w:val="20"/>
                <w:szCs w:val="20"/>
                <w:color w:val="auto"/>
              </w:rPr>
            </w:pPr>
            <w:r>
              <w:rPr>
                <w:rFonts w:ascii="Arial" w:cs="Arial" w:eastAsia="Arial" w:hAnsi="Arial"/>
                <w:sz w:val="18"/>
                <w:szCs w:val="18"/>
                <w:color w:val="auto"/>
                <w:w w:val="91"/>
              </w:rPr>
              <w:t>1200 Main Street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Kansas City, Missouri 64105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2"/>
          </w:tcPr>
          <w:p>
            <w:pPr>
              <w:jc w:val="center"/>
              <w:ind w:left="1970"/>
              <w:spacing w:after="0"/>
              <w:rPr>
                <w:sz w:val="20"/>
                <w:szCs w:val="20"/>
                <w:color w:val="auto"/>
              </w:rPr>
            </w:pPr>
            <w:r>
              <w:rPr>
                <w:rFonts w:ascii="Arial" w:cs="Arial" w:eastAsia="Arial" w:hAnsi="Arial"/>
                <w:sz w:val="18"/>
                <w:szCs w:val="18"/>
                <w:color w:val="auto"/>
                <w:w w:val="90"/>
              </w:rPr>
              <w:t>(816) 556-2200</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gridSpan w:val="4"/>
          </w:tcPr>
          <w:p>
            <w:pPr>
              <w:ind w:left="600"/>
              <w:spacing w:after="0"/>
              <w:rPr>
                <w:sz w:val="20"/>
                <w:szCs w:val="20"/>
                <w:color w:val="auto"/>
              </w:rPr>
            </w:pPr>
            <w:r>
              <w:rPr>
                <w:rFonts w:ascii="Arial" w:cs="Arial" w:eastAsia="Arial" w:hAnsi="Arial"/>
                <w:sz w:val="18"/>
                <w:szCs w:val="18"/>
                <w:b w:val="1"/>
                <w:bCs w:val="1"/>
                <w:color w:val="auto"/>
                <w:w w:val="97"/>
              </w:rPr>
              <w:t>Securities registered pursuant to Section 12(b) of the Act: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2240" w:type="dxa"/>
            <w:vAlign w:val="bottom"/>
            <w:gridSpan w:val="3"/>
            <w:vMerge w:val="restart"/>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546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220" w:type="dxa"/>
            <w:vAlign w:val="bottom"/>
          </w:tcPr>
          <w:p>
            <w:pPr>
              <w:spacing w:after="0"/>
              <w:rPr>
                <w:sz w:val="19"/>
                <w:szCs w:val="19"/>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88"/>
        </w:trPr>
        <w:tc>
          <w:tcPr>
            <w:tcW w:w="760" w:type="dxa"/>
            <w:vAlign w:val="bottom"/>
          </w:tcPr>
          <w:p>
            <w:pPr>
              <w:spacing w:after="0"/>
              <w:rPr>
                <w:sz w:val="7"/>
                <w:szCs w:val="7"/>
                <w:color w:val="auto"/>
              </w:rPr>
            </w:pPr>
          </w:p>
        </w:tc>
        <w:tc>
          <w:tcPr>
            <w:tcW w:w="2240" w:type="dxa"/>
            <w:vAlign w:val="bottom"/>
            <w:gridSpan w:val="3"/>
            <w:vMerge w:val="continue"/>
          </w:tcPr>
          <w:p>
            <w:pPr>
              <w:spacing w:after="0"/>
              <w:rPr>
                <w:sz w:val="7"/>
                <w:szCs w:val="7"/>
                <w:color w:val="auto"/>
              </w:rPr>
            </w:pPr>
          </w:p>
        </w:tc>
        <w:tc>
          <w:tcPr>
            <w:tcW w:w="546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2520" w:type="dxa"/>
            <w:vAlign w:val="bottom"/>
            <w:tcBorders>
              <w:top w:val="single" w:sz="8" w:color="auto"/>
            </w:tcBorders>
            <w:gridSpan w:val="3"/>
            <w:vMerge w:val="restart"/>
          </w:tcPr>
          <w:p>
            <w:pPr>
              <w:jc w:val="center"/>
              <w:spacing w:after="0" w:line="196" w:lineRule="exact"/>
              <w:rPr>
                <w:sz w:val="20"/>
                <w:szCs w:val="20"/>
                <w:color w:val="auto"/>
              </w:rPr>
            </w:pPr>
            <w:r>
              <w:rPr>
                <w:rFonts w:ascii="Arial" w:cs="Arial" w:eastAsia="Arial" w:hAnsi="Arial"/>
                <w:sz w:val="18"/>
                <w:szCs w:val="18"/>
                <w:b w:val="1"/>
                <w:bCs w:val="1"/>
                <w:color w:val="auto"/>
                <w:w w:val="87"/>
              </w:rPr>
              <w:t>registered</w:t>
            </w:r>
          </w:p>
        </w:tc>
        <w:tc>
          <w:tcPr>
            <w:tcW w:w="2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6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20" w:type="dxa"/>
            <w:vAlign w:val="bottom"/>
            <w:tcBorders>
              <w:top w:val="single" w:sz="8" w:color="auto"/>
            </w:tcBorders>
            <w:gridSpan w:val="3"/>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Evergy, Inc. common stock</w:t>
            </w:r>
          </w:p>
        </w:tc>
        <w:tc>
          <w:tcPr>
            <w:tcW w:w="1960" w:type="dxa"/>
            <w:vAlign w:val="bottom"/>
          </w:tcPr>
          <w:p>
            <w:pPr>
              <w:spacing w:after="0"/>
              <w:rPr>
                <w:sz w:val="24"/>
                <w:szCs w:val="24"/>
                <w:color w:val="auto"/>
              </w:rPr>
            </w:pPr>
          </w:p>
        </w:tc>
        <w:tc>
          <w:tcPr>
            <w:tcW w:w="3500" w:type="dxa"/>
            <w:vAlign w:val="bottom"/>
            <w:gridSpan w:val="3"/>
          </w:tcPr>
          <w:p>
            <w:pPr>
              <w:jc w:val="center"/>
              <w:ind w:right="2080"/>
              <w:spacing w:after="0"/>
              <w:rPr>
                <w:sz w:val="20"/>
                <w:szCs w:val="20"/>
                <w:color w:val="auto"/>
              </w:rPr>
            </w:pPr>
            <w:r>
              <w:rPr>
                <w:rFonts w:ascii="Arial" w:cs="Arial" w:eastAsia="Arial" w:hAnsi="Arial"/>
                <w:sz w:val="18"/>
                <w:szCs w:val="18"/>
                <w:color w:val="auto"/>
                <w:w w:val="97"/>
              </w:rPr>
              <w:t>EVRG</w:t>
            </w:r>
          </w:p>
        </w:tc>
        <w:tc>
          <w:tcPr>
            <w:tcW w:w="220" w:type="dxa"/>
            <w:vAlign w:val="bottom"/>
          </w:tcPr>
          <w:p>
            <w:pPr>
              <w:spacing w:after="0"/>
              <w:rPr>
                <w:sz w:val="24"/>
                <w:szCs w:val="24"/>
                <w:color w:val="auto"/>
              </w:rPr>
            </w:pPr>
          </w:p>
        </w:tc>
        <w:tc>
          <w:tcPr>
            <w:tcW w:w="274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34"/>
        </w:trPr>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1" w:right="239" w:bottom="1440" w:gutter="0" w:footer="0" w:header="0"/>
        </w:sectPr>
      </w:pPr>
    </w:p>
    <w:bookmarkStart w:id="1" w:name="page2"/>
    <w:bookmarkEnd w:id="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right="60"/>
        <w:spacing w:after="0" w:line="3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240" w:type="dxa"/>
            <w:vAlign w:val="bottom"/>
          </w:tcPr>
          <w:p>
            <w:pPr>
              <w:spacing w:after="0"/>
              <w:rPr>
                <w:sz w:val="20"/>
                <w:szCs w:val="20"/>
                <w:color w:val="auto"/>
              </w:rPr>
            </w:pPr>
            <w:r>
              <w:rPr>
                <w:rFonts w:ascii="Arial" w:cs="Arial" w:eastAsia="Arial" w:hAnsi="Arial"/>
                <w:sz w:val="16"/>
                <w:szCs w:val="16"/>
                <w:color w:val="auto"/>
              </w:rPr>
              <w:t>Evergy, Inc.</w:t>
            </w:r>
          </w:p>
        </w:tc>
        <w:tc>
          <w:tcPr>
            <w:tcW w:w="1180" w:type="dxa"/>
            <w:vAlign w:val="bottom"/>
          </w:tcPr>
          <w:p>
            <w:pPr>
              <w:ind w:left="780"/>
              <w:spacing w:after="0"/>
              <w:rPr>
                <w:sz w:val="20"/>
                <w:szCs w:val="20"/>
                <w:color w:val="auto"/>
              </w:rPr>
            </w:pPr>
            <w:r>
              <w:rPr>
                <w:rFonts w:ascii="Arial" w:cs="Arial" w:eastAsia="Arial" w:hAnsi="Arial"/>
                <w:sz w:val="16"/>
                <w:szCs w:val="16"/>
                <w:color w:val="auto"/>
              </w:rPr>
              <w:t>Yes</w:t>
            </w:r>
          </w:p>
        </w:tc>
        <w:tc>
          <w:tcPr>
            <w:tcW w:w="740" w:type="dxa"/>
            <w:vAlign w:val="bottom"/>
          </w:tcPr>
          <w:p>
            <w:pPr>
              <w:ind w:left="160"/>
              <w:spacing w:after="0"/>
              <w:rPr>
                <w:sz w:val="20"/>
                <w:szCs w:val="20"/>
                <w:color w:val="auto"/>
              </w:rPr>
            </w:pPr>
            <w:r>
              <w:rPr>
                <w:rFonts w:ascii="Arial" w:cs="Arial" w:eastAsia="Arial" w:hAnsi="Arial"/>
                <w:sz w:val="18"/>
                <w:szCs w:val="18"/>
                <w:color w:val="auto"/>
              </w:rPr>
              <w:t>x</w:t>
            </w:r>
          </w:p>
        </w:tc>
        <w:tc>
          <w:tcPr>
            <w:tcW w:w="820" w:type="dxa"/>
            <w:vAlign w:val="bottom"/>
          </w:tcPr>
          <w:p>
            <w:pPr>
              <w:ind w:left="480"/>
              <w:spacing w:after="0"/>
              <w:rPr>
                <w:sz w:val="20"/>
                <w:szCs w:val="20"/>
                <w:color w:val="auto"/>
              </w:rPr>
            </w:pPr>
            <w:r>
              <w:rPr>
                <w:rFonts w:ascii="Arial" w:cs="Arial" w:eastAsia="Arial" w:hAnsi="Arial"/>
                <w:sz w:val="16"/>
                <w:szCs w:val="16"/>
                <w:color w:val="auto"/>
              </w:rPr>
              <w:t>No</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240" w:type="dxa"/>
            <w:vAlign w:val="bottom"/>
          </w:tcPr>
          <w:p>
            <w:pPr>
              <w:spacing w:after="0"/>
              <w:rPr>
                <w:sz w:val="20"/>
                <w:szCs w:val="20"/>
                <w:color w:val="auto"/>
              </w:rPr>
            </w:pPr>
            <w:r>
              <w:rPr>
                <w:rFonts w:ascii="Arial" w:cs="Arial" w:eastAsia="Arial" w:hAnsi="Arial"/>
                <w:sz w:val="16"/>
                <w:szCs w:val="16"/>
                <w:color w:val="auto"/>
              </w:rPr>
              <w:t>Westar Energy, Inc.</w:t>
            </w:r>
          </w:p>
        </w:tc>
        <w:tc>
          <w:tcPr>
            <w:tcW w:w="1180" w:type="dxa"/>
            <w:vAlign w:val="bottom"/>
          </w:tcPr>
          <w:p>
            <w:pPr>
              <w:ind w:left="780"/>
              <w:spacing w:after="0"/>
              <w:rPr>
                <w:sz w:val="20"/>
                <w:szCs w:val="20"/>
                <w:color w:val="auto"/>
              </w:rPr>
            </w:pPr>
            <w:r>
              <w:rPr>
                <w:rFonts w:ascii="Arial" w:cs="Arial" w:eastAsia="Arial" w:hAnsi="Arial"/>
                <w:sz w:val="16"/>
                <w:szCs w:val="16"/>
                <w:color w:val="auto"/>
              </w:rPr>
              <w:t>Yes</w:t>
            </w:r>
          </w:p>
        </w:tc>
        <w:tc>
          <w:tcPr>
            <w:tcW w:w="740" w:type="dxa"/>
            <w:vAlign w:val="bottom"/>
          </w:tcPr>
          <w:p>
            <w:pPr>
              <w:ind w:left="160"/>
              <w:spacing w:after="0"/>
              <w:rPr>
                <w:sz w:val="20"/>
                <w:szCs w:val="20"/>
                <w:color w:val="auto"/>
              </w:rPr>
            </w:pPr>
            <w:r>
              <w:rPr>
                <w:rFonts w:ascii="Arial" w:cs="Arial" w:eastAsia="Arial" w:hAnsi="Arial"/>
                <w:sz w:val="18"/>
                <w:szCs w:val="18"/>
                <w:color w:val="auto"/>
              </w:rPr>
              <w:t>x</w:t>
            </w:r>
          </w:p>
        </w:tc>
        <w:tc>
          <w:tcPr>
            <w:tcW w:w="820" w:type="dxa"/>
            <w:vAlign w:val="bottom"/>
          </w:tcPr>
          <w:p>
            <w:pPr>
              <w:ind w:left="480"/>
              <w:spacing w:after="0"/>
              <w:rPr>
                <w:sz w:val="20"/>
                <w:szCs w:val="20"/>
                <w:color w:val="auto"/>
              </w:rPr>
            </w:pPr>
            <w:r>
              <w:rPr>
                <w:rFonts w:ascii="Arial" w:cs="Arial" w:eastAsia="Arial" w:hAnsi="Arial"/>
                <w:sz w:val="16"/>
                <w:szCs w:val="16"/>
                <w:color w:val="auto"/>
              </w:rPr>
              <w:t>No</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240" w:type="dxa"/>
            <w:vAlign w:val="bottom"/>
          </w:tcPr>
          <w:p>
            <w:pPr>
              <w:spacing w:after="0"/>
              <w:rPr>
                <w:sz w:val="20"/>
                <w:szCs w:val="20"/>
                <w:color w:val="auto"/>
              </w:rPr>
            </w:pPr>
            <w:r>
              <w:rPr>
                <w:rFonts w:ascii="Arial" w:cs="Arial" w:eastAsia="Arial" w:hAnsi="Arial"/>
                <w:sz w:val="16"/>
                <w:szCs w:val="16"/>
                <w:color w:val="auto"/>
              </w:rPr>
              <w:t>Kansas City Power &amp; Light Company</w:t>
            </w:r>
          </w:p>
        </w:tc>
        <w:tc>
          <w:tcPr>
            <w:tcW w:w="1180" w:type="dxa"/>
            <w:vAlign w:val="bottom"/>
          </w:tcPr>
          <w:p>
            <w:pPr>
              <w:ind w:left="780"/>
              <w:spacing w:after="0"/>
              <w:rPr>
                <w:sz w:val="20"/>
                <w:szCs w:val="20"/>
                <w:color w:val="auto"/>
              </w:rPr>
            </w:pPr>
            <w:r>
              <w:rPr>
                <w:rFonts w:ascii="Arial" w:cs="Arial" w:eastAsia="Arial" w:hAnsi="Arial"/>
                <w:sz w:val="16"/>
                <w:szCs w:val="16"/>
                <w:color w:val="auto"/>
              </w:rPr>
              <w:t>Yes</w:t>
            </w:r>
          </w:p>
        </w:tc>
        <w:tc>
          <w:tcPr>
            <w:tcW w:w="740" w:type="dxa"/>
            <w:vAlign w:val="bottom"/>
          </w:tcPr>
          <w:p>
            <w:pPr>
              <w:ind w:left="160"/>
              <w:spacing w:after="0"/>
              <w:rPr>
                <w:sz w:val="20"/>
                <w:szCs w:val="20"/>
                <w:color w:val="auto"/>
              </w:rPr>
            </w:pPr>
            <w:r>
              <w:rPr>
                <w:rFonts w:ascii="Arial" w:cs="Arial" w:eastAsia="Arial" w:hAnsi="Arial"/>
                <w:sz w:val="18"/>
                <w:szCs w:val="18"/>
                <w:color w:val="auto"/>
              </w:rPr>
              <w:t>x</w:t>
            </w:r>
          </w:p>
        </w:tc>
        <w:tc>
          <w:tcPr>
            <w:tcW w:w="820" w:type="dxa"/>
            <w:vAlign w:val="bottom"/>
          </w:tcPr>
          <w:p>
            <w:pPr>
              <w:ind w:left="480"/>
              <w:spacing w:after="0"/>
              <w:rPr>
                <w:sz w:val="20"/>
                <w:szCs w:val="20"/>
                <w:color w:val="auto"/>
              </w:rPr>
            </w:pPr>
            <w:r>
              <w:rPr>
                <w:rFonts w:ascii="Arial" w:cs="Arial" w:eastAsia="Arial" w:hAnsi="Arial"/>
                <w:sz w:val="18"/>
                <w:szCs w:val="18"/>
                <w:color w:val="auto"/>
              </w:rPr>
              <w:t>No</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9" w:lineRule="exact"/>
        <w:rPr>
          <w:sz w:val="20"/>
          <w:szCs w:val="20"/>
          <w:color w:val="auto"/>
        </w:rPr>
      </w:pPr>
    </w:p>
    <w:p>
      <w:pPr>
        <w:ind w:left="40"/>
        <w:spacing w:after="0" w:line="32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240" w:type="dxa"/>
            <w:vAlign w:val="bottom"/>
          </w:tcPr>
          <w:p>
            <w:pPr>
              <w:spacing w:after="0"/>
              <w:rPr>
                <w:sz w:val="20"/>
                <w:szCs w:val="20"/>
                <w:color w:val="auto"/>
              </w:rPr>
            </w:pPr>
            <w:r>
              <w:rPr>
                <w:rFonts w:ascii="Arial" w:cs="Arial" w:eastAsia="Arial" w:hAnsi="Arial"/>
                <w:sz w:val="16"/>
                <w:szCs w:val="16"/>
                <w:color w:val="auto"/>
              </w:rPr>
              <w:t>Evergy, Inc.</w:t>
            </w:r>
          </w:p>
        </w:tc>
        <w:tc>
          <w:tcPr>
            <w:tcW w:w="1180" w:type="dxa"/>
            <w:vAlign w:val="bottom"/>
          </w:tcPr>
          <w:p>
            <w:pPr>
              <w:ind w:left="780"/>
              <w:spacing w:after="0"/>
              <w:rPr>
                <w:sz w:val="20"/>
                <w:szCs w:val="20"/>
                <w:color w:val="auto"/>
              </w:rPr>
            </w:pPr>
            <w:r>
              <w:rPr>
                <w:rFonts w:ascii="Arial" w:cs="Arial" w:eastAsia="Arial" w:hAnsi="Arial"/>
                <w:sz w:val="16"/>
                <w:szCs w:val="16"/>
                <w:color w:val="auto"/>
              </w:rPr>
              <w:t>Yes</w:t>
            </w:r>
          </w:p>
        </w:tc>
        <w:tc>
          <w:tcPr>
            <w:tcW w:w="740" w:type="dxa"/>
            <w:vAlign w:val="bottom"/>
          </w:tcPr>
          <w:p>
            <w:pPr>
              <w:ind w:left="160"/>
              <w:spacing w:after="0"/>
              <w:rPr>
                <w:sz w:val="20"/>
                <w:szCs w:val="20"/>
                <w:color w:val="auto"/>
              </w:rPr>
            </w:pPr>
            <w:r>
              <w:rPr>
                <w:rFonts w:ascii="Arial" w:cs="Arial" w:eastAsia="Arial" w:hAnsi="Arial"/>
                <w:sz w:val="18"/>
                <w:szCs w:val="18"/>
                <w:color w:val="auto"/>
              </w:rPr>
              <w:t>x</w:t>
            </w:r>
          </w:p>
        </w:tc>
        <w:tc>
          <w:tcPr>
            <w:tcW w:w="800" w:type="dxa"/>
            <w:vAlign w:val="bottom"/>
          </w:tcPr>
          <w:p>
            <w:pPr>
              <w:ind w:left="48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240" w:type="dxa"/>
            <w:vAlign w:val="bottom"/>
          </w:tcPr>
          <w:p>
            <w:pPr>
              <w:spacing w:after="0"/>
              <w:rPr>
                <w:sz w:val="20"/>
                <w:szCs w:val="20"/>
                <w:color w:val="auto"/>
              </w:rPr>
            </w:pPr>
            <w:r>
              <w:rPr>
                <w:rFonts w:ascii="Arial" w:cs="Arial" w:eastAsia="Arial" w:hAnsi="Arial"/>
                <w:sz w:val="16"/>
                <w:szCs w:val="16"/>
                <w:color w:val="auto"/>
              </w:rPr>
              <w:t>Westar Energy, Inc.</w:t>
            </w:r>
          </w:p>
        </w:tc>
        <w:tc>
          <w:tcPr>
            <w:tcW w:w="1180" w:type="dxa"/>
            <w:vAlign w:val="bottom"/>
          </w:tcPr>
          <w:p>
            <w:pPr>
              <w:ind w:left="780"/>
              <w:spacing w:after="0"/>
              <w:rPr>
                <w:sz w:val="20"/>
                <w:szCs w:val="20"/>
                <w:color w:val="auto"/>
              </w:rPr>
            </w:pPr>
            <w:r>
              <w:rPr>
                <w:rFonts w:ascii="Arial" w:cs="Arial" w:eastAsia="Arial" w:hAnsi="Arial"/>
                <w:sz w:val="16"/>
                <w:szCs w:val="16"/>
                <w:color w:val="auto"/>
              </w:rPr>
              <w:t>Yes</w:t>
            </w:r>
          </w:p>
        </w:tc>
        <w:tc>
          <w:tcPr>
            <w:tcW w:w="740" w:type="dxa"/>
            <w:vAlign w:val="bottom"/>
          </w:tcPr>
          <w:p>
            <w:pPr>
              <w:ind w:left="160"/>
              <w:spacing w:after="0"/>
              <w:rPr>
                <w:sz w:val="20"/>
                <w:szCs w:val="20"/>
                <w:color w:val="auto"/>
              </w:rPr>
            </w:pPr>
            <w:r>
              <w:rPr>
                <w:rFonts w:ascii="Arial" w:cs="Arial" w:eastAsia="Arial" w:hAnsi="Arial"/>
                <w:sz w:val="18"/>
                <w:szCs w:val="18"/>
                <w:color w:val="auto"/>
              </w:rPr>
              <w:t>x</w:t>
            </w:r>
          </w:p>
        </w:tc>
        <w:tc>
          <w:tcPr>
            <w:tcW w:w="800" w:type="dxa"/>
            <w:vAlign w:val="bottom"/>
          </w:tcPr>
          <w:p>
            <w:pPr>
              <w:ind w:left="48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240" w:type="dxa"/>
            <w:vAlign w:val="bottom"/>
          </w:tcPr>
          <w:p>
            <w:pPr>
              <w:spacing w:after="0"/>
              <w:rPr>
                <w:sz w:val="20"/>
                <w:szCs w:val="20"/>
                <w:color w:val="auto"/>
              </w:rPr>
            </w:pPr>
            <w:r>
              <w:rPr>
                <w:rFonts w:ascii="Arial" w:cs="Arial" w:eastAsia="Arial" w:hAnsi="Arial"/>
                <w:sz w:val="16"/>
                <w:szCs w:val="16"/>
                <w:color w:val="auto"/>
              </w:rPr>
              <w:t>Kansas City Power &amp; Light Company</w:t>
            </w:r>
          </w:p>
        </w:tc>
        <w:tc>
          <w:tcPr>
            <w:tcW w:w="1180" w:type="dxa"/>
            <w:vAlign w:val="bottom"/>
          </w:tcPr>
          <w:p>
            <w:pPr>
              <w:ind w:left="780"/>
              <w:spacing w:after="0"/>
              <w:rPr>
                <w:sz w:val="20"/>
                <w:szCs w:val="20"/>
                <w:color w:val="auto"/>
              </w:rPr>
            </w:pPr>
            <w:r>
              <w:rPr>
                <w:rFonts w:ascii="Arial" w:cs="Arial" w:eastAsia="Arial" w:hAnsi="Arial"/>
                <w:sz w:val="16"/>
                <w:szCs w:val="16"/>
                <w:color w:val="auto"/>
              </w:rPr>
              <w:t>Yes</w:t>
            </w:r>
          </w:p>
        </w:tc>
        <w:tc>
          <w:tcPr>
            <w:tcW w:w="740" w:type="dxa"/>
            <w:vAlign w:val="bottom"/>
          </w:tcPr>
          <w:p>
            <w:pPr>
              <w:ind w:left="160"/>
              <w:spacing w:after="0"/>
              <w:rPr>
                <w:sz w:val="20"/>
                <w:szCs w:val="20"/>
                <w:color w:val="auto"/>
              </w:rPr>
            </w:pPr>
            <w:r>
              <w:rPr>
                <w:rFonts w:ascii="Arial" w:cs="Arial" w:eastAsia="Arial" w:hAnsi="Arial"/>
                <w:sz w:val="18"/>
                <w:szCs w:val="18"/>
                <w:color w:val="auto"/>
              </w:rPr>
              <w:t>x</w:t>
            </w:r>
          </w:p>
        </w:tc>
        <w:tc>
          <w:tcPr>
            <w:tcW w:w="800" w:type="dxa"/>
            <w:vAlign w:val="bottom"/>
          </w:tcPr>
          <w:p>
            <w:pPr>
              <w:ind w:left="48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9" w:lineRule="exact"/>
        <w:rPr>
          <w:sz w:val="20"/>
          <w:szCs w:val="20"/>
          <w:color w:val="auto"/>
        </w:rPr>
      </w:pPr>
    </w:p>
    <w:p>
      <w:pPr>
        <w:ind w:left="40" w:right="2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640" w:type="dxa"/>
            <w:vAlign w:val="bottom"/>
          </w:tcPr>
          <w:p>
            <w:pPr>
              <w:jc w:val="center"/>
              <w:ind w:left="159"/>
              <w:spacing w:after="0"/>
              <w:rPr>
                <w:sz w:val="20"/>
                <w:szCs w:val="20"/>
                <w:color w:val="auto"/>
              </w:rPr>
            </w:pPr>
            <w:r>
              <w:rPr>
                <w:rFonts w:ascii="Arial" w:cs="Arial" w:eastAsia="Arial" w:hAnsi="Arial"/>
                <w:sz w:val="16"/>
                <w:szCs w:val="16"/>
                <w:color w:val="auto"/>
                <w:w w:val="92"/>
              </w:rPr>
              <w:t>Large Accelerated</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17"/>
                <w:szCs w:val="17"/>
                <w:color w:val="auto"/>
              </w:rPr>
            </w:pPr>
          </w:p>
        </w:tc>
        <w:tc>
          <w:tcPr>
            <w:tcW w:w="3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Smaller Reporting</w:t>
            </w:r>
          </w:p>
        </w:tc>
        <w:tc>
          <w:tcPr>
            <w:tcW w:w="28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820" w:type="dxa"/>
            <w:vAlign w:val="bottom"/>
          </w:tcPr>
          <w:p>
            <w:pPr>
              <w:spacing w:after="0"/>
              <w:rPr>
                <w:sz w:val="20"/>
                <w:szCs w:val="20"/>
                <w:color w:val="auto"/>
              </w:rPr>
            </w:pPr>
            <w:r>
              <w:rPr>
                <w:rFonts w:ascii="Arial" w:cs="Arial" w:eastAsia="Arial" w:hAnsi="Arial"/>
                <w:sz w:val="16"/>
                <w:szCs w:val="16"/>
                <w:color w:val="auto"/>
              </w:rPr>
              <w:t>Evergy, Inc.</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w w:val="96"/>
              </w:rPr>
              <w:t>Filer</w:t>
            </w:r>
          </w:p>
        </w:tc>
        <w:tc>
          <w:tcPr>
            <w:tcW w:w="320" w:type="dxa"/>
            <w:vAlign w:val="bottom"/>
            <w:vMerge w:val="continue"/>
          </w:tcPr>
          <w:p>
            <w:pPr>
              <w:spacing w:after="0"/>
              <w:rPr>
                <w:sz w:val="19"/>
                <w:szCs w:val="19"/>
                <w:color w:val="auto"/>
              </w:rPr>
            </w:pPr>
          </w:p>
        </w:tc>
        <w:tc>
          <w:tcPr>
            <w:tcW w:w="1300" w:type="dxa"/>
            <w:vAlign w:val="bottom"/>
          </w:tcPr>
          <w:p>
            <w:pPr>
              <w:ind w:left="100"/>
              <w:spacing w:after="0"/>
              <w:rPr>
                <w:sz w:val="20"/>
                <w:szCs w:val="20"/>
                <w:color w:val="auto"/>
              </w:rPr>
            </w:pPr>
            <w:r>
              <w:rPr>
                <w:rFonts w:ascii="Arial" w:cs="Arial" w:eastAsia="Arial" w:hAnsi="Arial"/>
                <w:sz w:val="16"/>
                <w:szCs w:val="16"/>
                <w:color w:val="auto"/>
                <w:w w:val="98"/>
              </w:rPr>
              <w:t>Accelerated Filer</w:t>
            </w:r>
          </w:p>
        </w:tc>
        <w:tc>
          <w:tcPr>
            <w:tcW w:w="34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60" w:type="dxa"/>
            <w:vAlign w:val="bottom"/>
            <w:vMerge w:val="continue"/>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28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820" w:type="dxa"/>
            <w:vAlign w:val="bottom"/>
          </w:tcPr>
          <w:p>
            <w:pPr>
              <w:spacing w:after="0"/>
              <w:rPr>
                <w:sz w:val="24"/>
                <w:szCs w:val="24"/>
                <w:color w:val="auto"/>
              </w:rPr>
            </w:pPr>
          </w:p>
        </w:tc>
        <w:tc>
          <w:tcPr>
            <w:tcW w:w="1640" w:type="dxa"/>
            <w:vAlign w:val="bottom"/>
          </w:tcPr>
          <w:p>
            <w:pPr>
              <w:jc w:val="center"/>
              <w:ind w:left="159"/>
              <w:spacing w:after="0"/>
              <w:rPr>
                <w:sz w:val="20"/>
                <w:szCs w:val="20"/>
                <w:color w:val="auto"/>
              </w:rPr>
            </w:pPr>
            <w:r>
              <w:rPr>
                <w:rFonts w:ascii="Arial" w:cs="Arial" w:eastAsia="Arial" w:hAnsi="Arial"/>
                <w:sz w:val="16"/>
                <w:szCs w:val="16"/>
                <w:color w:val="auto"/>
                <w:w w:val="92"/>
              </w:rPr>
              <w:t>Large Accelerated</w:t>
            </w:r>
          </w:p>
        </w:tc>
        <w:tc>
          <w:tcPr>
            <w:tcW w:w="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tcPr>
          <w:p>
            <w:pPr>
              <w:spacing w:after="0"/>
              <w:rPr>
                <w:sz w:val="24"/>
                <w:szCs w:val="24"/>
                <w:color w:val="auto"/>
              </w:rPr>
            </w:pPr>
          </w:p>
        </w:tc>
        <w:tc>
          <w:tcPr>
            <w:tcW w:w="3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Smaller Reporting</w:t>
            </w:r>
          </w:p>
        </w:tc>
        <w:tc>
          <w:tcPr>
            <w:tcW w:w="28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820" w:type="dxa"/>
            <w:vAlign w:val="bottom"/>
          </w:tcPr>
          <w:p>
            <w:pPr>
              <w:spacing w:after="0"/>
              <w:rPr>
                <w:sz w:val="20"/>
                <w:szCs w:val="20"/>
                <w:color w:val="auto"/>
              </w:rPr>
            </w:pPr>
            <w:r>
              <w:rPr>
                <w:rFonts w:ascii="Arial" w:cs="Arial" w:eastAsia="Arial" w:hAnsi="Arial"/>
                <w:sz w:val="16"/>
                <w:szCs w:val="16"/>
                <w:color w:val="auto"/>
              </w:rPr>
              <w:t>Westar Energy, Inc.</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w w:val="96"/>
              </w:rPr>
              <w:t>Filer</w:t>
            </w:r>
          </w:p>
        </w:tc>
        <w:tc>
          <w:tcPr>
            <w:tcW w:w="320" w:type="dxa"/>
            <w:vAlign w:val="bottom"/>
            <w:vMerge w:val="continue"/>
          </w:tcPr>
          <w:p>
            <w:pPr>
              <w:spacing w:after="0"/>
              <w:rPr>
                <w:sz w:val="19"/>
                <w:szCs w:val="19"/>
                <w:color w:val="auto"/>
              </w:rPr>
            </w:pPr>
          </w:p>
        </w:tc>
        <w:tc>
          <w:tcPr>
            <w:tcW w:w="1300" w:type="dxa"/>
            <w:vAlign w:val="bottom"/>
          </w:tcPr>
          <w:p>
            <w:pPr>
              <w:ind w:left="100"/>
              <w:spacing w:after="0"/>
              <w:rPr>
                <w:sz w:val="20"/>
                <w:szCs w:val="20"/>
                <w:color w:val="auto"/>
              </w:rPr>
            </w:pPr>
            <w:r>
              <w:rPr>
                <w:rFonts w:ascii="Arial" w:cs="Arial" w:eastAsia="Arial" w:hAnsi="Arial"/>
                <w:sz w:val="16"/>
                <w:szCs w:val="16"/>
                <w:color w:val="auto"/>
                <w:w w:val="98"/>
              </w:rPr>
              <w:t>Accelerated Filer</w:t>
            </w:r>
          </w:p>
        </w:tc>
        <w:tc>
          <w:tcPr>
            <w:tcW w:w="34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60" w:type="dxa"/>
            <w:vAlign w:val="bottom"/>
            <w:vMerge w:val="continue"/>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28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820" w:type="dxa"/>
            <w:vAlign w:val="bottom"/>
          </w:tcPr>
          <w:p>
            <w:pPr>
              <w:spacing w:after="0"/>
              <w:rPr>
                <w:sz w:val="24"/>
                <w:szCs w:val="24"/>
                <w:color w:val="auto"/>
              </w:rPr>
            </w:pPr>
          </w:p>
        </w:tc>
        <w:tc>
          <w:tcPr>
            <w:tcW w:w="1640" w:type="dxa"/>
            <w:vAlign w:val="bottom"/>
          </w:tcPr>
          <w:p>
            <w:pPr>
              <w:jc w:val="center"/>
              <w:ind w:left="159"/>
              <w:spacing w:after="0"/>
              <w:rPr>
                <w:sz w:val="20"/>
                <w:szCs w:val="20"/>
                <w:color w:val="auto"/>
              </w:rPr>
            </w:pPr>
            <w:r>
              <w:rPr>
                <w:rFonts w:ascii="Arial" w:cs="Arial" w:eastAsia="Arial" w:hAnsi="Arial"/>
                <w:sz w:val="16"/>
                <w:szCs w:val="16"/>
                <w:color w:val="auto"/>
                <w:w w:val="92"/>
              </w:rPr>
              <w:t>Large Accelerated</w:t>
            </w:r>
          </w:p>
        </w:tc>
        <w:tc>
          <w:tcPr>
            <w:tcW w:w="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tcPr>
          <w:p>
            <w:pPr>
              <w:spacing w:after="0"/>
              <w:rPr>
                <w:sz w:val="24"/>
                <w:szCs w:val="24"/>
                <w:color w:val="auto"/>
              </w:rPr>
            </w:pPr>
          </w:p>
        </w:tc>
        <w:tc>
          <w:tcPr>
            <w:tcW w:w="3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Smaller Reporting</w:t>
            </w:r>
          </w:p>
        </w:tc>
        <w:tc>
          <w:tcPr>
            <w:tcW w:w="28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820" w:type="dxa"/>
            <w:vAlign w:val="bottom"/>
          </w:tcPr>
          <w:p>
            <w:pPr>
              <w:spacing w:after="0"/>
              <w:rPr>
                <w:sz w:val="20"/>
                <w:szCs w:val="20"/>
                <w:color w:val="auto"/>
              </w:rPr>
            </w:pPr>
            <w:r>
              <w:rPr>
                <w:rFonts w:ascii="Arial" w:cs="Arial" w:eastAsia="Arial" w:hAnsi="Arial"/>
                <w:sz w:val="16"/>
                <w:szCs w:val="16"/>
                <w:color w:val="auto"/>
              </w:rPr>
              <w:t>Kansas City Power &amp; Light Company</w:t>
            </w:r>
          </w:p>
        </w:tc>
        <w:tc>
          <w:tcPr>
            <w:tcW w:w="1640" w:type="dxa"/>
            <w:vAlign w:val="bottom"/>
          </w:tcPr>
          <w:p>
            <w:pPr>
              <w:jc w:val="center"/>
              <w:ind w:left="139"/>
              <w:spacing w:after="0"/>
              <w:rPr>
                <w:sz w:val="20"/>
                <w:szCs w:val="20"/>
                <w:color w:val="auto"/>
              </w:rPr>
            </w:pPr>
            <w:r>
              <w:rPr>
                <w:rFonts w:ascii="Arial" w:cs="Arial" w:eastAsia="Arial" w:hAnsi="Arial"/>
                <w:sz w:val="16"/>
                <w:szCs w:val="16"/>
                <w:color w:val="auto"/>
                <w:w w:val="96"/>
              </w:rPr>
              <w:t>Filer</w:t>
            </w:r>
          </w:p>
        </w:tc>
        <w:tc>
          <w:tcPr>
            <w:tcW w:w="320" w:type="dxa"/>
            <w:vAlign w:val="bottom"/>
            <w:vMerge w:val="continue"/>
          </w:tcPr>
          <w:p>
            <w:pPr>
              <w:spacing w:after="0"/>
              <w:rPr>
                <w:sz w:val="19"/>
                <w:szCs w:val="19"/>
                <w:color w:val="auto"/>
              </w:rPr>
            </w:pPr>
          </w:p>
        </w:tc>
        <w:tc>
          <w:tcPr>
            <w:tcW w:w="1300" w:type="dxa"/>
            <w:vAlign w:val="bottom"/>
          </w:tcPr>
          <w:p>
            <w:pPr>
              <w:ind w:left="100"/>
              <w:spacing w:after="0"/>
              <w:rPr>
                <w:sz w:val="20"/>
                <w:szCs w:val="20"/>
                <w:color w:val="auto"/>
              </w:rPr>
            </w:pPr>
            <w:r>
              <w:rPr>
                <w:rFonts w:ascii="Arial" w:cs="Arial" w:eastAsia="Arial" w:hAnsi="Arial"/>
                <w:sz w:val="16"/>
                <w:szCs w:val="16"/>
                <w:color w:val="auto"/>
                <w:w w:val="98"/>
              </w:rPr>
              <w:t>Accelerated Filer</w:t>
            </w:r>
          </w:p>
        </w:tc>
        <w:tc>
          <w:tcPr>
            <w:tcW w:w="34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60" w:type="dxa"/>
            <w:vAlign w:val="bottom"/>
            <w:vMerge w:val="continue"/>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28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40" w:right="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320"/>
          </w:cols>
          <w:pgMar w:left="240" w:top="121" w:right="339" w:bottom="1440" w:gutter="0" w:footer="0" w:header="0"/>
        </w:sectPr>
      </w:pP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0"/>
          <w:szCs w:val="20"/>
          <w:color w:val="auto"/>
        </w:rPr>
      </w:pPr>
    </w:p>
    <w:p>
      <w:pPr>
        <w:sectPr>
          <w:pgSz w:w="11900" w:h="16838" w:orient="portrait"/>
          <w:cols w:equalWidth="0" w:num="2">
            <w:col w:w="2760" w:space="720"/>
            <w:col w:w="7840"/>
          </w:cols>
          <w:pgMar w:left="240" w:top="121" w:right="339" w:bottom="1440" w:gutter="0" w:footer="0" w:header="0"/>
          <w:type w:val="continuous"/>
        </w:sectPr>
      </w:pP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Westar Energy,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0"/>
          <w:szCs w:val="20"/>
          <w:color w:val="auto"/>
        </w:rPr>
      </w:pPr>
    </w:p>
    <w:p>
      <w:pPr>
        <w:sectPr>
          <w:pgSz w:w="11900" w:h="16838" w:orient="portrait"/>
          <w:cols w:equalWidth="0" w:num="2">
            <w:col w:w="2760" w:space="720"/>
            <w:col w:w="7840"/>
          </w:cols>
          <w:pgMar w:left="240" w:top="121" w:right="339" w:bottom="1440" w:gutter="0" w:footer="0" w:header="0"/>
          <w:type w:val="continuous"/>
        </w:sectPr>
      </w:pPr>
    </w:p>
    <w:p>
      <w:pPr>
        <w:spacing w:after="0" w:line="51" w:lineRule="exact"/>
        <w:rPr>
          <w:sz w:val="20"/>
          <w:szCs w:val="20"/>
          <w:color w:val="auto"/>
        </w:rPr>
      </w:pPr>
    </w:p>
    <w:p>
      <w:pPr>
        <w:ind w:left="40"/>
        <w:spacing w:after="0"/>
        <w:rPr>
          <w:sz w:val="20"/>
          <w:szCs w:val="20"/>
          <w:color w:val="auto"/>
        </w:rPr>
      </w:pPr>
      <w:r>
        <w:rPr>
          <w:rFonts w:ascii="Arial" w:cs="Arial" w:eastAsia="Arial" w:hAnsi="Arial"/>
          <w:sz w:val="15"/>
          <w:szCs w:val="15"/>
          <w:color w:val="auto"/>
        </w:rPr>
        <w:t>Kansas City Power &amp; Light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3" w:lineRule="exact"/>
        <w:rPr>
          <w:sz w:val="20"/>
          <w:szCs w:val="20"/>
          <w:color w:val="auto"/>
        </w:rPr>
      </w:pPr>
    </w:p>
    <w:p>
      <w:pPr>
        <w:sectPr>
          <w:pgSz w:w="11900" w:h="16838" w:orient="portrait"/>
          <w:cols w:equalWidth="0" w:num="2">
            <w:col w:w="2760" w:space="720"/>
            <w:col w:w="7840"/>
          </w:cols>
          <w:pgMar w:left="240" w:top="121" w:right="33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3240" w:type="dxa"/>
            <w:vAlign w:val="bottom"/>
          </w:tcPr>
          <w:p>
            <w:pPr>
              <w:spacing w:after="0"/>
              <w:rPr>
                <w:sz w:val="20"/>
                <w:szCs w:val="20"/>
                <w:color w:val="auto"/>
              </w:rPr>
            </w:pPr>
            <w:r>
              <w:rPr>
                <w:rFonts w:ascii="Arial" w:cs="Arial" w:eastAsia="Arial" w:hAnsi="Arial"/>
                <w:sz w:val="16"/>
                <w:szCs w:val="16"/>
                <w:color w:val="auto"/>
              </w:rPr>
              <w:t>Evergy, Inc.</w:t>
            </w:r>
          </w:p>
        </w:tc>
        <w:tc>
          <w:tcPr>
            <w:tcW w:w="1160" w:type="dxa"/>
            <w:vAlign w:val="bottom"/>
          </w:tcPr>
          <w:p>
            <w:pPr>
              <w:ind w:left="780"/>
              <w:spacing w:after="0"/>
              <w:rPr>
                <w:sz w:val="20"/>
                <w:szCs w:val="20"/>
                <w:color w:val="auto"/>
              </w:rPr>
            </w:pPr>
            <w:r>
              <w:rPr>
                <w:rFonts w:ascii="Arial" w:cs="Arial" w:eastAsia="Arial" w:hAnsi="Arial"/>
                <w:sz w:val="16"/>
                <w:szCs w:val="16"/>
                <w:color w:val="auto"/>
              </w:rPr>
              <w:t>Yes</w:t>
            </w:r>
          </w:p>
        </w:tc>
        <w:tc>
          <w:tcPr>
            <w:tcW w:w="7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ind w:left="48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392"/>
        </w:trPr>
        <w:tc>
          <w:tcPr>
            <w:tcW w:w="3240" w:type="dxa"/>
            <w:vAlign w:val="bottom"/>
          </w:tcPr>
          <w:p>
            <w:pPr>
              <w:spacing w:after="0"/>
              <w:rPr>
                <w:sz w:val="20"/>
                <w:szCs w:val="20"/>
                <w:color w:val="auto"/>
              </w:rPr>
            </w:pPr>
            <w:r>
              <w:rPr>
                <w:rFonts w:ascii="Arial" w:cs="Arial" w:eastAsia="Arial" w:hAnsi="Arial"/>
                <w:sz w:val="16"/>
                <w:szCs w:val="16"/>
                <w:color w:val="auto"/>
              </w:rPr>
              <w:t>Westar Energy, Inc.</w:t>
            </w:r>
          </w:p>
        </w:tc>
        <w:tc>
          <w:tcPr>
            <w:tcW w:w="1160" w:type="dxa"/>
            <w:vAlign w:val="bottom"/>
          </w:tcPr>
          <w:p>
            <w:pPr>
              <w:ind w:left="780"/>
              <w:spacing w:after="0"/>
              <w:rPr>
                <w:sz w:val="20"/>
                <w:szCs w:val="20"/>
                <w:color w:val="auto"/>
              </w:rPr>
            </w:pPr>
            <w:r>
              <w:rPr>
                <w:rFonts w:ascii="Arial" w:cs="Arial" w:eastAsia="Arial" w:hAnsi="Arial"/>
                <w:sz w:val="16"/>
                <w:szCs w:val="16"/>
                <w:color w:val="auto"/>
              </w:rPr>
              <w:t>Yes</w:t>
            </w:r>
          </w:p>
        </w:tc>
        <w:tc>
          <w:tcPr>
            <w:tcW w:w="7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ind w:left="48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392"/>
        </w:trPr>
        <w:tc>
          <w:tcPr>
            <w:tcW w:w="3240" w:type="dxa"/>
            <w:vAlign w:val="bottom"/>
          </w:tcPr>
          <w:p>
            <w:pPr>
              <w:spacing w:after="0"/>
              <w:rPr>
                <w:sz w:val="20"/>
                <w:szCs w:val="20"/>
                <w:color w:val="auto"/>
              </w:rPr>
            </w:pPr>
            <w:r>
              <w:rPr>
                <w:rFonts w:ascii="Arial" w:cs="Arial" w:eastAsia="Arial" w:hAnsi="Arial"/>
                <w:sz w:val="16"/>
                <w:szCs w:val="16"/>
                <w:color w:val="auto"/>
              </w:rPr>
              <w:t>Kansas City Power &amp; Light Company</w:t>
            </w:r>
          </w:p>
        </w:tc>
        <w:tc>
          <w:tcPr>
            <w:tcW w:w="1160" w:type="dxa"/>
            <w:vAlign w:val="bottom"/>
          </w:tcPr>
          <w:p>
            <w:pPr>
              <w:ind w:left="780"/>
              <w:spacing w:after="0"/>
              <w:rPr>
                <w:sz w:val="20"/>
                <w:szCs w:val="20"/>
                <w:color w:val="auto"/>
              </w:rPr>
            </w:pPr>
            <w:r>
              <w:rPr>
                <w:rFonts w:ascii="Arial" w:cs="Arial" w:eastAsia="Arial" w:hAnsi="Arial"/>
                <w:sz w:val="16"/>
                <w:szCs w:val="16"/>
                <w:color w:val="auto"/>
              </w:rPr>
              <w:t>Yes</w:t>
            </w:r>
          </w:p>
        </w:tc>
        <w:tc>
          <w:tcPr>
            <w:tcW w:w="7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ind w:left="48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On August 2, 2019, Evergy, Inc. had 235,467,484 shares of common stock outstanding. On August 2, 2019, Kansas City Power &amp; Light Company and Westar Energy, Inc.</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each had one share of common stock outstanding and held by Evergy, Inc.</w:t>
      </w:r>
    </w:p>
    <w:p>
      <w:pPr>
        <w:spacing w:after="0" w:line="177" w:lineRule="exact"/>
        <w:rPr>
          <w:sz w:val="20"/>
          <w:szCs w:val="20"/>
          <w:color w:val="auto"/>
        </w:rPr>
      </w:pPr>
    </w:p>
    <w:p>
      <w:pPr>
        <w:ind w:left="40" w:right="600"/>
        <w:spacing w:after="0" w:line="298" w:lineRule="auto"/>
        <w:rPr>
          <w:sz w:val="20"/>
          <w:szCs w:val="20"/>
          <w:color w:val="auto"/>
        </w:rPr>
      </w:pPr>
      <w:r>
        <w:rPr>
          <w:rFonts w:ascii="Arial" w:cs="Arial" w:eastAsia="Arial" w:hAnsi="Arial"/>
          <w:sz w:val="16"/>
          <w:szCs w:val="16"/>
          <w:b w:val="1"/>
          <w:bCs w:val="1"/>
          <w:color w:val="auto"/>
        </w:rPr>
        <w:t>Westar Energy, Inc. and Kansas City Power &amp; Light Company meet the conditions set forth in General Instruction (H)(1)(a) and (b) of Form 10-Q and are therefore filing this Form 10-Q with the reduced disclosure format.</w:t>
      </w:r>
    </w:p>
    <w:p>
      <w:pPr>
        <w:spacing w:after="0" w:line="20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Westar Energy, Inc. (Westar Energy) and Kansas City Power &amp; Light Company (KCP&amp;L)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92" w:lineRule="exact"/>
        <w:rPr>
          <w:sz w:val="20"/>
          <w:szCs w:val="20"/>
          <w:color w:val="auto"/>
        </w:rPr>
      </w:pPr>
    </w:p>
    <w:p>
      <w:pPr>
        <w:ind w:right="560"/>
        <w:spacing w:after="0" w:line="291" w:lineRule="auto"/>
        <w:rPr>
          <w:sz w:val="20"/>
          <w:szCs w:val="20"/>
          <w:color w:val="auto"/>
        </w:rPr>
      </w:pPr>
      <w:r>
        <w:rPr>
          <w:rFonts w:ascii="Arial" w:cs="Arial" w:eastAsia="Arial" w:hAnsi="Arial"/>
          <w:sz w:val="18"/>
          <w:szCs w:val="18"/>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2018 Form 10-K for each of Evergy, Westar Energy and KCP&amp;L.</w:t>
      </w:r>
    </w:p>
    <w:p>
      <w:pPr>
        <w:sectPr>
          <w:pgSz w:w="11900" w:h="16838" w:orient="portrait"/>
          <w:cols w:equalWidth="0" w:num="1">
            <w:col w:w="11320"/>
          </w:cols>
          <w:pgMar w:left="240" w:top="121" w:right="339" w:bottom="1440" w:gutter="0" w:footer="0" w:header="0"/>
          <w:type w:val="continuous"/>
        </w:sectPr>
      </w:pPr>
    </w:p>
    <w:bookmarkStart w:id="2" w:name="page3"/>
    <w:bookmarkEnd w:id="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13"/>
          </w:tcPr>
          <w:p>
            <w:pPr>
              <w:ind w:left="2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30"/>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4"/>
          </w:tcPr>
          <w:p>
            <w:pPr>
              <w:ind w:left="460"/>
              <w:spacing w:after="0"/>
              <w:rPr>
                <w:sz w:val="20"/>
                <w:szCs w:val="20"/>
                <w:color w:val="auto"/>
              </w:rPr>
            </w:pPr>
            <w:r>
              <w:rPr>
                <w:rFonts w:ascii="Arial" w:cs="Arial" w:eastAsia="Arial" w:hAnsi="Arial"/>
                <w:sz w:val="18"/>
                <w:szCs w:val="18"/>
                <w:b w:val="1"/>
                <w:bCs w:val="1"/>
                <w:color w:val="auto"/>
                <w:w w:val="89"/>
              </w:rPr>
              <w:t>Page Number</w:t>
            </w:r>
          </w:p>
        </w:tc>
      </w:tr>
      <w:tr>
        <w:trPr>
          <w:trHeight w:val="250"/>
        </w:trPr>
        <w:tc>
          <w:tcPr>
            <w:tcW w:w="9320" w:type="dxa"/>
            <w:vAlign w:val="bottom"/>
            <w:gridSpan w:val="3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Statements Regarding Certain Forward-Looking Information</w:t>
              </w:r>
            </w:hyperlink>
          </w:p>
        </w:tc>
        <w:tc>
          <w:tcPr>
            <w:tcW w:w="460" w:type="dxa"/>
            <w:vAlign w:val="bottom"/>
          </w:tcPr>
          <w:p>
            <w:pPr>
              <w:spacing w:after="0"/>
              <w:rPr>
                <w:sz w:val="21"/>
                <w:szCs w:val="21"/>
                <w:color w:val="auto"/>
              </w:rPr>
            </w:pPr>
          </w:p>
        </w:tc>
        <w:tc>
          <w:tcPr>
            <w:tcW w:w="580" w:type="dxa"/>
            <w:vAlign w:val="bottom"/>
            <w:tcBorders>
              <w:top w:val="single" w:sz="8" w:color="auto"/>
            </w:tcBorders>
            <w:gridSpan w:val="2"/>
          </w:tcPr>
          <w:p>
            <w:pPr>
              <w:jc w:val="center"/>
              <w:ind w:left="39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80" w:type="dxa"/>
            <w:vAlign w:val="bottom"/>
            <w:tcBorders>
              <w:top w:val="single" w:sz="8" w:color="auto"/>
            </w:tcBorders>
          </w:tcPr>
          <w:p>
            <w:pPr>
              <w:spacing w:after="0"/>
              <w:rPr>
                <w:sz w:val="21"/>
                <w:szCs w:val="21"/>
                <w:color w:val="auto"/>
              </w:rPr>
            </w:pPr>
          </w:p>
        </w:tc>
      </w:tr>
      <w:tr>
        <w:trPr>
          <w:trHeight w:val="250"/>
        </w:trPr>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Glossary of Terms</w:t>
              </w:r>
            </w:hyperlink>
          </w:p>
        </w:tc>
        <w:tc>
          <w:tcPr>
            <w:tcW w:w="1280" w:type="dxa"/>
            <w:vAlign w:val="bottom"/>
            <w:tcBorders>
              <w:top w:val="single" w:sz="8" w:color="0000EE"/>
            </w:tcBorders>
            <w:gridSpan w:val="5"/>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80" w:type="dxa"/>
            <w:vAlign w:val="bottom"/>
          </w:tcPr>
          <w:p>
            <w:pPr>
              <w:spacing w:after="0"/>
              <w:rPr>
                <w:sz w:val="21"/>
                <w:szCs w:val="21"/>
                <w:color w:val="auto"/>
              </w:rPr>
            </w:pPr>
          </w:p>
        </w:tc>
      </w:tr>
      <w:tr>
        <w:trPr>
          <w:trHeight w:val="385"/>
        </w:trPr>
        <w:tc>
          <w:tcPr>
            <w:tcW w:w="2320" w:type="dxa"/>
            <w:vAlign w:val="bottom"/>
            <w:tcBorders>
              <w:bottom w:val="single" w:sz="8" w:color="0000EE"/>
            </w:tcBorders>
            <w:gridSpan w:val="6"/>
          </w:tcPr>
          <w:p>
            <w:pPr>
              <w:spacing w:after="0"/>
              <w:rPr>
                <w:rFonts w:ascii="Arial" w:cs="Arial" w:eastAsia="Arial" w:hAnsi="Arial"/>
                <w:sz w:val="18"/>
                <w:szCs w:val="18"/>
                <w:b w:val="1"/>
                <w:bCs w:val="1"/>
                <w:color w:val="0000EE"/>
                <w:w w:val="94"/>
              </w:rPr>
            </w:pPr>
            <w:hyperlink w:anchor="page7">
              <w:r>
                <w:rPr>
                  <w:rFonts w:ascii="Arial" w:cs="Arial" w:eastAsia="Arial" w:hAnsi="Arial"/>
                  <w:sz w:val="18"/>
                  <w:szCs w:val="18"/>
                  <w:b w:val="1"/>
                  <w:bCs w:val="1"/>
                  <w:color w:val="0000EE"/>
                  <w:w w:val="94"/>
                </w:rPr>
                <w:t>Part I - Financial Information</w:t>
              </w:r>
            </w:hyperlink>
          </w:p>
        </w:tc>
        <w:tc>
          <w:tcPr>
            <w:tcW w:w="3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85"/>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60" w:type="dxa"/>
            <w:vAlign w:val="bottom"/>
            <w:gridSpan w:val="3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Financial Statements</w:t>
              </w:r>
            </w:hyperlink>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Evergy, Inc.</w:t>
              </w:r>
            </w:hyperlink>
          </w:p>
        </w:tc>
        <w:tc>
          <w:tcPr>
            <w:tcW w:w="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80" w:type="dxa"/>
            <w:vAlign w:val="bottom"/>
            <w:gridSpan w:val="3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Consolidated Balance Sheets</w:t>
              </w:r>
            </w:hyperlink>
          </w:p>
        </w:tc>
        <w:tc>
          <w:tcPr>
            <w:tcW w:w="1040" w:type="dxa"/>
            <w:vAlign w:val="bottom"/>
            <w:gridSpan w:val="3"/>
          </w:tcPr>
          <w:p>
            <w:pPr>
              <w:jc w:val="center"/>
              <w:ind w:left="8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60" w:type="dxa"/>
            <w:vAlign w:val="bottom"/>
            <w:tcBorders>
              <w:bottom w:val="single" w:sz="8" w:color="0000EE"/>
            </w:tcBorders>
            <w:gridSpan w:val="26"/>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Unaudited Consolidated Statements of Comprehensive Income</w:t>
              </w:r>
            </w:hyperlink>
          </w:p>
        </w:tc>
        <w:tc>
          <w:tcPr>
            <w:tcW w:w="3520" w:type="dxa"/>
            <w:vAlign w:val="bottom"/>
            <w:gridSpan w:val="6"/>
          </w:tcPr>
          <w:p>
            <w:pPr>
              <w:spacing w:after="0"/>
              <w:rPr>
                <w:sz w:val="21"/>
                <w:szCs w:val="21"/>
                <w:color w:val="auto"/>
              </w:rPr>
            </w:pPr>
          </w:p>
        </w:tc>
        <w:tc>
          <w:tcPr>
            <w:tcW w:w="94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8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80" w:type="dxa"/>
            <w:vAlign w:val="bottom"/>
            <w:gridSpan w:val="3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Unaudited Consolidated Statements of Cash Flows</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80" w:type="dxa"/>
            <w:vAlign w:val="bottom"/>
            <w:gridSpan w:val="3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Unaudited Consolidated Statements of Changes in Equity</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11</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160" w:type="dxa"/>
            <w:vAlign w:val="bottom"/>
            <w:gridSpan w:val="33"/>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Westar Energy, Inc.</w:t>
              </w:r>
            </w:hyperlink>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80" w:type="dxa"/>
            <w:vAlign w:val="bottom"/>
            <w:gridSpan w:val="3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Unaudited Consolidated Balance Sheets</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19"/>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Unaudited Consolidated Statements of Income</w:t>
              </w:r>
            </w:hyperlink>
          </w:p>
        </w:tc>
        <w:tc>
          <w:tcPr>
            <w:tcW w:w="4640" w:type="dxa"/>
            <w:vAlign w:val="bottom"/>
            <w:gridSpan w:val="13"/>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14</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80" w:type="dxa"/>
            <w:vAlign w:val="bottom"/>
            <w:gridSpan w:val="3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Unaudited Consolidated Statements of Cash Flows</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80" w:type="dxa"/>
            <w:vAlign w:val="bottom"/>
            <w:gridSpan w:val="3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Unaudited Consolidated Statements of Changes in Equity</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16</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160" w:type="dxa"/>
            <w:vAlign w:val="bottom"/>
            <w:gridSpan w:val="3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Kansas City Power &amp; Light Company</w:t>
              </w:r>
            </w:hyperlink>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80" w:type="dxa"/>
            <w:vAlign w:val="bottom"/>
            <w:gridSpan w:val="3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Unaudited Consolidated Balance Sheets</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60" w:type="dxa"/>
            <w:vAlign w:val="bottom"/>
            <w:gridSpan w:val="26"/>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Unaudited Consolidated Statements of Comprehensive Income</w:t>
              </w:r>
            </w:hyperlink>
          </w:p>
        </w:tc>
        <w:tc>
          <w:tcPr>
            <w:tcW w:w="3520" w:type="dxa"/>
            <w:vAlign w:val="bottom"/>
            <w:gridSpan w:val="6"/>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60" w:type="dxa"/>
            <w:vAlign w:val="bottom"/>
            <w:gridSpan w:val="2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Unaudited Consolidated Statements of Cash Flows</w:t>
              </w:r>
            </w:hyperlink>
          </w:p>
        </w:tc>
        <w:tc>
          <w:tcPr>
            <w:tcW w:w="3520" w:type="dxa"/>
            <w:vAlign w:val="bottom"/>
            <w:gridSpan w:val="6"/>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980" w:type="dxa"/>
            <w:vAlign w:val="bottom"/>
            <w:gridSpan w:val="3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Unaudited Consolidated Statements of Changes in Equity</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38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20" w:type="dxa"/>
            <w:vAlign w:val="bottom"/>
            <w:gridSpan w:val="3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Combined Notes to Unaudited Consolidated Financial Statements for Evergy, Inc., Westar Energy, Inc. and</w:t>
              </w:r>
            </w:hyperlink>
          </w:p>
        </w:tc>
        <w:tc>
          <w:tcPr>
            <w:tcW w:w="440" w:type="dxa"/>
            <w:vAlign w:val="bottom"/>
          </w:tcPr>
          <w:p>
            <w:pPr>
              <w:spacing w:after="0"/>
              <w:rPr>
                <w:sz w:val="24"/>
                <w:szCs w:val="24"/>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4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5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Kansas City Power &amp; Light Company</w:t>
              </w:r>
            </w:hyperlink>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Arial" w:cs="Arial" w:eastAsia="Arial" w:hAnsi="Arial"/>
                <w:sz w:val="18"/>
                <w:szCs w:val="18"/>
                <w:color w:val="auto"/>
              </w:rPr>
              <w:t>Note 1:</w:t>
            </w:r>
          </w:p>
        </w:tc>
        <w:tc>
          <w:tcPr>
            <w:tcW w:w="2820" w:type="dxa"/>
            <w:vAlign w:val="bottom"/>
            <w:gridSpan w:val="19"/>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Organization and Basis of Presentation</w:t>
              </w:r>
            </w:hyperlink>
          </w:p>
        </w:tc>
        <w:tc>
          <w:tcPr>
            <w:tcW w:w="3880" w:type="dxa"/>
            <w:vAlign w:val="bottom"/>
            <w:gridSpan w:val="8"/>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Arial" w:cs="Arial" w:eastAsia="Arial" w:hAnsi="Arial"/>
                <w:sz w:val="18"/>
                <w:szCs w:val="18"/>
                <w:color w:val="auto"/>
              </w:rPr>
              <w:t>Note 2:</w:t>
            </w:r>
          </w:p>
        </w:tc>
        <w:tc>
          <w:tcPr>
            <w:tcW w:w="670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Merger of Great Plains Energy and Westar Energy</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Arial" w:cs="Arial" w:eastAsia="Arial" w:hAnsi="Arial"/>
                <w:sz w:val="18"/>
                <w:szCs w:val="18"/>
                <w:color w:val="auto"/>
              </w:rPr>
              <w:t>Note 3:</w:t>
            </w:r>
          </w:p>
        </w:tc>
        <w:tc>
          <w:tcPr>
            <w:tcW w:w="640" w:type="dxa"/>
            <w:vAlign w:val="bottom"/>
            <w:gridSpan w:val="6"/>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Revenue</w:t>
              </w:r>
            </w:hyperlink>
          </w:p>
        </w:tc>
        <w:tc>
          <w:tcPr>
            <w:tcW w:w="2980" w:type="dxa"/>
            <w:vAlign w:val="bottom"/>
            <w:gridSpan w:val="17"/>
          </w:tcPr>
          <w:p>
            <w:pPr>
              <w:spacing w:after="0"/>
              <w:rPr>
                <w:sz w:val="21"/>
                <w:szCs w:val="21"/>
                <w:color w:val="auto"/>
              </w:rPr>
            </w:pPr>
          </w:p>
        </w:tc>
        <w:tc>
          <w:tcPr>
            <w:tcW w:w="3080" w:type="dxa"/>
            <w:vAlign w:val="bottom"/>
            <w:gridSpan w:val="4"/>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Arial" w:cs="Arial" w:eastAsia="Arial" w:hAnsi="Arial"/>
                <w:sz w:val="18"/>
                <w:szCs w:val="18"/>
                <w:color w:val="auto"/>
              </w:rPr>
              <w:t>Note 4:</w:t>
            </w:r>
          </w:p>
        </w:tc>
        <w:tc>
          <w:tcPr>
            <w:tcW w:w="860" w:type="dxa"/>
            <w:vAlign w:val="bottom"/>
            <w:gridSpan w:val="8"/>
          </w:tcPr>
          <w:p>
            <w:pPr>
              <w:spacing w:after="0"/>
              <w:rPr>
                <w:rFonts w:ascii="Arial" w:cs="Arial" w:eastAsia="Arial" w:hAnsi="Arial"/>
                <w:sz w:val="18"/>
                <w:szCs w:val="18"/>
                <w:color w:val="0000EE"/>
                <w:w w:val="83"/>
              </w:rPr>
            </w:pPr>
            <w:hyperlink w:anchor="page32">
              <w:r>
                <w:rPr>
                  <w:rFonts w:ascii="Arial" w:cs="Arial" w:eastAsia="Arial" w:hAnsi="Arial"/>
                  <w:sz w:val="18"/>
                  <w:szCs w:val="18"/>
                  <w:color w:val="0000EE"/>
                  <w:w w:val="83"/>
                </w:rPr>
                <w:t>Receivables</w:t>
              </w:r>
            </w:hyperlink>
          </w:p>
        </w:tc>
        <w:tc>
          <w:tcPr>
            <w:tcW w:w="5840" w:type="dxa"/>
            <w:vAlign w:val="bottom"/>
            <w:gridSpan w:val="19"/>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31</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Arial" w:cs="Arial" w:eastAsia="Arial" w:hAnsi="Arial"/>
                <w:sz w:val="18"/>
                <w:szCs w:val="18"/>
                <w:color w:val="auto"/>
              </w:rPr>
              <w:t>Note 5:</w:t>
            </w:r>
          </w:p>
        </w:tc>
        <w:tc>
          <w:tcPr>
            <w:tcW w:w="2080" w:type="dxa"/>
            <w:vAlign w:val="bottom"/>
            <w:gridSpan w:val="15"/>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Rate Matters and Regulation</w:t>
              </w:r>
            </w:hyperlink>
          </w:p>
        </w:tc>
        <w:tc>
          <w:tcPr>
            <w:tcW w:w="4620" w:type="dxa"/>
            <w:vAlign w:val="bottom"/>
            <w:gridSpan w:val="12"/>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Arial" w:cs="Arial" w:eastAsia="Arial" w:hAnsi="Arial"/>
                <w:sz w:val="18"/>
                <w:szCs w:val="18"/>
                <w:color w:val="auto"/>
              </w:rPr>
              <w:t>Note 6:</w:t>
            </w:r>
          </w:p>
        </w:tc>
        <w:tc>
          <w:tcPr>
            <w:tcW w:w="208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Goodwill</w:t>
              </w:r>
            </w:hyperlink>
          </w:p>
        </w:tc>
        <w:tc>
          <w:tcPr>
            <w:tcW w:w="4620" w:type="dxa"/>
            <w:vAlign w:val="bottom"/>
            <w:gridSpan w:val="12"/>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Arial" w:cs="Arial" w:eastAsia="Arial" w:hAnsi="Arial"/>
                <w:sz w:val="18"/>
                <w:szCs w:val="18"/>
                <w:color w:val="auto"/>
              </w:rPr>
              <w:t>Note 7:</w:t>
            </w:r>
          </w:p>
        </w:tc>
        <w:tc>
          <w:tcPr>
            <w:tcW w:w="3180" w:type="dxa"/>
            <w:vAlign w:val="bottom"/>
            <w:gridSpan w:val="21"/>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Pension Plans and Post-Retirement Benefits</w:t>
              </w:r>
            </w:hyperlink>
          </w:p>
        </w:tc>
        <w:tc>
          <w:tcPr>
            <w:tcW w:w="3520" w:type="dxa"/>
            <w:vAlign w:val="bottom"/>
            <w:gridSpan w:val="6"/>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Arial" w:cs="Arial" w:eastAsia="Arial" w:hAnsi="Arial"/>
                <w:sz w:val="18"/>
                <w:szCs w:val="18"/>
                <w:color w:val="auto"/>
              </w:rPr>
              <w:t>Note 8:</w:t>
            </w:r>
          </w:p>
        </w:tc>
        <w:tc>
          <w:tcPr>
            <w:tcW w:w="670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Short-Term Borrowings and Short-Term Bank Lines of Credit</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Arial" w:cs="Arial" w:eastAsia="Arial" w:hAnsi="Arial"/>
                <w:sz w:val="18"/>
                <w:szCs w:val="18"/>
                <w:color w:val="auto"/>
              </w:rPr>
              <w:t>Note 9:</w:t>
            </w:r>
          </w:p>
        </w:tc>
        <w:tc>
          <w:tcPr>
            <w:tcW w:w="446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Long-Term Debt</w:t>
              </w:r>
            </w:hyperlink>
          </w:p>
        </w:tc>
        <w:tc>
          <w:tcPr>
            <w:tcW w:w="2240" w:type="dxa"/>
            <w:vAlign w:val="bottom"/>
            <w:gridSpan w:val="3"/>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Arial" w:cs="Arial" w:eastAsia="Arial" w:hAnsi="Arial"/>
                <w:sz w:val="18"/>
                <w:szCs w:val="18"/>
                <w:color w:val="auto"/>
              </w:rPr>
              <w:t>Note 10:</w:t>
            </w:r>
          </w:p>
        </w:tc>
        <w:tc>
          <w:tcPr>
            <w:tcW w:w="6700" w:type="dxa"/>
            <w:vAlign w:val="bottom"/>
            <w:gridSpan w:val="2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Fair Value Measurements</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Arial" w:cs="Arial" w:eastAsia="Arial" w:hAnsi="Arial"/>
                <w:sz w:val="18"/>
                <w:szCs w:val="18"/>
                <w:color w:val="auto"/>
              </w:rPr>
              <w:t>Note 11:</w:t>
            </w:r>
          </w:p>
        </w:tc>
        <w:tc>
          <w:tcPr>
            <w:tcW w:w="6700" w:type="dxa"/>
            <w:vAlign w:val="bottom"/>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Commitments and Contingencies</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Arial" w:cs="Arial" w:eastAsia="Arial" w:hAnsi="Arial"/>
                <w:sz w:val="18"/>
                <w:szCs w:val="18"/>
                <w:color w:val="auto"/>
              </w:rPr>
              <w:t>Note 12:</w:t>
            </w:r>
          </w:p>
        </w:tc>
        <w:tc>
          <w:tcPr>
            <w:tcW w:w="3280" w:type="dxa"/>
            <w:vAlign w:val="bottom"/>
            <w:gridSpan w:val="22"/>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Related Party Transactions and Relationships</w:t>
              </w:r>
            </w:hyperlink>
          </w:p>
        </w:tc>
        <w:tc>
          <w:tcPr>
            <w:tcW w:w="3420" w:type="dxa"/>
            <w:vAlign w:val="bottom"/>
            <w:gridSpan w:val="5"/>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Arial" w:cs="Arial" w:eastAsia="Arial" w:hAnsi="Arial"/>
                <w:sz w:val="18"/>
                <w:szCs w:val="18"/>
                <w:color w:val="auto"/>
              </w:rPr>
              <w:t>Note 13:</w:t>
            </w:r>
          </w:p>
        </w:tc>
        <w:tc>
          <w:tcPr>
            <w:tcW w:w="328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Shareholders' Equity</w:t>
              </w:r>
            </w:hyperlink>
          </w:p>
        </w:tc>
        <w:tc>
          <w:tcPr>
            <w:tcW w:w="3420" w:type="dxa"/>
            <w:vAlign w:val="bottom"/>
            <w:gridSpan w:val="5"/>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Arial" w:cs="Arial" w:eastAsia="Arial" w:hAnsi="Arial"/>
                <w:sz w:val="18"/>
                <w:szCs w:val="18"/>
                <w:color w:val="auto"/>
              </w:rPr>
              <w:t>Note 14:</w:t>
            </w:r>
          </w:p>
        </w:tc>
        <w:tc>
          <w:tcPr>
            <w:tcW w:w="1500" w:type="dxa"/>
            <w:vAlign w:val="bottom"/>
            <w:gridSpan w:val="1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Taxes</w:t>
              </w:r>
            </w:hyperlink>
          </w:p>
        </w:tc>
        <w:tc>
          <w:tcPr>
            <w:tcW w:w="5200" w:type="dxa"/>
            <w:vAlign w:val="bottom"/>
            <w:gridSpan w:val="16"/>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Arial" w:cs="Arial" w:eastAsia="Arial" w:hAnsi="Arial"/>
                <w:sz w:val="18"/>
                <w:szCs w:val="18"/>
                <w:color w:val="auto"/>
              </w:rPr>
              <w:t>Note 15:</w:t>
            </w:r>
          </w:p>
        </w:tc>
        <w:tc>
          <w:tcPr>
            <w:tcW w:w="500" w:type="dxa"/>
            <w:vAlign w:val="bottom"/>
            <w:gridSpan w:val="5"/>
          </w:tcPr>
          <w:p>
            <w:pPr>
              <w:spacing w:after="0"/>
              <w:rPr>
                <w:rFonts w:ascii="Arial" w:cs="Arial" w:eastAsia="Arial" w:hAnsi="Arial"/>
                <w:sz w:val="18"/>
                <w:szCs w:val="18"/>
                <w:color w:val="0000EE"/>
                <w:w w:val="82"/>
              </w:rPr>
            </w:pPr>
            <w:hyperlink w:anchor="page54">
              <w:r>
                <w:rPr>
                  <w:rFonts w:ascii="Arial" w:cs="Arial" w:eastAsia="Arial" w:hAnsi="Arial"/>
                  <w:sz w:val="18"/>
                  <w:szCs w:val="18"/>
                  <w:color w:val="0000EE"/>
                  <w:w w:val="82"/>
                </w:rPr>
                <w:t>Leases</w:t>
              </w:r>
            </w:hyperlink>
          </w:p>
        </w:tc>
        <w:tc>
          <w:tcPr>
            <w:tcW w:w="6200" w:type="dxa"/>
            <w:vAlign w:val="bottom"/>
            <w:gridSpan w:val="22"/>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31"/>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Management's Discussion and Analysis of Financial Condition and Results of Operations</w:t>
              </w:r>
            </w:hyperlink>
          </w:p>
        </w:tc>
        <w:tc>
          <w:tcPr>
            <w:tcW w:w="1720" w:type="dxa"/>
            <w:vAlign w:val="bottom"/>
            <w:gridSpan w:val="2"/>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020" w:type="dxa"/>
            <w:vAlign w:val="bottom"/>
            <w:tcBorders>
              <w:left w:val="single" w:sz="8" w:color="0000EE"/>
            </w:tcBorders>
            <w:gridSpan w:val="12"/>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6"/>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Quantitative and Qualitative Disclosures About Market Risk</w:t>
              </w:r>
            </w:hyperlink>
          </w:p>
        </w:tc>
        <w:tc>
          <w:tcPr>
            <w:tcW w:w="2100" w:type="dxa"/>
            <w:vAlign w:val="bottom"/>
            <w:gridSpan w:val="5"/>
          </w:tcPr>
          <w:p>
            <w:pPr>
              <w:spacing w:after="0"/>
              <w:rPr>
                <w:sz w:val="21"/>
                <w:szCs w:val="21"/>
                <w:color w:val="auto"/>
              </w:rPr>
            </w:pPr>
          </w:p>
        </w:tc>
        <w:tc>
          <w:tcPr>
            <w:tcW w:w="1720" w:type="dxa"/>
            <w:vAlign w:val="bottom"/>
            <w:gridSpan w:val="2"/>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70</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020" w:type="dxa"/>
            <w:vAlign w:val="bottom"/>
            <w:tcBorders>
              <w:left w:val="single" w:sz="8" w:color="0000EE"/>
            </w:tcBorders>
            <w:gridSpan w:val="12"/>
            <w:shd w:val="clear" w:color="auto" w:fill="0000EE"/>
          </w:tcPr>
          <w:p>
            <w:pPr>
              <w:spacing w:after="0" w:line="20" w:lineRule="exact"/>
              <w:rPr>
                <w:sz w:val="1"/>
                <w:szCs w:val="1"/>
                <w:color w:val="auto"/>
              </w:rPr>
            </w:pPr>
          </w:p>
        </w:tc>
        <w:tc>
          <w:tcPr>
            <w:tcW w:w="3820" w:type="dxa"/>
            <w:vAlign w:val="bottom"/>
            <w:tcBorders>
              <w:left w:val="single" w:sz="8" w:color="0000EE"/>
            </w:tcBorders>
            <w:gridSpan w:val="7"/>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Controls and Procedures</w:t>
              </w:r>
            </w:hyperlink>
          </w:p>
        </w:tc>
        <w:tc>
          <w:tcPr>
            <w:tcW w:w="3820" w:type="dxa"/>
            <w:vAlign w:val="bottom"/>
            <w:gridSpan w:val="7"/>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70</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385"/>
        </w:trPr>
        <w:tc>
          <w:tcPr>
            <w:tcW w:w="2620" w:type="dxa"/>
            <w:vAlign w:val="bottom"/>
            <w:gridSpan w:val="8"/>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 - Other Information</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85"/>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EE"/>
                <w:w w:val="85"/>
              </w:rPr>
            </w:pPr>
            <w:hyperlink w:anchor="page74">
              <w:r>
                <w:rPr>
                  <w:rFonts w:ascii="Arial" w:cs="Arial" w:eastAsia="Arial" w:hAnsi="Arial"/>
                  <w:sz w:val="18"/>
                  <w:szCs w:val="18"/>
                  <w:color w:val="0000EE"/>
                  <w:w w:val="85"/>
                </w:rPr>
                <w:t>Legal Proceedings</w:t>
              </w:r>
            </w:hyperlink>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c>
          <w:tcPr>
            <w:tcW w:w="4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Risk Factors</w:t>
              </w:r>
            </w:hyperlink>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60" w:type="dxa"/>
            <w:vAlign w:val="bottom"/>
            <w:gridSpan w:val="3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Unregistered Sales of Equity Securities and Use of Proceeds</w:t>
              </w:r>
            </w:hyperlink>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9"/>
            <w:shd w:val="clear" w:color="auto" w:fill="0000EE"/>
          </w:tcPr>
          <w:p>
            <w:pPr>
              <w:spacing w:after="0" w:line="20" w:lineRule="exact"/>
              <w:rPr>
                <w:sz w:val="1"/>
                <w:szCs w:val="1"/>
                <w:color w:val="auto"/>
              </w:rPr>
            </w:pPr>
          </w:p>
        </w:tc>
        <w:tc>
          <w:tcPr>
            <w:tcW w:w="2020" w:type="dxa"/>
            <w:vAlign w:val="bottom"/>
            <w:tcBorders>
              <w:left w:val="single" w:sz="8" w:color="0000EE"/>
            </w:tcBorders>
            <w:gridSpan w:val="12"/>
            <w:shd w:val="clear" w:color="auto" w:fill="0000EE"/>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Defaults Upon Senior Securities</w:t>
              </w:r>
            </w:hyperlink>
          </w:p>
        </w:tc>
        <w:tc>
          <w:tcPr>
            <w:tcW w:w="3820" w:type="dxa"/>
            <w:vAlign w:val="bottom"/>
            <w:gridSpan w:val="7"/>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9"/>
            <w:shd w:val="clear" w:color="auto" w:fill="0000EE"/>
          </w:tcPr>
          <w:p>
            <w:pPr>
              <w:spacing w:after="0" w:line="20" w:lineRule="exact"/>
              <w:rPr>
                <w:sz w:val="1"/>
                <w:szCs w:val="1"/>
                <w:color w:val="auto"/>
              </w:rPr>
            </w:pPr>
          </w:p>
        </w:tc>
        <w:tc>
          <w:tcPr>
            <w:tcW w:w="5840" w:type="dxa"/>
            <w:vAlign w:val="bottom"/>
            <w:gridSpan w:val="19"/>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Mine Safety Disclosures</w:t>
              </w:r>
            </w:hyperlink>
          </w:p>
        </w:tc>
        <w:tc>
          <w:tcPr>
            <w:tcW w:w="5840" w:type="dxa"/>
            <w:vAlign w:val="bottom"/>
            <w:gridSpan w:val="19"/>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Other Information</w:t>
              </w:r>
            </w:hyperlink>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Exhibits</w:t>
              </w:r>
            </w:hyperlink>
          </w:p>
        </w:tc>
        <w:tc>
          <w:tcPr>
            <w:tcW w:w="720" w:type="dxa"/>
            <w:vAlign w:val="bottom"/>
            <w:gridSpan w:val="3"/>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73</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385"/>
        </w:trPr>
        <w:tc>
          <w:tcPr>
            <w:tcW w:w="1160" w:type="dxa"/>
            <w:vAlign w:val="bottom"/>
            <w:gridSpan w:val="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3"/>
          </w:tcPr>
          <w:p>
            <w:pPr>
              <w:jc w:val="center"/>
              <w:ind w:left="77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74</w:t>
              </w:r>
            </w:hyperlink>
          </w:p>
        </w:tc>
        <w:tc>
          <w:tcPr>
            <w:tcW w:w="48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240" w:top="121" w:right="759" w:bottom="611" w:gutter="0" w:footer="0" w:header="0"/>
        </w:sectPr>
      </w:pPr>
    </w:p>
    <w:p>
      <w:pPr>
        <w:spacing w:after="0" w:line="8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00"/>
          </w:cols>
          <w:pgMar w:left="240" w:top="121" w:right="759" w:bottom="611" w:gutter="0" w:footer="0" w:header="0"/>
          <w:type w:val="continuous"/>
        </w:sectPr>
      </w:pPr>
    </w:p>
    <w:bookmarkStart w:id="3" w:name="page4"/>
    <w:bookmarkEnd w:id="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60"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Statements made in this report that are not based on historical facts are forward-looking, may involve risks and uncertainties, and are intended to be as of the date when made. Forward-looking statements include, but are not limited to, statements relating to the expected financial and operational benefits of the merger of Great Plains Energy Incorporated (Great Plains Energy) and Westar Energy that resulted in the creation of Evergy (including cost savings, operational efficiencies and the impact of the merger on earnings per share), cost estimates of capital projects, dividend growth, share repurchases, balance sheet and credit ratings, rebates to customers, the outcome of regulatory and legal proceedings, employee issues and other matters affecting future operations.</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important factors that could cause actual results to differ materially from the provided forward-looking information. These important factors include: future economic conditions and any related impact on sales, prices and costs; prices and availability of electricity in wholesale markets; market perception of the energy industry and the Evergy Companies; changes in business strategy or operations; the impact of unpredictable federal, state and local political, legislative, judicial and regulatory actions or developments, including deregulation, re-regulation and restructuring of the electric utility industry; decisions of regulators regarding rates that Westar Energy and KCP&amp;L (or other regulated subsidiaries of Evergy) can charge for electricity; changes in applicable laws, regulations, rules, principles or practices, or the interpretations thereof, governing tax, accounting and environmental matters, including air and water quality and waste management and disposal; changes in the energy trading markets in which the Evergy Companies participate, including retroactive repricing of transactions by regional transmission organizations (RTO) and independent system operators; the impact of climate change, including reduced demand for coal-based energy because of actual or perceived climate impacts and the development of alternate energy sources; financial market conditions and performance, including changes in interest rates and credit spreads and in availability and cost of capital and the effects on derivatives and hedges, nuclear decommissioning trust and pension plan assets and costs; impairments of long-lived assets or goodwill; credit ratings; inflation rates; the transition to a replacement for the LIBOR benchmark interest rate; effectiveness of risk management policies and procedures and the ability of counterparties to satisfy their contractual commitments; impact of terrorist acts, including cyber terrorism; ability to carry out marketing and sales plans; weather conditions, including weather-related damage and the impact on sales, prices and costs; cost, availability, quality and timely provision of equipment, supplies, labor and fuel; the inherent uncertainties in estimating the effects of weather, economic conditions, climate change and other factors on customer consumption and financial results; ability to achieve generation goals and the occurrence and duration of planned and unplanned generation outages; delays in the anticipated in-service dates and cost increases of generation, transmission, distribution or other projects; the Evergy Companies' ability to successfully manage their transmission and distribution development plans and transmission joint ventures; the inherent risks associated with the ownership and operation of a nuclear facility, including environmental, health, safety, regulatory and financial risks; workforce risks, including increased costs of retirement, health care and other benefits; the possibility that the expected value creation from the merger will not be realized, or will not be realized within the expected time period; difficulties related to the integration of the two companies; disruption from the merger making it more difficult to maintain relationships with customers, employees, regulators or suppliers; the diversion of management time; and other risks and uncertainties.</w:t>
      </w:r>
    </w:p>
    <w:p>
      <w:pPr>
        <w:spacing w:after="0" w:line="17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This list of factors is not all-inclusive because it is not possible to predict all factors. Part II, Item 1A, Risk Factors included in this report, together with the risk factors included in the Evergy Companies' combined 2018 Form 10-K under Part I, Item 1A, should be carefully read for further understanding of potential risks for the Evergy Companies. Other sections of this report and other periodic reports filed by the Evergy Companies with the Securities and Exchange Commission (SEC) should also be read for more information regarding risk factors. Each forward-looking statement speaks only as of the date of the particular statement. The Evergy Companies undertake no obligation to publicly update or revise any forward-looking statement,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Abbreviation or Acronym</w:t>
            </w:r>
          </w:p>
        </w:tc>
        <w:tc>
          <w:tcPr>
            <w:tcW w:w="400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592"/>
        </w:trPr>
        <w:tc>
          <w:tcPr>
            <w:tcW w:w="218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ACE</w:t>
            </w:r>
          </w:p>
        </w:tc>
        <w:tc>
          <w:tcPr>
            <w:tcW w:w="660" w:type="dxa"/>
            <w:vAlign w:val="bottom"/>
          </w:tcPr>
          <w:p>
            <w:pPr>
              <w:spacing w:after="0"/>
              <w:rPr>
                <w:sz w:val="24"/>
                <w:szCs w:val="24"/>
                <w:color w:val="auto"/>
              </w:rPr>
            </w:pPr>
          </w:p>
        </w:tc>
        <w:tc>
          <w:tcPr>
            <w:tcW w:w="4000" w:type="dxa"/>
            <w:vAlign w:val="bottom"/>
          </w:tcPr>
          <w:p>
            <w:pPr>
              <w:ind w:left="360"/>
              <w:spacing w:after="0"/>
              <w:rPr>
                <w:sz w:val="20"/>
                <w:szCs w:val="20"/>
                <w:color w:val="auto"/>
              </w:rPr>
            </w:pPr>
            <w:r>
              <w:rPr>
                <w:rFonts w:ascii="Arial" w:cs="Arial" w:eastAsia="Arial" w:hAnsi="Arial"/>
                <w:sz w:val="20"/>
                <w:szCs w:val="20"/>
                <w:color w:val="auto"/>
              </w:rPr>
              <w:t>Affordable Clean Energy</w:t>
            </w:r>
          </w:p>
        </w:tc>
        <w:tc>
          <w:tcPr>
            <w:tcW w:w="84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American Electric Power Company, Inc.</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Allowance for Funds Used During Construction</w:t>
            </w:r>
          </w:p>
        </w:tc>
      </w:tr>
      <w:tr>
        <w:trPr>
          <w:trHeight w:val="263"/>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Amended Merger Agreement</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w w:val="88"/>
              </w:rPr>
              <w:t>Amended and Restated Agreement and Plan of Merger, dated as of July 9, 2017, by and among Great</w:t>
            </w:r>
          </w:p>
        </w:tc>
      </w:tr>
      <w:tr>
        <w:trPr>
          <w:trHeight w:val="250"/>
        </w:trPr>
        <w:tc>
          <w:tcPr>
            <w:tcW w:w="2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380" w:type="dxa"/>
            <w:vAlign w:val="bottom"/>
            <w:gridSpan w:val="3"/>
          </w:tcPr>
          <w:p>
            <w:pPr>
              <w:ind w:left="520"/>
              <w:spacing w:after="0"/>
              <w:rPr>
                <w:sz w:val="20"/>
                <w:szCs w:val="20"/>
                <w:color w:val="auto"/>
              </w:rPr>
            </w:pPr>
            <w:r>
              <w:rPr>
                <w:rFonts w:ascii="Arial" w:cs="Arial" w:eastAsia="Arial" w:hAnsi="Arial"/>
                <w:sz w:val="20"/>
                <w:szCs w:val="20"/>
                <w:color w:val="auto"/>
              </w:rPr>
              <w:t>Plains Energy, Westar Energy, Monarch Energy Holding, Inc. and King Energy, Inc.</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Asset Retirement Obligations</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ASC</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Accounting Standards Codification</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ASR</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Accelerated share repurchase</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ASU</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Accounting Standards Update</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BSER</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Best system of emission reduction</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Coal combustion residuals</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Clean Air Act Amendments of 1990</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CO</w:t>
            </w:r>
            <w:r>
              <w:rPr>
                <w:rFonts w:ascii="Arial" w:cs="Arial" w:eastAsia="Arial" w:hAnsi="Arial"/>
                <w:sz w:val="12"/>
                <w:szCs w:val="12"/>
                <w:b w:val="1"/>
                <w:bCs w:val="1"/>
                <w:color w:val="auto"/>
              </w:rPr>
              <w:t>2</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Carbon dioxide</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Corporate-owned life insurance</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CPP</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Clean Power Plan</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CWA</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Clean Water Act</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D.C. Circuit</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U.S. Court of Appeals for the D.C. Circuit</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EGU</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Electric utility generating unit</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Effluent limitations guidelines</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Environmental Protection Agency</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Earnings per common share</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Employee Retirement Income Security Act of 1974, as amended</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Earnings Review and Sharing Plan</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Evergy, Inc. and its consolidated subsidiaries</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Evergy Board of Directors</w:t>
            </w:r>
          </w:p>
        </w:tc>
      </w:tr>
      <w:tr>
        <w:trPr>
          <w:trHeight w:val="263"/>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Evergy Companies</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w w:val="91"/>
              </w:rPr>
              <w:t>Evergy, Westar Energy, and KCP&amp;L, collectively, which are individual registrants within the Evergy</w:t>
            </w:r>
          </w:p>
        </w:tc>
      </w:tr>
      <w:tr>
        <w:trPr>
          <w:trHeight w:val="250"/>
        </w:trPr>
        <w:tc>
          <w:tcPr>
            <w:tcW w:w="2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380" w:type="dxa"/>
            <w:vAlign w:val="bottom"/>
            <w:gridSpan w:val="3"/>
          </w:tcPr>
          <w:p>
            <w:pPr>
              <w:ind w:left="520"/>
              <w:spacing w:after="0"/>
              <w:rPr>
                <w:sz w:val="20"/>
                <w:szCs w:val="20"/>
                <w:color w:val="auto"/>
              </w:rPr>
            </w:pPr>
            <w:r>
              <w:rPr>
                <w:rFonts w:ascii="Arial" w:cs="Arial" w:eastAsia="Arial" w:hAnsi="Arial"/>
                <w:sz w:val="20"/>
                <w:szCs w:val="20"/>
                <w:color w:val="auto"/>
              </w:rPr>
              <w:t>consolidated group</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The Securities Exchange Act of 1934, as amended</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FASB</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Financial Accounting Standards Board</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FERC</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Federal Energy Regulatory Commission</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Generally Accepted Accounting Principles</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Greenhouse gas</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GMO</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KCP&amp;L Greater Missouri Operations Company, a wholly-owned subsidiary of Evergy</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GPETHC</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GPE Transmission Holding Company LLC, a wholly-owned subsidiary of Evergy</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Great Plains Energy Incorporated</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State Corporation Commission of the State of Kansas</w:t>
            </w:r>
          </w:p>
        </w:tc>
      </w:tr>
      <w:tr>
        <w:trPr>
          <w:trHeight w:val="263"/>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KCP&amp;L</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w w:val="94"/>
              </w:rPr>
              <w:t>Kansas City Power &amp; Light Company, a wholly-owned subsidiary of Evergy, and its consolidated</w:t>
            </w:r>
          </w:p>
        </w:tc>
      </w:tr>
      <w:tr>
        <w:trPr>
          <w:trHeight w:val="250"/>
        </w:trPr>
        <w:tc>
          <w:tcPr>
            <w:tcW w:w="2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380" w:type="dxa"/>
            <w:vAlign w:val="bottom"/>
            <w:gridSpan w:val="3"/>
          </w:tcPr>
          <w:p>
            <w:pPr>
              <w:ind w:left="520"/>
              <w:spacing w:after="0"/>
              <w:rPr>
                <w:sz w:val="20"/>
                <w:szCs w:val="20"/>
                <w:color w:val="auto"/>
              </w:rPr>
            </w:pPr>
            <w:r>
              <w:rPr>
                <w:rFonts w:ascii="Arial" w:cs="Arial" w:eastAsia="Arial" w:hAnsi="Arial"/>
                <w:sz w:val="20"/>
                <w:szCs w:val="20"/>
                <w:color w:val="auto"/>
              </w:rPr>
              <w:t>subsidiaries</w:t>
            </w:r>
          </w:p>
        </w:tc>
      </w:tr>
      <w:tr>
        <w:trPr>
          <w:trHeight w:val="263"/>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KCP&amp;L Mortgage Indenture</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KCP&amp;L General Mortgage Indenture and Deed of Trust dated as of December 1, 1986, as</w:t>
            </w:r>
          </w:p>
        </w:tc>
      </w:tr>
      <w:tr>
        <w:trPr>
          <w:trHeight w:val="250"/>
        </w:trPr>
        <w:tc>
          <w:tcPr>
            <w:tcW w:w="2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380" w:type="dxa"/>
            <w:vAlign w:val="bottom"/>
            <w:gridSpan w:val="3"/>
          </w:tcPr>
          <w:p>
            <w:pPr>
              <w:ind w:left="520"/>
              <w:spacing w:after="0"/>
              <w:rPr>
                <w:sz w:val="20"/>
                <w:szCs w:val="20"/>
                <w:color w:val="auto"/>
              </w:rPr>
            </w:pPr>
            <w:r>
              <w:rPr>
                <w:rFonts w:ascii="Arial" w:cs="Arial" w:eastAsia="Arial" w:hAnsi="Arial"/>
                <w:sz w:val="20"/>
                <w:szCs w:val="20"/>
                <w:color w:val="auto"/>
              </w:rPr>
              <w:t>supplemented</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Kansas Department of Health &amp; Environment</w:t>
            </w:r>
          </w:p>
        </w:tc>
      </w:tr>
      <w:tr>
        <w:trPr>
          <w:trHeight w:val="284"/>
        </w:trPr>
        <w:tc>
          <w:tcPr>
            <w:tcW w:w="2840" w:type="dxa"/>
            <w:vAlign w:val="bottom"/>
            <w:gridSpan w:val="2"/>
          </w:tcPr>
          <w:p>
            <w:pPr>
              <w:spacing w:after="0"/>
              <w:rPr>
                <w:sz w:val="20"/>
                <w:szCs w:val="20"/>
                <w:color w:val="auto"/>
              </w:rPr>
            </w:pPr>
            <w:r>
              <w:rPr>
                <w:rFonts w:ascii="Arial" w:cs="Arial" w:eastAsia="Arial" w:hAnsi="Arial"/>
                <w:sz w:val="20"/>
                <w:szCs w:val="20"/>
                <w:b w:val="1"/>
                <w:bCs w:val="1"/>
                <w:color w:val="auto"/>
              </w:rPr>
              <w:t>KGE</w:t>
            </w:r>
          </w:p>
        </w:tc>
        <w:tc>
          <w:tcPr>
            <w:tcW w:w="8380" w:type="dxa"/>
            <w:vAlign w:val="bottom"/>
            <w:gridSpan w:val="3"/>
          </w:tcPr>
          <w:p>
            <w:pPr>
              <w:ind w:left="360"/>
              <w:spacing w:after="0"/>
              <w:rPr>
                <w:sz w:val="20"/>
                <w:szCs w:val="20"/>
                <w:color w:val="auto"/>
              </w:rPr>
            </w:pPr>
            <w:r>
              <w:rPr>
                <w:rFonts w:ascii="Arial" w:cs="Arial" w:eastAsia="Arial" w:hAnsi="Arial"/>
                <w:sz w:val="20"/>
                <w:szCs w:val="20"/>
                <w:color w:val="auto"/>
              </w:rPr>
              <w:t>Kansas Gas and Electric Company, a wholly-owned subsidiary of Westar Energy</w:t>
            </w:r>
          </w:p>
        </w:tc>
      </w:tr>
    </w:tbl>
    <w:p>
      <w:pPr>
        <w:spacing w:after="0" w:line="200" w:lineRule="exact"/>
        <w:rPr>
          <w:sz w:val="20"/>
          <w:szCs w:val="20"/>
          <w:color w:val="auto"/>
        </w:rPr>
      </w:pPr>
    </w:p>
    <w:p>
      <w:pPr>
        <w:sectPr>
          <w:pgSz w:w="11900" w:h="16838" w:orient="portrait"/>
          <w:cols w:equalWidth="0" w:num="1">
            <w:col w:w="11260"/>
          </w:cols>
          <w:pgMar w:left="240" w:top="122" w:right="399" w:bottom="1440" w:gutter="0" w:footer="0" w:header="0"/>
        </w:sectPr>
      </w:pPr>
    </w:p>
    <w:p>
      <w:pPr>
        <w:spacing w:after="0" w:line="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122" w:right="3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EE"/>
            </w:tcBorders>
            <w:gridSpan w:val="2"/>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Table of Contents</w:t>
              </w:r>
            </w:hyperlink>
          </w:p>
        </w:tc>
        <w:tc>
          <w:tcPr>
            <w:tcW w:w="1320" w:type="dxa"/>
            <w:vAlign w:val="bottom"/>
            <w:gridSpan w:val="2"/>
          </w:tcPr>
          <w:p>
            <w:pPr>
              <w:spacing w:after="0"/>
              <w:rPr>
                <w:sz w:val="19"/>
                <w:szCs w:val="19"/>
                <w:color w:val="auto"/>
              </w:rPr>
            </w:pPr>
          </w:p>
        </w:tc>
        <w:tc>
          <w:tcPr>
            <w:tcW w:w="4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84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Abbreviation or Acronym</w:t>
            </w:r>
          </w:p>
        </w:tc>
        <w:tc>
          <w:tcPr>
            <w:tcW w:w="7760" w:type="dxa"/>
            <w:vAlign w:val="bottom"/>
            <w:gridSpan w:val="3"/>
          </w:tcPr>
          <w:p>
            <w:pPr>
              <w:ind w:left="4160"/>
              <w:spacing w:after="0"/>
              <w:rPr>
                <w:sz w:val="20"/>
                <w:szCs w:val="20"/>
                <w:color w:val="auto"/>
              </w:rPr>
            </w:pPr>
            <w:r>
              <w:rPr>
                <w:rFonts w:ascii="Arial" w:cs="Arial" w:eastAsia="Arial" w:hAnsi="Arial"/>
                <w:sz w:val="20"/>
                <w:szCs w:val="20"/>
                <w:b w:val="1"/>
                <w:bCs w:val="1"/>
                <w:color w:val="auto"/>
              </w:rPr>
              <w:t>Definition</w:t>
            </w:r>
          </w:p>
        </w:tc>
      </w:tr>
      <w:tr>
        <w:trPr>
          <w:trHeight w:val="20"/>
        </w:trPr>
        <w:tc>
          <w:tcPr>
            <w:tcW w:w="40" w:type="dxa"/>
            <w:vAlign w:val="bottom"/>
          </w:tcPr>
          <w:p>
            <w:pPr>
              <w:spacing w:after="0" w:line="20" w:lineRule="exact"/>
              <w:rPr>
                <w:sz w:val="1"/>
                <w:szCs w:val="1"/>
                <w:color w:val="auto"/>
              </w:rPr>
            </w:pPr>
          </w:p>
        </w:tc>
        <w:tc>
          <w:tcPr>
            <w:tcW w:w="21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05"/>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20"/>
                <w:szCs w:val="20"/>
                <w:b w:val="1"/>
                <w:bCs w:val="1"/>
                <w:color w:val="auto"/>
              </w:rPr>
              <w:t>King Energy</w:t>
            </w:r>
          </w:p>
        </w:tc>
        <w:tc>
          <w:tcPr>
            <w:tcW w:w="520" w:type="dxa"/>
            <w:vAlign w:val="bottom"/>
          </w:tcPr>
          <w:p>
            <w:pPr>
              <w:spacing w:after="0"/>
              <w:rPr>
                <w:sz w:val="24"/>
                <w:szCs w:val="24"/>
                <w:color w:val="auto"/>
              </w:rPr>
            </w:pP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King Energy, Inc., a wholly-owned subsidiary of Evergy</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MDNR</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Missouri Department of Natural Resources</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MECG</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Midwest Energy Consumers Group</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MEEIA</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Missouri Energy Efficiency Investment Act</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Monarch Energy</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Monarch Energy Holding, Inc.</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MPSC</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Public Service Commission of the State of Missouri</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MW</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Megawatt</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Megawatt hour</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National Ambient Air Quality Standards</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Net Asset Value</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NO</w:t>
            </w:r>
            <w:r>
              <w:rPr>
                <w:rFonts w:ascii="Arial" w:cs="Arial" w:eastAsia="Arial" w:hAnsi="Arial"/>
                <w:sz w:val="14"/>
                <w:szCs w:val="14"/>
                <w:b w:val="1"/>
                <w:bCs w:val="1"/>
                <w:color w:val="auto"/>
              </w:rPr>
              <w:t>2</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Nitrogen dioxide</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NSR</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New source review</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Office of the Public Counsel</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PM</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Particulate matter</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Prairie Wind Transmission, LLC, 50% owned by Westar Energy</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Restricted share unit</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Regional transmission organization</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Securities and Exchange Commission</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SO</w:t>
            </w:r>
            <w:r>
              <w:rPr>
                <w:rFonts w:ascii="Arial" w:cs="Arial" w:eastAsia="Arial" w:hAnsi="Arial"/>
                <w:sz w:val="12"/>
                <w:szCs w:val="12"/>
                <w:b w:val="1"/>
                <w:bCs w:val="1"/>
                <w:color w:val="auto"/>
              </w:rPr>
              <w:t>2</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Sulfur dioxide</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Southwest Power Pool, Inc.</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TCJA</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Tax Cuts and Jobs Act</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Transmission formula rate</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Transource Energy, LLC and its subsidiaries, 13.5% owned by GPETHC</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VIE</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Variable interest entity</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Westar Energy</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w w:val="89"/>
              </w:rPr>
              <w:t>Westar Energy, Inc., a wholly-owned subsidiary of Evergy, and its consolidated subsidiaries</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WIIN</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Water Infrastructure Improvements for the Nation</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Wolf Creek Generating Station</w:t>
            </w:r>
          </w:p>
        </w:tc>
      </w:tr>
      <w:tr>
        <w:trPr>
          <w:trHeight w:val="284"/>
        </w:trPr>
        <w:tc>
          <w:tcPr>
            <w:tcW w:w="4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20"/>
                <w:szCs w:val="20"/>
                <w:b w:val="1"/>
                <w:bCs w:val="1"/>
                <w:color w:val="auto"/>
              </w:rPr>
              <w:t>WOTUS</w:t>
            </w:r>
          </w:p>
        </w:tc>
        <w:tc>
          <w:tcPr>
            <w:tcW w:w="7760" w:type="dxa"/>
            <w:vAlign w:val="bottom"/>
            <w:gridSpan w:val="3"/>
          </w:tcPr>
          <w:p>
            <w:pPr>
              <w:ind w:left="500"/>
              <w:spacing w:after="0"/>
              <w:rPr>
                <w:sz w:val="20"/>
                <w:szCs w:val="20"/>
                <w:color w:val="auto"/>
              </w:rPr>
            </w:pPr>
            <w:r>
              <w:rPr>
                <w:rFonts w:ascii="Arial" w:cs="Arial" w:eastAsia="Arial" w:hAnsi="Arial"/>
                <w:sz w:val="20"/>
                <w:szCs w:val="20"/>
                <w:color w:val="auto"/>
              </w:rPr>
              <w:t>Waters of the United States</w:t>
            </w:r>
          </w:p>
        </w:tc>
      </w:tr>
      <w:tr>
        <w:trPr>
          <w:trHeight w:val="712"/>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60" w:type="dxa"/>
            <w:vAlign w:val="bottom"/>
          </w:tcPr>
          <w:p>
            <w:pPr>
              <w:ind w:left="292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0500"/>
          </w:cols>
          <w:pgMar w:left="240" w:top="99" w:right="1159" w:bottom="1440" w:gutter="0" w:footer="0" w:header="0"/>
        </w:sectPr>
      </w:pPr>
    </w:p>
    <w:bookmarkStart w:id="6" w:name="page7"/>
    <w:bookmarkEnd w:id="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6"/>
                <w:szCs w:val="16"/>
                <w:b w:val="1"/>
                <w:bCs w:val="1"/>
                <w:color w:val="auto"/>
              </w:rPr>
              <w:t>June 30</w:t>
            </w:r>
          </w:p>
        </w:tc>
        <w:tc>
          <w:tcPr>
            <w:tcW w:w="1340" w:type="dxa"/>
            <w:vAlign w:val="bottom"/>
            <w:gridSpan w:val="2"/>
          </w:tcPr>
          <w:p>
            <w:pPr>
              <w:jc w:val="right"/>
              <w:ind w:right="99"/>
              <w:spacing w:after="0"/>
              <w:rPr>
                <w:sz w:val="20"/>
                <w:szCs w:val="20"/>
                <w:color w:val="auto"/>
              </w:rPr>
            </w:pPr>
            <w:r>
              <w:rPr>
                <w:rFonts w:ascii="Arial" w:cs="Arial" w:eastAsia="Arial" w:hAnsi="Arial"/>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1"/>
                <w:szCs w:val="21"/>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107.0</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160.3</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278.4</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193.7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312.0</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365.0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Fuel inventory and supplies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488.7</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511.0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30.4</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68.0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242.7</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303.9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80.2</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79.1</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1,539.4</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1,681.0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18,923.3</w:t>
            </w: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18,782.5</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OF VARIABLE INTEREST ENTITIES,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169.3</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169.2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1,701.7</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1,757.9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535.7</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472.1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2,336.6</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2,338.9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512.4</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396.5</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5,086.4</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4,965.4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25,718.4</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25,598.1</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6"/>
                <w:szCs w:val="16"/>
                <w:b w:val="1"/>
                <w:bCs w:val="1"/>
                <w:color w:val="auto"/>
              </w:rPr>
              <w:t>June 30</w:t>
            </w: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40"/>
        </w:trPr>
        <w:tc>
          <w:tcPr>
            <w:tcW w:w="8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(millions, except share amounts)</w:t>
            </w:r>
          </w:p>
        </w:tc>
        <w:tc>
          <w:tcPr>
            <w:tcW w:w="0" w:type="dxa"/>
            <w:vAlign w:val="bottom"/>
          </w:tcPr>
          <w:p>
            <w:pPr>
              <w:spacing w:after="0"/>
              <w:rPr>
                <w:sz w:val="1"/>
                <w:szCs w:val="1"/>
                <w:color w:val="auto"/>
              </w:rPr>
            </w:pP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705.4</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32.3</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2,239.0</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738.6</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Collateralized note payable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312.0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278.1</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451.5</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Accrued taxes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195.8</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80.7</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liabilities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44.0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retirement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55.1</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244.7</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3,482.8</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2,867.2</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7,122.5</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6,636.3</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Long-term debt of variable interest entities, net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18.8</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1,630.6</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1,599.2</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Unamortized investment tax credits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371.4</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373.2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2,232.4</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2,218.8</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Pension and post-retirement liability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1,001.5</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987.6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retirement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648.2</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637.3</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355.5</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Long-Term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13,380.9</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12,740.2</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Commitments and Contingencies (Note 11)</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Evergy, Inc. Shareholders' Equity: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- 600,000,000 shares authorized, without par value</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7,563.0</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235,465,848 and 255,326,252 shares issued, stated value</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8,685.2</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1,349.1</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1,346.0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(29.0)</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1"/>
        </w:trPr>
        <w:tc>
          <w:tcPr>
            <w:tcW w:w="8800" w:type="dxa"/>
            <w:vAlign w:val="bottom"/>
          </w:tcPr>
          <w:p>
            <w:pPr>
              <w:ind w:left="500"/>
              <w:spacing w:after="0"/>
              <w:rPr>
                <w:sz w:val="20"/>
                <w:szCs w:val="20"/>
                <w:color w:val="auto"/>
              </w:rPr>
            </w:pPr>
            <w:r>
              <w:rPr>
                <w:rFonts w:ascii="Arial" w:cs="Arial" w:eastAsia="Arial" w:hAnsi="Arial"/>
                <w:sz w:val="16"/>
                <w:szCs w:val="16"/>
                <w:color w:val="auto"/>
              </w:rPr>
              <w:t>Total Evergy, Inc. Shareholders' Equity</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8,883.1</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10,028.2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(28.4)</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31"/>
        </w:trPr>
        <w:tc>
          <w:tcPr>
            <w:tcW w:w="880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8,854.7</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9,990.7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25,718.4</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25,598.1</w:t>
            </w:r>
          </w:p>
        </w:tc>
        <w:tc>
          <w:tcPr>
            <w:tcW w:w="0" w:type="dxa"/>
            <w:vAlign w:val="bottom"/>
          </w:tcPr>
          <w:p>
            <w:pPr>
              <w:spacing w:after="0"/>
              <w:rPr>
                <w:sz w:val="1"/>
                <w:szCs w:val="1"/>
                <w:color w:val="auto"/>
              </w:rPr>
            </w:pPr>
          </w:p>
        </w:tc>
      </w:tr>
      <w:tr>
        <w:trPr>
          <w:trHeight w:val="27"/>
        </w:trPr>
        <w:tc>
          <w:tcPr>
            <w:tcW w:w="8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to Date</w:t>
            </w:r>
          </w:p>
        </w:tc>
        <w:tc>
          <w:tcPr>
            <w:tcW w:w="680" w:type="dxa"/>
            <w:vAlign w:val="bottom"/>
          </w:tcPr>
          <w:p>
            <w:pPr>
              <w:spacing w:after="0"/>
              <w:rPr>
                <w:sz w:val="17"/>
                <w:szCs w:val="17"/>
                <w:color w:val="auto"/>
              </w:rPr>
            </w:pPr>
          </w:p>
        </w:tc>
      </w:tr>
      <w:tr>
        <w:trPr>
          <w:trHeight w:val="210"/>
        </w:trPr>
        <w:tc>
          <w:tcPr>
            <w:tcW w:w="6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270"/>
        </w:trPr>
        <w:tc>
          <w:tcPr>
            <w:tcW w:w="6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3"/>
                <w:szCs w:val="23"/>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340" w:type="dxa"/>
            <w:vAlign w:val="bottom"/>
          </w:tcPr>
          <w:p>
            <w:pPr>
              <w:spacing w:after="0"/>
              <w:rPr>
                <w:sz w:val="23"/>
                <w:szCs w:val="23"/>
                <w:color w:val="auto"/>
              </w:rPr>
            </w:pPr>
          </w:p>
        </w:tc>
        <w:tc>
          <w:tcPr>
            <w:tcW w:w="8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3"/>
                <w:szCs w:val="23"/>
                <w:color w:val="auto"/>
              </w:rPr>
            </w:pPr>
          </w:p>
        </w:tc>
        <w:tc>
          <w:tcPr>
            <w:tcW w:w="680" w:type="dxa"/>
            <w:vAlign w:val="bottom"/>
          </w:tcPr>
          <w:p>
            <w:pPr>
              <w:jc w:val="right"/>
              <w:ind w:right="259"/>
              <w:spacing w:after="0"/>
              <w:rPr>
                <w:sz w:val="20"/>
                <w:szCs w:val="20"/>
                <w:color w:val="auto"/>
              </w:rPr>
            </w:pPr>
            <w:r>
              <w:rPr>
                <w:rFonts w:ascii="Arial" w:cs="Arial" w:eastAsia="Arial" w:hAnsi="Arial"/>
                <w:sz w:val="16"/>
                <w:szCs w:val="16"/>
                <w:color w:val="auto"/>
                <w:w w:val="89"/>
              </w:rPr>
              <w:t>2018</w:t>
            </w:r>
          </w:p>
        </w:tc>
      </w:tr>
      <w:tr>
        <w:trPr>
          <w:trHeight w:val="40"/>
        </w:trPr>
        <w:tc>
          <w:tcPr>
            <w:tcW w:w="6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64"/>
        </w:trPr>
        <w:tc>
          <w:tcPr>
            <w:tcW w:w="6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500" w:type="dxa"/>
            <w:vAlign w:val="bottom"/>
            <w:gridSpan w:val="4"/>
          </w:tcPr>
          <w:p>
            <w:pPr>
              <w:jc w:val="right"/>
              <w:ind w:right="99"/>
              <w:spacing w:after="0"/>
              <w:rPr>
                <w:sz w:val="20"/>
                <w:szCs w:val="20"/>
                <w:color w:val="auto"/>
              </w:rPr>
            </w:pPr>
            <w:r>
              <w:rPr>
                <w:rFonts w:ascii="Arial" w:cs="Arial" w:eastAsia="Arial" w:hAnsi="Arial"/>
                <w:sz w:val="14"/>
                <w:szCs w:val="14"/>
                <w:color w:val="auto"/>
              </w:rPr>
              <w:t>(millions, except per share amounts)</w:t>
            </w: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1,221.7</w:t>
            </w:r>
          </w:p>
        </w:tc>
        <w:tc>
          <w:tcPr>
            <w:tcW w:w="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893.4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2,438.6</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1,493.6</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and purchased power</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291.6</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229.7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621.6</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365.2</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SPP network transmission costs</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62.8</w:t>
            </w:r>
          </w:p>
        </w:tc>
        <w:tc>
          <w:tcPr>
            <w:tcW w:w="40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68.4</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126.3</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and maintenance</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288.6</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283.8</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595.5</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423.8</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215.4</w:t>
            </w:r>
          </w:p>
        </w:tc>
        <w:tc>
          <w:tcPr>
            <w:tcW w:w="40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128.0</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429.0</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217.7</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other than income tax</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91.6</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56.6</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184.9</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w:t>
            </w:r>
          </w:p>
        </w:tc>
      </w:tr>
      <w:tr>
        <w:trPr>
          <w:trHeight w:val="231"/>
        </w:trPr>
        <w:tc>
          <w:tcPr>
            <w:tcW w:w="64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950.0</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766.5</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1,957.3</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1,243.2</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271.7</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126.9</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481.3</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250.4</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earnings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2.6</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6.1</w:t>
            </w:r>
          </w:p>
        </w:tc>
        <w:tc>
          <w:tcPr>
            <w:tcW w:w="40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14.3</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(18.1)</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(37.5)</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31"/>
        </w:trPr>
        <w:tc>
          <w:tcPr>
            <w:tcW w:w="640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(9.4)</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(10.5)</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(17.4)</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95.4</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58.4</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186.5</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166.9</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58.0</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277.4</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128.8</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24.4</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(45.0)</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33.7</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2.1</w:t>
            </w:r>
          </w:p>
        </w:tc>
        <w:tc>
          <w:tcPr>
            <w:tcW w:w="40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4.3</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144.6</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104.4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248.0</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4.9</w:t>
            </w:r>
          </w:p>
        </w:tc>
        <w:tc>
          <w:tcPr>
            <w:tcW w:w="40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8.8</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EVERGY, INC.</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139.7</w:t>
            </w:r>
          </w:p>
        </w:tc>
        <w:tc>
          <w:tcPr>
            <w:tcW w:w="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101.8</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239.2</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w:t>
            </w:r>
          </w:p>
        </w:tc>
      </w:tr>
      <w:tr>
        <w:trPr>
          <w:trHeight w:val="220"/>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BASIC AND DILUTED EARNINGS PER AVERAGE COMMON SHARE OUTSTANDING</w:t>
            </w:r>
          </w:p>
        </w:tc>
        <w:tc>
          <w:tcPr>
            <w:tcW w:w="4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06"/>
        </w:trPr>
        <w:tc>
          <w:tcPr>
            <w:tcW w:w="6400" w:type="dxa"/>
            <w:vAlign w:val="bottom"/>
          </w:tcPr>
          <w:p>
            <w:pPr>
              <w:ind w:left="200"/>
              <w:spacing w:after="0"/>
              <w:rPr>
                <w:sz w:val="20"/>
                <w:szCs w:val="20"/>
                <w:color w:val="auto"/>
              </w:rPr>
            </w:pPr>
            <w:r>
              <w:rPr>
                <w:rFonts w:ascii="Arial" w:cs="Arial" w:eastAsia="Arial" w:hAnsi="Arial"/>
                <w:sz w:val="16"/>
                <w:szCs w:val="16"/>
                <w:color w:val="auto"/>
              </w:rPr>
              <w:t>ATTRIBUTABLE TO EVERGY (see Note 1)</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0.57</w:t>
            </w:r>
          </w:p>
        </w:tc>
        <w:tc>
          <w:tcPr>
            <w:tcW w:w="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0.56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0.96</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Diluted earnings per common share</w:t>
            </w:r>
          </w:p>
        </w:tc>
        <w:tc>
          <w:tcPr>
            <w:tcW w:w="4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0.57</w:t>
            </w: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0.56</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0.96</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COMMON SHARES OUTSTANDING</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Basic</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243.2</w:t>
            </w:r>
          </w:p>
        </w:tc>
        <w:tc>
          <w:tcPr>
            <w:tcW w:w="40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180.9</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248.0</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161.9</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243.4</w:t>
            </w:r>
          </w:p>
        </w:tc>
        <w:tc>
          <w:tcPr>
            <w:tcW w:w="4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181.0</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248.2</w:t>
            </w:r>
          </w:p>
        </w:tc>
        <w:tc>
          <w:tcPr>
            <w:tcW w:w="4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w:t>
            </w: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144.6</w:t>
            </w:r>
          </w:p>
        </w:tc>
        <w:tc>
          <w:tcPr>
            <w:tcW w:w="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104.4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248.0</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Derivative hedging activity</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derivative hedging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(21.2)</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(35.0)</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Income tax benefit</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5.4</w:t>
            </w:r>
          </w:p>
        </w:tc>
        <w:tc>
          <w:tcPr>
            <w:tcW w:w="40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9.0</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 on derivative hedging instruments</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(15.8)</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(26.0)</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400" w:type="dxa"/>
            <w:vAlign w:val="bottom"/>
          </w:tcPr>
          <w:p>
            <w:pPr>
              <w:ind w:left="500"/>
              <w:spacing w:after="0"/>
              <w:rPr>
                <w:sz w:val="20"/>
                <w:szCs w:val="20"/>
                <w:color w:val="auto"/>
              </w:rPr>
            </w:pPr>
            <w:r>
              <w:rPr>
                <w:rFonts w:ascii="Arial" w:cs="Arial" w:eastAsia="Arial" w:hAnsi="Arial"/>
                <w:sz w:val="16"/>
                <w:szCs w:val="16"/>
                <w:color w:val="auto"/>
              </w:rPr>
              <w:t>Derivative hedging activity, net of tax</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(15.8)</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(26.0)</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comprehensive loss</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(15.8)</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(26.0)</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128.8</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104.4</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222.0</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167.3</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4.9</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8.8</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COMPREHENSIVE INCOME ATTRIBUTABLE TO EVERGY, INC.</w:t>
            </w:r>
          </w:p>
        </w:tc>
        <w:tc>
          <w:tcPr>
            <w:tcW w:w="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123.9</w:t>
            </w:r>
          </w:p>
        </w:tc>
        <w:tc>
          <w:tcPr>
            <w:tcW w:w="4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101.8</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213.2</w:t>
            </w:r>
          </w:p>
        </w:tc>
        <w:tc>
          <w:tcPr>
            <w:tcW w:w="4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162.3</w:t>
            </w:r>
          </w:p>
        </w:tc>
      </w:tr>
      <w:tr>
        <w:trPr>
          <w:trHeight w:val="40"/>
        </w:trPr>
        <w:tc>
          <w:tcPr>
            <w:tcW w:w="6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Year to Date June 30</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color w:val="auto"/>
              </w:rPr>
              <w:t>2018</w:t>
            </w:r>
          </w:p>
        </w:tc>
      </w:tr>
      <w:tr>
        <w:trPr>
          <w:trHeight w:val="40"/>
        </w:trPr>
        <w:tc>
          <w:tcPr>
            <w:tcW w:w="9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820" w:type="dxa"/>
            <w:vAlign w:val="bottom"/>
          </w:tcPr>
          <w:p>
            <w:pPr>
              <w:spacing w:after="0"/>
              <w:rPr>
                <w:sz w:val="21"/>
                <w:szCs w:val="2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248.0</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167.3</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429.0</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217.7</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29.4</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12.9</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corporate-owned life insurance</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9.9</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13.9</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(9.9)</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Income from corporate-owned life insurance</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(15.1)</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53.0</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Fuel inventory and supplies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22.5</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36.2</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(136.0)</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37"/>
        </w:trPr>
        <w:tc>
          <w:tcPr>
            <w:tcW w:w="9020" w:type="dxa"/>
            <w:vAlign w:val="bottom"/>
          </w:tcPr>
          <w:p>
            <w:pPr>
              <w:ind w:left="28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99.9</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67.8</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41.1</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r>
      <w:tr>
        <w:trPr>
          <w:trHeight w:val="231"/>
        </w:trPr>
        <w:tc>
          <w:tcPr>
            <w:tcW w:w="9020" w:type="dxa"/>
            <w:vAlign w:val="bottom"/>
          </w:tcPr>
          <w:p>
            <w:pPr>
              <w:ind w:left="38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633.7</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397.2</w:t>
            </w:r>
          </w:p>
        </w:tc>
      </w:tr>
      <w:tr>
        <w:trPr>
          <w:trHeight w:val="33"/>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(572.4)</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(435.2)</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acquired from the merger with Great Plains Energy</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1,154.2</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Purchase of securities - trusts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(27.0)</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of securities - trusts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24.5</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Investment in corporate-owned life insurance</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(17.0)</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investment in corporate-owned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68.4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Proceeds from settlement of interest rate swap</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140.6</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1"/>
        </w:trPr>
        <w:tc>
          <w:tcPr>
            <w:tcW w:w="9020" w:type="dxa"/>
            <w:vAlign w:val="bottom"/>
          </w:tcPr>
          <w:p>
            <w:pPr>
              <w:ind w:left="38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(529.5)</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846.9</w:t>
            </w:r>
          </w:p>
        </w:tc>
      </w:tr>
      <w:tr>
        <w:trPr>
          <w:trHeight w:val="33"/>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Short term debt, net</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1,500.5</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242.6</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Collateralized short-term borrowings,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(53.0)</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Proceeds from long-term debt</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493.3</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(701.1)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Retirements of long-term debt of variable interest entities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(30.3)</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56.1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(51.4)</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(235.6)</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Repurchase of common stock under repurchase plan</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(1,128.7)</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(7.3)</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31"/>
        </w:trPr>
        <w:tc>
          <w:tcPr>
            <w:tcW w:w="9020" w:type="dxa"/>
            <w:vAlign w:val="bottom"/>
          </w:tcPr>
          <w:p>
            <w:pPr>
              <w:ind w:left="38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(157.5)</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r>
      <w:tr>
        <w:trPr>
          <w:trHeight w:val="33"/>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1,276.7</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Beginning of period, including restricted cash of $0.0 and $0.1, respectively</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160.3</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1"/>
        </w:trPr>
        <w:tc>
          <w:tcPr>
            <w:tcW w:w="9020" w:type="dxa"/>
            <w:vAlign w:val="bottom"/>
          </w:tcPr>
          <w:p>
            <w:pPr>
              <w:ind w:left="180"/>
              <w:spacing w:after="0"/>
              <w:rPr>
                <w:sz w:val="20"/>
                <w:szCs w:val="20"/>
                <w:color w:val="auto"/>
              </w:rPr>
            </w:pPr>
            <w:r>
              <w:rPr>
                <w:rFonts w:ascii="Arial" w:cs="Arial" w:eastAsia="Arial" w:hAnsi="Arial"/>
                <w:sz w:val="16"/>
                <w:szCs w:val="16"/>
                <w:color w:val="auto"/>
              </w:rPr>
              <w:t>End of period, including restricted cash of $0.0 and $0.1, respectively</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107.0</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1,280.2</w:t>
            </w:r>
          </w:p>
        </w:tc>
      </w:tr>
      <w:tr>
        <w:trPr>
          <w:trHeight w:val="40"/>
        </w:trPr>
        <w:tc>
          <w:tcPr>
            <w:tcW w:w="9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rPr>
          <w:sz w:val="20"/>
          <w:szCs w:val="20"/>
          <w:color w:val="auto"/>
        </w:rPr>
      </w:pPr>
      <w:r>
        <w:rPr>
          <w:rFonts w:ascii="Arial" w:cs="Arial" w:eastAsia="Arial" w:hAnsi="Arial"/>
          <w:sz w:val="12"/>
          <w:szCs w:val="12"/>
          <w:color w:val="auto"/>
        </w:rPr>
        <w:t>The accompanying Notes to Unaudited Consolidated Financial Statements are an integral part of these statements.</w:t>
      </w:r>
    </w:p>
    <w:p>
      <w:pPr>
        <w:sectPr>
          <w:pgSz w:w="11900" w:h="16838" w:orient="portrait"/>
          <w:cols w:equalWidth="0" w:num="1">
            <w:col w:w="11420"/>
          </w:cols>
          <w:pgMar w:left="240" w:top="121" w:right="239"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125" w:right="1440" w:bottom="1440" w:gutter="0" w:footer="0" w:header="0"/>
        </w:sectPr>
      </w:pPr>
    </w:p>
    <w:bookmarkStart w:id="11" w:name="page12"/>
    <w:bookmarkEnd w:id="1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220" w:type="dxa"/>
            <w:vAlign w:val="bottom"/>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Common stock</w:t>
            </w:r>
          </w:p>
        </w:tc>
        <w:tc>
          <w:tcPr>
            <w:tcW w:w="16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controlling</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earnings</w:t>
            </w:r>
          </w:p>
        </w:tc>
        <w:tc>
          <w:tcPr>
            <w:tcW w:w="16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b w:val="1"/>
                <w:bCs w:val="1"/>
                <w:color w:val="auto"/>
              </w:rPr>
              <w:t>AOCI</w:t>
            </w:r>
          </w:p>
        </w:tc>
        <w:tc>
          <w:tcPr>
            <w:tcW w:w="16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86"/>
              </w:rPr>
              <w:t>interests</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Total equity</w:t>
            </w:r>
          </w:p>
        </w:tc>
        <w:tc>
          <w:tcPr>
            <w:tcW w:w="0" w:type="dxa"/>
            <w:vAlign w:val="bottom"/>
          </w:tcPr>
          <w:p>
            <w:pPr>
              <w:spacing w:after="0"/>
              <w:rPr>
                <w:sz w:val="1"/>
                <w:szCs w:val="1"/>
                <w:color w:val="auto"/>
              </w:rPr>
            </w:pPr>
          </w:p>
        </w:tc>
      </w:tr>
      <w:tr>
        <w:trPr>
          <w:trHeight w:val="40"/>
        </w:trPr>
        <w:tc>
          <w:tcPr>
            <w:tcW w:w="5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6"/>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142,094,275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2,734.8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1,173.3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3,860.4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20"/>
        </w:trPr>
        <w:tc>
          <w:tcPr>
            <w:tcW w:w="5260" w:type="dxa"/>
            <w:vAlign w:val="bottom"/>
          </w:tcPr>
          <w:p>
            <w:pPr>
              <w:ind w:left="40"/>
              <w:spacing w:after="0"/>
              <w:rPr>
                <w:sz w:val="20"/>
                <w:szCs w:val="20"/>
                <w:color w:val="auto"/>
              </w:rPr>
            </w:pPr>
            <w:r>
              <w:rPr>
                <w:rFonts w:ascii="Arial" w:cs="Arial" w:eastAsia="Arial" w:hAnsi="Arial"/>
                <w:sz w:val="16"/>
                <w:szCs w:val="16"/>
                <w:color w:val="auto"/>
              </w:rPr>
              <w:t>Issuance of stock compensation and reinvested dividends, net of tax</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200"/>
              <w:spacing w:after="0"/>
              <w:rPr>
                <w:sz w:val="20"/>
                <w:szCs w:val="20"/>
                <w:color w:val="auto"/>
              </w:rPr>
            </w:pPr>
            <w:r>
              <w:rPr>
                <w:rFonts w:ascii="Arial" w:cs="Arial" w:eastAsia="Arial" w:hAnsi="Arial"/>
                <w:sz w:val="16"/>
                <w:szCs w:val="16"/>
                <w:color w:val="auto"/>
              </w:rPr>
              <w:t>withholding</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138,828</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on common stock ($0.40 per share)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Stock compensation expense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142,233,103</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2,733.6</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1,176.1</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3,864.4</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101.8</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stock to Great Plains Energy shareholders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128,947,518</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6,979.9</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6,979.9</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Issuance of restricted common stock</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122,505</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stock compensation and reinvested dividends, net of tax</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withholding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384,617</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on common stock ($0.40 per share)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(57.8)</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compensation expense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Other</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271,687,743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10,895.4</w:t>
            </w:r>
          </w:p>
        </w:tc>
        <w:tc>
          <w:tcPr>
            <w:tcW w:w="0" w:type="dxa"/>
            <w:vAlign w:val="bottom"/>
          </w:tcPr>
          <w:p>
            <w:pPr>
              <w:spacing w:after="0"/>
              <w:rPr>
                <w:sz w:val="1"/>
                <w:szCs w:val="1"/>
                <w:color w:val="auto"/>
              </w:rPr>
            </w:pPr>
          </w:p>
        </w:tc>
      </w:tr>
      <w:tr>
        <w:trPr>
          <w:trHeight w:val="284"/>
        </w:trPr>
        <w:tc>
          <w:tcPr>
            <w:tcW w:w="5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255,326,252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8,685.2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9,990.7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99.5</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stock compensation and reinvested dividends, net of tax</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withholding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60,594</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on common stock ($0.475 per share)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(119.8)</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compensation expense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Repurchase of common stock under repurchase plan</w:t>
            </w:r>
          </w:p>
        </w:tc>
        <w:tc>
          <w:tcPr>
            <w:tcW w:w="1260" w:type="dxa"/>
            <w:vAlign w:val="bottom"/>
          </w:tcPr>
          <w:p>
            <w:pPr>
              <w:jc w:val="right"/>
              <w:spacing w:after="0"/>
              <w:rPr>
                <w:sz w:val="20"/>
                <w:szCs w:val="20"/>
                <w:color w:val="auto"/>
              </w:rPr>
            </w:pPr>
            <w:r>
              <w:rPr>
                <w:rFonts w:ascii="Arial" w:cs="Arial" w:eastAsia="Arial" w:hAnsi="Arial"/>
                <w:sz w:val="16"/>
                <w:szCs w:val="16"/>
                <w:color w:val="auto"/>
              </w:rPr>
              <w:t>(10,548,060)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(578.3)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(578.3)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Consolidation of noncontrolling interests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Other</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244,838,786</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8,110.4</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1,325.7</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9,391.7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139.7</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stock compensation and reinvested dividends, net of tax</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withholding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41,982</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on common stock ($0.475 per share)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(115.8)</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equivalents declared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Stock compensation expense</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under repurchase plan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(9,414,920)</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(550.4)</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(550.4)</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Other</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235,465,848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8,854.7</w:t>
            </w:r>
          </w:p>
        </w:tc>
        <w:tc>
          <w:tcPr>
            <w:tcW w:w="0" w:type="dxa"/>
            <w:vAlign w:val="bottom"/>
          </w:tcPr>
          <w:p>
            <w:pPr>
              <w:spacing w:after="0"/>
              <w:rPr>
                <w:sz w:val="1"/>
                <w:szCs w:val="1"/>
                <w:color w:val="auto"/>
              </w:rPr>
            </w:pPr>
          </w:p>
        </w:tc>
      </w:tr>
      <w:tr>
        <w:trPr>
          <w:trHeight w:val="27"/>
        </w:trPr>
        <w:tc>
          <w:tcPr>
            <w:tcW w:w="5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ectPr>
          <w:pgSz w:w="11900" w:h="16838" w:orient="portrait"/>
          <w:cols w:equalWidth="0" w:num="1">
            <w:col w:w="11420"/>
          </w:cols>
          <w:pgMar w:left="240" w:top="121"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WESTAR ENERGY,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6"/>
                <w:szCs w:val="16"/>
                <w:b w:val="1"/>
                <w:bCs w:val="1"/>
                <w:color w:val="auto"/>
              </w:rPr>
              <w:t>June 30</w:t>
            </w:r>
          </w:p>
        </w:tc>
        <w:tc>
          <w:tcPr>
            <w:tcW w:w="1340" w:type="dxa"/>
            <w:vAlign w:val="bottom"/>
            <w:gridSpan w:val="2"/>
          </w:tcPr>
          <w:p>
            <w:pPr>
              <w:jc w:val="right"/>
              <w:ind w:right="99"/>
              <w:spacing w:after="0"/>
              <w:rPr>
                <w:sz w:val="20"/>
                <w:szCs w:val="20"/>
                <w:color w:val="auto"/>
              </w:rPr>
            </w:pPr>
            <w:r>
              <w:rPr>
                <w:rFonts w:ascii="Arial" w:cs="Arial" w:eastAsia="Arial" w:hAnsi="Arial"/>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1"/>
                <w:szCs w:val="21"/>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4.3</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44.5</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142.3</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84.3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Related party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1.7</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152.0</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185.0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inventory and supplies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268.3</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276.8</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5.6</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85.8</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97.1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29.4</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35.0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689.4</w:t>
            </w: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768.0</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9,732.2</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9,718.3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OF VARIABLE INTEREST ENTITIES, NET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169.3</w:t>
            </w: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169.2</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694.3</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700.4</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256.7</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227.5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265.6</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233.4</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1,216.6</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1,161.3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11,807.5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11,816.8</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Westar Energy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WESTAR ENERGY,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6"/>
                <w:szCs w:val="16"/>
                <w:b w:val="1"/>
                <w:bCs w:val="1"/>
                <w:color w:val="auto"/>
              </w:rPr>
              <w:t>June 30</w:t>
            </w: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1"/>
                <w:szCs w:val="21"/>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300.0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32.3</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737.0</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411.7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Collateralized note payable</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152.0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185.0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103.7</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154.4</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Related party payables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17.5</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14.9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100.4</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88.6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45.3</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74.4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24.2</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19.5</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17.1</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17.1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114.1</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83.0</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1,343.6</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1,378.9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Long-term debt, net</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3,390.6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3,389.8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of variable interest entities,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18.8</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811.5</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815.4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Unamortized investment 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248.5</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249.7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liabilities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1,117.6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1,101.8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472.3</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474.7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264.9</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264.0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153.2</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130.7</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6,477.4</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6,477.2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Westar Energy, Inc.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2,737.6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2,737.6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1,277.3</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1,260.6</w:t>
            </w:r>
          </w:p>
        </w:tc>
      </w:tr>
      <w:tr>
        <w:trPr>
          <w:trHeight w:val="231"/>
        </w:trPr>
        <w:tc>
          <w:tcPr>
            <w:tcW w:w="8800" w:type="dxa"/>
            <w:vAlign w:val="bottom"/>
          </w:tcPr>
          <w:p>
            <w:pPr>
              <w:ind w:left="500"/>
              <w:spacing w:after="0"/>
              <w:rPr>
                <w:sz w:val="20"/>
                <w:szCs w:val="20"/>
                <w:color w:val="auto"/>
              </w:rPr>
            </w:pPr>
            <w:r>
              <w:rPr>
                <w:rFonts w:ascii="Arial" w:cs="Arial" w:eastAsia="Arial" w:hAnsi="Arial"/>
                <w:sz w:val="16"/>
                <w:szCs w:val="16"/>
                <w:color w:val="auto"/>
              </w:rPr>
              <w:t>Total Westar Energy, Inc. Shareholder's Equity</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4,014.9</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3,998.2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(28.4)</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w:t>
            </w:r>
          </w:p>
        </w:tc>
      </w:tr>
      <w:tr>
        <w:trPr>
          <w:trHeight w:val="231"/>
        </w:trPr>
        <w:tc>
          <w:tcPr>
            <w:tcW w:w="880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3,986.5</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3,960.7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11,807.5</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11,816.8</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Westar Energy included in the accompanying Notes to Unaudited Consolidated Financial Statements are an integral part of these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WESTAR ENERGY,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to Date</w:t>
            </w:r>
          </w:p>
        </w:tc>
        <w:tc>
          <w:tcPr>
            <w:tcW w:w="86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r>
      <w:tr>
        <w:trPr>
          <w:trHeight w:val="270"/>
        </w:trPr>
        <w:tc>
          <w:tcPr>
            <w:tcW w:w="5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940" w:type="dxa"/>
            <w:vAlign w:val="bottom"/>
          </w:tcPr>
          <w:p>
            <w:pPr>
              <w:jc w:val="right"/>
              <w:spacing w:after="0"/>
              <w:rPr>
                <w:sz w:val="20"/>
                <w:szCs w:val="20"/>
                <w:color w:val="auto"/>
              </w:rPr>
            </w:pPr>
            <w:r>
              <w:rPr>
                <w:rFonts w:ascii="Arial" w:cs="Arial" w:eastAsia="Arial" w:hAnsi="Arial"/>
                <w:sz w:val="16"/>
                <w:szCs w:val="16"/>
                <w:color w:val="auto"/>
              </w:rPr>
              <w:t>2018</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23"/>
                <w:szCs w:val="23"/>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color w:val="auto"/>
              </w:rPr>
              <w:t>2018</w:t>
            </w:r>
          </w:p>
        </w:tc>
      </w:tr>
      <w:tr>
        <w:trPr>
          <w:trHeight w:val="40"/>
        </w:trPr>
        <w:tc>
          <w:tcPr>
            <w:tcW w:w="55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4"/>
        </w:trPr>
        <w:tc>
          <w:tcPr>
            <w:tcW w:w="5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gridSpan w:val="2"/>
          </w:tcPr>
          <w:p>
            <w:pPr>
              <w:jc w:val="right"/>
              <w:ind w:right="79"/>
              <w:spacing w:after="0"/>
              <w:rPr>
                <w:sz w:val="20"/>
                <w:szCs w:val="20"/>
                <w:color w:val="auto"/>
              </w:rPr>
            </w:pPr>
            <w:r>
              <w:rPr>
                <w:rFonts w:ascii="Arial" w:cs="Arial" w:eastAsia="Arial" w:hAnsi="Arial"/>
                <w:sz w:val="14"/>
                <w:szCs w:val="14"/>
                <w:color w:val="auto"/>
              </w:rPr>
              <w:t>(millions)</w:t>
            </w: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585.5</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4"/>
              </w:rPr>
              <w:t>650.9</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1,182.3</w:t>
            </w:r>
          </w:p>
        </w:tc>
        <w:tc>
          <w:tcPr>
            <w:tcW w:w="5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1,251.1</w:t>
            </w:r>
          </w:p>
        </w:tc>
      </w:tr>
      <w:tr>
        <w:trPr>
          <w:trHeight w:val="231"/>
        </w:trPr>
        <w:tc>
          <w:tcPr>
            <w:tcW w:w="55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and purchased power</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107.7</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4"/>
              </w:rPr>
              <w:t>158.0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230.4</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SPP network transmission costs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62.8</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68.4</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126.3</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and maintenance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127.4</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4"/>
              </w:rPr>
              <w:t>209.7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256.0</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349.7</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110.6</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96.1</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220.4</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185.7</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other than income tax</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49.4</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42.6</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97.3</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w:t>
            </w:r>
          </w:p>
        </w:tc>
      </w:tr>
      <w:tr>
        <w:trPr>
          <w:trHeight w:val="231"/>
        </w:trPr>
        <w:tc>
          <w:tcPr>
            <w:tcW w:w="55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457.9</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4"/>
              </w:rPr>
              <w:t>574.8</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930.4</w:t>
            </w: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1,051.5</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127.6</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76.1</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251.9</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199.6</w:t>
            </w:r>
          </w:p>
        </w:tc>
      </w:tr>
      <w:tr>
        <w:trPr>
          <w:trHeight w:val="231"/>
        </w:trPr>
        <w:tc>
          <w:tcPr>
            <w:tcW w:w="55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earnings (loss)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0.9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3.4</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10.7</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(8.5)</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0"/>
              </w:rPr>
              <w:t>(10.4)</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(19.1)</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31"/>
        </w:trPr>
        <w:tc>
          <w:tcPr>
            <w:tcW w:w="550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w:t>
            </w: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47.5</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44.4</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92.4</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w:t>
            </w:r>
          </w:p>
        </w:tc>
      </w:tr>
      <w:tr>
        <w:trPr>
          <w:trHeight w:val="231"/>
        </w:trPr>
        <w:tc>
          <w:tcPr>
            <w:tcW w:w="55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75.9</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22.9</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153.5</w:t>
            </w: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93.7</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0"/>
              </w:rPr>
              <w:t>(53.6)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20.4</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1.2</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2.4</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67.2</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77.6</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135.5</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4.9</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8.8</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WESTAR ENERGY, INC.</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62.3</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75.0</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126.7</w:t>
            </w:r>
          </w:p>
        </w:tc>
        <w:tc>
          <w:tcPr>
            <w:tcW w:w="5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135.5</w:t>
            </w:r>
          </w:p>
        </w:tc>
      </w:tr>
      <w:tr>
        <w:trPr>
          <w:trHeight w:val="27"/>
        </w:trPr>
        <w:tc>
          <w:tcPr>
            <w:tcW w:w="55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Westar Energy included in the accompanying Notes to Unaudited Consolidated Financial Statements are an integral part of these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WESTAR ENERGY,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40"/>
              <w:spacing w:after="0"/>
              <w:rPr>
                <w:sz w:val="20"/>
                <w:szCs w:val="20"/>
                <w:color w:val="auto"/>
              </w:rPr>
            </w:pPr>
            <w:r>
              <w:rPr>
                <w:rFonts w:ascii="Arial" w:cs="Arial" w:eastAsia="Arial" w:hAnsi="Arial"/>
                <w:sz w:val="16"/>
                <w:szCs w:val="16"/>
                <w:b w:val="1"/>
                <w:bCs w:val="1"/>
                <w:color w:val="auto"/>
              </w:rPr>
              <w:t>Year to Date June 30</w:t>
            </w:r>
          </w:p>
        </w:tc>
        <w:tc>
          <w:tcPr>
            <w:tcW w:w="180" w:type="dxa"/>
            <w:vAlign w:val="bottom"/>
          </w:tcPr>
          <w:p>
            <w:pPr>
              <w:spacing w:after="0"/>
              <w:rPr>
                <w:sz w:val="18"/>
                <w:szCs w:val="18"/>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8"/>
                <w:szCs w:val="18"/>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w w:val="89"/>
              </w:rPr>
              <w:t>2018</w:t>
            </w:r>
          </w:p>
        </w:tc>
      </w:tr>
      <w:tr>
        <w:trPr>
          <w:trHeight w:val="40"/>
        </w:trPr>
        <w:tc>
          <w:tcPr>
            <w:tcW w:w="9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51"/>
        </w:trPr>
        <w:tc>
          <w:tcPr>
            <w:tcW w:w="9600" w:type="dxa"/>
            <w:vAlign w:val="bottom"/>
          </w:tcPr>
          <w:p>
            <w:pPr>
              <w:ind w:left="40"/>
              <w:spacing w:after="0"/>
              <w:rPr>
                <w:sz w:val="20"/>
                <w:szCs w:val="20"/>
                <w:color w:val="auto"/>
              </w:rPr>
            </w:pPr>
            <w:r>
              <w:rPr>
                <w:rFonts w:ascii="Arial" w:cs="Arial" w:eastAsia="Arial" w:hAnsi="Arial"/>
                <w:sz w:val="16"/>
                <w:szCs w:val="16"/>
                <w:color w:val="auto"/>
              </w:rPr>
              <w:t>CASH FLOWS FROM (USED IN) OPERATING ACTIVITIES:</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620" w:type="dxa"/>
            <w:vAlign w:val="bottom"/>
          </w:tcPr>
          <w:p>
            <w:pPr>
              <w:spacing w:after="0"/>
              <w:rPr>
                <w:sz w:val="21"/>
                <w:szCs w:val="21"/>
                <w:color w:val="auto"/>
              </w:rPr>
            </w:pP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135.5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140.5</w:t>
            </w: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220.4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185.7</w:t>
            </w:r>
          </w:p>
        </w:tc>
      </w:tr>
      <w:tr>
        <w:trPr>
          <w:trHeight w:val="237"/>
        </w:trPr>
        <w:tc>
          <w:tcPr>
            <w:tcW w:w="9600" w:type="dxa"/>
            <w:vAlign w:val="bottom"/>
          </w:tcPr>
          <w:p>
            <w:pPr>
              <w:ind w:left="280"/>
              <w:spacing w:after="0"/>
              <w:rPr>
                <w:sz w:val="20"/>
                <w:szCs w:val="20"/>
                <w:color w:val="auto"/>
              </w:rPr>
            </w:pPr>
            <w:r>
              <w:rPr>
                <w:rFonts w:ascii="Arial" w:cs="Arial" w:eastAsia="Arial" w:hAnsi="Arial"/>
                <w:sz w:val="16"/>
                <w:szCs w:val="16"/>
                <w:color w:val="auto"/>
              </w:rPr>
              <w:t>Amortization of nuclear fuel</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14.7</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refueling outage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6.5</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r>
      <w:tr>
        <w:trPr>
          <w:trHeight w:val="237"/>
        </w:trPr>
        <w:tc>
          <w:tcPr>
            <w:tcW w:w="9600" w:type="dxa"/>
            <w:vAlign w:val="bottom"/>
          </w:tcPr>
          <w:p>
            <w:pPr>
              <w:ind w:left="280"/>
              <w:spacing w:after="0"/>
              <w:rPr>
                <w:sz w:val="20"/>
                <w:szCs w:val="20"/>
                <w:color w:val="auto"/>
              </w:rPr>
            </w:pPr>
            <w:r>
              <w:rPr>
                <w:rFonts w:ascii="Arial" w:cs="Arial" w:eastAsia="Arial" w:hAnsi="Arial"/>
                <w:sz w:val="16"/>
                <w:szCs w:val="16"/>
                <w:color w:val="auto"/>
              </w:rPr>
              <w:t>Amortization of corporate-owned life insurance</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9.9</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r>
      <w:tr>
        <w:trPr>
          <w:trHeight w:val="237"/>
        </w:trPr>
        <w:tc>
          <w:tcPr>
            <w:tcW w:w="9600" w:type="dxa"/>
            <w:vAlign w:val="bottom"/>
          </w:tcPr>
          <w:p>
            <w:pPr>
              <w:ind w:left="280"/>
              <w:spacing w:after="0"/>
              <w:rPr>
                <w:sz w:val="20"/>
                <w:szCs w:val="20"/>
                <w:color w:val="auto"/>
              </w:rPr>
            </w:pPr>
            <w:r>
              <w:rPr>
                <w:rFonts w:ascii="Arial" w:cs="Arial" w:eastAsia="Arial" w:hAnsi="Arial"/>
                <w:sz w:val="16"/>
                <w:szCs w:val="16"/>
                <w:color w:val="auto"/>
              </w:rPr>
              <w:t>Net deferred income taxes and credits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(6.3)</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equity funds used during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9600" w:type="dxa"/>
            <w:vAlign w:val="bottom"/>
          </w:tcPr>
          <w:p>
            <w:pPr>
              <w:ind w:left="280"/>
              <w:spacing w:after="0"/>
              <w:rPr>
                <w:sz w:val="20"/>
                <w:szCs w:val="20"/>
                <w:color w:val="auto"/>
              </w:rPr>
            </w:pPr>
            <w:r>
              <w:rPr>
                <w:rFonts w:ascii="Arial" w:cs="Arial" w:eastAsia="Arial" w:hAnsi="Arial"/>
                <w:sz w:val="16"/>
                <w:szCs w:val="16"/>
                <w:color w:val="auto"/>
              </w:rPr>
              <w:t>Payments for asset retirement obligations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(8.2)</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9600" w:type="dxa"/>
            <w:vAlign w:val="bottom"/>
          </w:tcPr>
          <w:p>
            <w:pPr>
              <w:ind w:left="280"/>
              <w:spacing w:after="0"/>
              <w:rPr>
                <w:sz w:val="20"/>
                <w:szCs w:val="20"/>
                <w:color w:val="auto"/>
              </w:rPr>
            </w:pPr>
            <w:r>
              <w:rPr>
                <w:rFonts w:ascii="Arial" w:cs="Arial" w:eastAsia="Arial" w:hAnsi="Arial"/>
                <w:sz w:val="16"/>
                <w:szCs w:val="16"/>
                <w:color w:val="auto"/>
              </w:rPr>
              <w:t>Income from corporate-owned life insurance</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(14.4)</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Changes in working capital items: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(49.5)</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37"/>
        </w:trPr>
        <w:tc>
          <w:tcPr>
            <w:tcW w:w="9600" w:type="dxa"/>
            <w:vAlign w:val="bottom"/>
          </w:tcPr>
          <w:p>
            <w:pPr>
              <w:ind w:left="280"/>
              <w:spacing w:after="0"/>
              <w:rPr>
                <w:sz w:val="20"/>
                <w:szCs w:val="20"/>
                <w:color w:val="auto"/>
              </w:rPr>
            </w:pPr>
            <w:r>
              <w:rPr>
                <w:rFonts w:ascii="Arial" w:cs="Arial" w:eastAsia="Arial" w:hAnsi="Arial"/>
                <w:sz w:val="16"/>
                <w:szCs w:val="16"/>
                <w:color w:val="auto"/>
              </w:rPr>
              <w:t>Accounts receivable pledged as collateral</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33.0</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Fuel inventory and supplies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8.8</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r>
      <w:tr>
        <w:trPr>
          <w:trHeight w:val="237"/>
        </w:trPr>
        <w:tc>
          <w:tcPr>
            <w:tcW w:w="960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7.2</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(19.8)</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9600" w:type="dxa"/>
            <w:vAlign w:val="bottom"/>
          </w:tcPr>
          <w:p>
            <w:pPr>
              <w:ind w:left="280"/>
              <w:spacing w:after="0"/>
              <w:rPr>
                <w:sz w:val="20"/>
                <w:szCs w:val="20"/>
                <w:color w:val="auto"/>
              </w:rPr>
            </w:pPr>
            <w:r>
              <w:rPr>
                <w:rFonts w:ascii="Arial" w:cs="Arial" w:eastAsia="Arial" w:hAnsi="Arial"/>
                <w:sz w:val="16"/>
                <w:szCs w:val="16"/>
                <w:color w:val="auto"/>
              </w:rPr>
              <w:t>Accrued taxes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48.9</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43.6</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Changes in other assets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13.1</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r>
      <w:tr>
        <w:trPr>
          <w:trHeight w:val="231"/>
        </w:trPr>
        <w:tc>
          <w:tcPr>
            <w:tcW w:w="9600" w:type="dxa"/>
            <w:vAlign w:val="bottom"/>
          </w:tcPr>
          <w:p>
            <w:pPr>
              <w:ind w:left="38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348.3</w:t>
            </w: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333.7</w:t>
            </w:r>
          </w:p>
        </w:tc>
      </w:tr>
      <w:tr>
        <w:trPr>
          <w:trHeight w:val="33"/>
        </w:trPr>
        <w:tc>
          <w:tcPr>
            <w:tcW w:w="9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(287.0)</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(367.7)</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securities - trusts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(9.6)</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w:t>
            </w: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Sale of securities - trusts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11.0</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98.4</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corporate-owned life insurance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Proceeds from investment in corporate-owned life insurance</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67.8</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1"/>
        </w:trPr>
        <w:tc>
          <w:tcPr>
            <w:tcW w:w="9600" w:type="dxa"/>
            <w:vAlign w:val="bottom"/>
          </w:tcPr>
          <w:p>
            <w:pPr>
              <w:ind w:left="380"/>
              <w:spacing w:after="0"/>
              <w:rPr>
                <w:sz w:val="20"/>
                <w:szCs w:val="20"/>
                <w:color w:val="auto"/>
              </w:rPr>
            </w:pPr>
            <w:r>
              <w:rPr>
                <w:rFonts w:ascii="Arial" w:cs="Arial" w:eastAsia="Arial" w:hAnsi="Arial"/>
                <w:sz w:val="16"/>
                <w:szCs w:val="16"/>
                <w:color w:val="auto"/>
              </w:rPr>
              <w:t>Cash Flows used in Investing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(237.1)</w:t>
            </w: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(380.7)</w:t>
            </w:r>
          </w:p>
        </w:tc>
      </w:tr>
      <w:tr>
        <w:trPr>
          <w:trHeight w:val="33"/>
        </w:trPr>
        <w:tc>
          <w:tcPr>
            <w:tcW w:w="9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Short term debt, net</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325.3</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212.5</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Collateralized short-term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(33.0)</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Retirements of long-term debt</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(300.0)</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Retirements of long-term debt of variable interest entities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53.1</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53.9</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Cash dividends paid</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(110.0)</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(169.0)</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31"/>
        </w:trPr>
        <w:tc>
          <w:tcPr>
            <w:tcW w:w="9600" w:type="dxa"/>
            <w:vAlign w:val="bottom"/>
          </w:tcPr>
          <w:p>
            <w:pPr>
              <w:ind w:left="380"/>
              <w:spacing w:after="0"/>
              <w:rPr>
                <w:sz w:val="20"/>
                <w:szCs w:val="20"/>
                <w:color w:val="auto"/>
              </w:rPr>
            </w:pPr>
            <w:r>
              <w:rPr>
                <w:rFonts w:ascii="Arial" w:cs="Arial" w:eastAsia="Arial" w:hAnsi="Arial"/>
                <w:sz w:val="16"/>
                <w:szCs w:val="16"/>
                <w:color w:val="auto"/>
              </w:rPr>
              <w:t>Cash Flows (used in) from Financing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(151.4)</w:t>
            </w: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46.8</w:t>
            </w:r>
          </w:p>
        </w:tc>
      </w:tr>
      <w:tr>
        <w:trPr>
          <w:trHeight w:val="33"/>
        </w:trPr>
        <w:tc>
          <w:tcPr>
            <w:tcW w:w="9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(40.2)</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96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Beginning of period, including restricted cash of $0.0 and $0.1, respectively</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44.5</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1"/>
        </w:trPr>
        <w:tc>
          <w:tcPr>
            <w:tcW w:w="9600" w:type="dxa"/>
            <w:vAlign w:val="bottom"/>
          </w:tcPr>
          <w:p>
            <w:pPr>
              <w:ind w:left="180"/>
              <w:spacing w:after="0"/>
              <w:rPr>
                <w:sz w:val="20"/>
                <w:szCs w:val="20"/>
                <w:color w:val="auto"/>
              </w:rPr>
            </w:pPr>
            <w:r>
              <w:rPr>
                <w:rFonts w:ascii="Arial" w:cs="Arial" w:eastAsia="Arial" w:hAnsi="Arial"/>
                <w:sz w:val="16"/>
                <w:szCs w:val="16"/>
                <w:color w:val="auto"/>
              </w:rPr>
              <w:t>End of period, including restricted cash of $0.0 and $0.1, respectively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4.3</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r>
      <w:tr>
        <w:trPr>
          <w:trHeight w:val="40"/>
        </w:trPr>
        <w:tc>
          <w:tcPr>
            <w:tcW w:w="9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Westar Energy included in the accompanying Notes to Unaudited Consolidated Financial Statements are an integral part of these statements.</w:t>
      </w:r>
    </w:p>
    <w:p>
      <w:pPr>
        <w:sectPr>
          <w:pgSz w:w="11900" w:h="16838" w:orient="portrait"/>
          <w:cols w:equalWidth="0" w:num="1">
            <w:col w:w="11420"/>
          </w:cols>
          <w:pgMar w:left="240" w:top="122" w:right="239" w:bottom="474"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474" w:gutter="0" w:footer="0" w:header="0"/>
          <w:type w:val="continuous"/>
        </w:sectPr>
      </w:pPr>
    </w:p>
    <w:bookmarkStart w:id="16" w:name="page17"/>
    <w:bookmarkEnd w:id="1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WESTAR ENERGY,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34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Westar Energy, Inc. Shareholders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60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8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controlling</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earnings</w:t>
            </w:r>
          </w:p>
        </w:tc>
        <w:tc>
          <w:tcPr>
            <w:tcW w:w="16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86"/>
              </w:rPr>
              <w:t>interests</w:t>
            </w: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Total equity</w:t>
            </w:r>
          </w:p>
        </w:tc>
        <w:tc>
          <w:tcPr>
            <w:tcW w:w="0" w:type="dxa"/>
            <w:vAlign w:val="bottom"/>
          </w:tcPr>
          <w:p>
            <w:pPr>
              <w:spacing w:after="0"/>
              <w:rPr>
                <w:sz w:val="1"/>
                <w:szCs w:val="1"/>
                <w:color w:val="auto"/>
              </w:rPr>
            </w:pPr>
          </w:p>
        </w:tc>
      </w:tr>
      <w:tr>
        <w:trPr>
          <w:trHeight w:val="40"/>
        </w:trPr>
        <w:tc>
          <w:tcPr>
            <w:tcW w:w="6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5"/>
          </w:tcPr>
          <w:p>
            <w:pPr>
              <w:jc w:val="right"/>
              <w:ind w:right="739"/>
              <w:spacing w:after="0"/>
              <w:rPr>
                <w:sz w:val="20"/>
                <w:szCs w:val="20"/>
                <w:color w:val="auto"/>
              </w:rPr>
            </w:pPr>
            <w:r>
              <w:rPr>
                <w:rFonts w:ascii="Arial" w:cs="Arial" w:eastAsia="Arial" w:hAnsi="Arial"/>
                <w:sz w:val="14"/>
                <w:szCs w:val="14"/>
                <w:color w:val="auto"/>
              </w:rPr>
              <w:t>(millions, except share amounts)</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142,094,275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3,860.4</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stock for compensation and reinvested dividends, net of tax withholding</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138,828</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compensation expense</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142,233,103</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2,733.6</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1,176.1</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3,864.4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Issuance of stock for compensation and reinvested dividends, net of tax withholding</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378,162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cancelled pursuant to Amended Merger Agreement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(142,611,264)</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(57.8)</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compensation expense</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3,888.2</w:t>
            </w:r>
          </w:p>
        </w:tc>
        <w:tc>
          <w:tcPr>
            <w:tcW w:w="0" w:type="dxa"/>
            <w:vAlign w:val="bottom"/>
          </w:tcPr>
          <w:p>
            <w:pPr>
              <w:spacing w:after="0"/>
              <w:rPr>
                <w:sz w:val="1"/>
                <w:szCs w:val="1"/>
                <w:color w:val="auto"/>
              </w:rPr>
            </w:pPr>
          </w:p>
        </w:tc>
      </w:tr>
      <w:tr>
        <w:trPr>
          <w:trHeight w:val="284"/>
        </w:trPr>
        <w:tc>
          <w:tcPr>
            <w:tcW w:w="60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3,960.7</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64.4</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Consolidation of noncontrolling interests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2,737.6</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1,215.0</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3,921.4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3,986.5</w:t>
            </w:r>
          </w:p>
        </w:tc>
        <w:tc>
          <w:tcPr>
            <w:tcW w:w="0" w:type="dxa"/>
            <w:vAlign w:val="bottom"/>
          </w:tcPr>
          <w:p>
            <w:pPr>
              <w:spacing w:after="0"/>
              <w:rPr>
                <w:sz w:val="1"/>
                <w:szCs w:val="1"/>
                <w:color w:val="auto"/>
              </w:rPr>
            </w:pPr>
          </w:p>
        </w:tc>
      </w:tr>
      <w:tr>
        <w:trPr>
          <w:trHeight w:val="27"/>
        </w:trPr>
        <w:tc>
          <w:tcPr>
            <w:tcW w:w="60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Westar Energy included in the accompanying Notes to Unaudited Consolidated Financial Statements are an integral part of these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KANSAS CITY POWER &amp; LIGHT COMPANY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6"/>
                <w:szCs w:val="16"/>
                <w:b w:val="1"/>
                <w:bCs w:val="1"/>
                <w:color w:val="auto"/>
              </w:rPr>
              <w:t>June 30</w:t>
            </w:r>
          </w:p>
        </w:tc>
        <w:tc>
          <w:tcPr>
            <w:tcW w:w="1340" w:type="dxa"/>
            <w:vAlign w:val="bottom"/>
            <w:gridSpan w:val="2"/>
          </w:tcPr>
          <w:p>
            <w:pPr>
              <w:jc w:val="right"/>
              <w:ind w:right="99"/>
              <w:spacing w:after="0"/>
              <w:rPr>
                <w:sz w:val="20"/>
                <w:szCs w:val="20"/>
                <w:color w:val="auto"/>
              </w:rPr>
            </w:pPr>
            <w:r>
              <w:rPr>
                <w:rFonts w:ascii="Arial" w:cs="Arial" w:eastAsia="Arial" w:hAnsi="Arial"/>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1"/>
                <w:szCs w:val="21"/>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3.0</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86.7</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Related party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81.7</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101.8</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110.0</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130.0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inventory and supplies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167.5</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177.6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89.5</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130.9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25.2</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20.2</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16.8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583.8</w:t>
            </w: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642.5</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6,764.0</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6,688.1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472.1</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495.2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279.0</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244.6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137.6</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50.1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888.7</w:t>
            </w: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789.9</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8,236.5</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8,120.5</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KCP&amp;L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KANSAS CITY POWER &amp; LIGHT COMPANY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6"/>
                <w:szCs w:val="16"/>
                <w:b w:val="1"/>
                <w:bCs w:val="1"/>
                <w:color w:val="auto"/>
              </w:rPr>
              <w:t>June 30</w:t>
            </w:r>
          </w:p>
        </w:tc>
        <w:tc>
          <w:tcPr>
            <w:tcW w:w="1340" w:type="dxa"/>
            <w:vAlign w:val="bottom"/>
            <w:gridSpan w:val="2"/>
          </w:tcPr>
          <w:p>
            <w:pPr>
              <w:jc w:val="right"/>
              <w:ind w:right="99"/>
              <w:spacing w:after="0"/>
              <w:rPr>
                <w:sz w:val="20"/>
                <w:szCs w:val="20"/>
                <w:color w:val="auto"/>
              </w:rPr>
            </w:pPr>
            <w:r>
              <w:rPr>
                <w:rFonts w:ascii="Arial" w:cs="Arial" w:eastAsia="Arial" w:hAnsi="Arial"/>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1"/>
                <w:szCs w:val="21"/>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400.0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Notes payable and commercial paper</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226.7</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176.9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Collateralized note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110.0</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130.0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136.2</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211.1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90.5</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25.2</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28.9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8.4</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52.8</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30.6</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29.2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benefits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47.4</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52.5</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31.0</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17.2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706.0</w:t>
            </w: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1,138.3</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2,524.3</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2,130.1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625.1</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631.8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Unamortized investment 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120.2</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liabilities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802.3</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794.3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510.3</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491.9</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244.5</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231.8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192.8</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81.8</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5,019.5</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4,482.4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1,563.1</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1,563.1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943.0</w:t>
            </w:r>
          </w:p>
        </w:tc>
        <w:tc>
          <w:tcPr>
            <w:tcW w:w="44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932.6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4.9</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2,511.0</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2,499.8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8,236.5</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8,120.5</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KCP&amp;L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KANSAS CITY POWER &amp; LIGHT COMPANY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to Date</w:t>
            </w:r>
          </w:p>
        </w:tc>
        <w:tc>
          <w:tcPr>
            <w:tcW w:w="86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r>
      <w:tr>
        <w:trPr>
          <w:trHeight w:val="270"/>
        </w:trPr>
        <w:tc>
          <w:tcPr>
            <w:tcW w:w="5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3"/>
                <w:szCs w:val="23"/>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color w:val="auto"/>
              </w:rPr>
              <w:t>2018</w:t>
            </w:r>
          </w:p>
        </w:tc>
        <w:tc>
          <w:tcPr>
            <w:tcW w:w="420" w:type="dxa"/>
            <w:vAlign w:val="bottom"/>
          </w:tcPr>
          <w:p>
            <w:pPr>
              <w:spacing w:after="0"/>
              <w:rPr>
                <w:sz w:val="23"/>
                <w:szCs w:val="23"/>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23"/>
                <w:szCs w:val="23"/>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color w:val="auto"/>
              </w:rPr>
              <w:t>2018</w:t>
            </w:r>
          </w:p>
        </w:tc>
      </w:tr>
      <w:tr>
        <w:trPr>
          <w:trHeight w:val="40"/>
        </w:trPr>
        <w:tc>
          <w:tcPr>
            <w:tcW w:w="55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4"/>
        </w:trPr>
        <w:tc>
          <w:tcPr>
            <w:tcW w:w="5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gridSpan w:val="2"/>
          </w:tcPr>
          <w:p>
            <w:pPr>
              <w:jc w:val="right"/>
              <w:ind w:right="79"/>
              <w:spacing w:after="0"/>
              <w:rPr>
                <w:sz w:val="20"/>
                <w:szCs w:val="20"/>
                <w:color w:val="auto"/>
              </w:rPr>
            </w:pPr>
            <w:r>
              <w:rPr>
                <w:rFonts w:ascii="Arial" w:cs="Arial" w:eastAsia="Arial" w:hAnsi="Arial"/>
                <w:sz w:val="14"/>
                <w:szCs w:val="14"/>
                <w:color w:val="auto"/>
              </w:rPr>
              <w:t>(millions)</w:t>
            </w: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437.0</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452.2</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862.4</w:t>
            </w:r>
          </w:p>
        </w:tc>
        <w:tc>
          <w:tcPr>
            <w:tcW w:w="5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849.3</w:t>
            </w:r>
          </w:p>
        </w:tc>
      </w:tr>
      <w:tr>
        <w:trPr>
          <w:trHeight w:val="231"/>
        </w:trPr>
        <w:tc>
          <w:tcPr>
            <w:tcW w:w="55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and purchased power</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116.2</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132.5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251.1</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Operating and maintenance</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108.0</w:t>
            </w:r>
          </w:p>
        </w:tc>
        <w:tc>
          <w:tcPr>
            <w:tcW w:w="44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104.5</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230.0</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227.2</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79.9</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158.8</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137.1</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Taxes other than income tax</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31.0</w:t>
            </w:r>
          </w:p>
        </w:tc>
        <w:tc>
          <w:tcPr>
            <w:tcW w:w="44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63.7</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59.3</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335.1</w:t>
            </w: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337.5</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703.6</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673.6</w:t>
            </w:r>
          </w:p>
        </w:tc>
      </w:tr>
      <w:tr>
        <w:trPr>
          <w:trHeight w:val="231"/>
        </w:trPr>
        <w:tc>
          <w:tcPr>
            <w:tcW w:w="550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101.9</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114.7</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158.8</w:t>
            </w: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175.7</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Investment earnings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0.6</w:t>
            </w:r>
          </w:p>
        </w:tc>
        <w:tc>
          <w:tcPr>
            <w:tcW w:w="44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1.4</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0.3</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Other expense</w:t>
            </w:r>
          </w:p>
        </w:tc>
        <w:tc>
          <w:tcPr>
            <w:tcW w:w="5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(5.8)</w:t>
            </w:r>
          </w:p>
        </w:tc>
        <w:tc>
          <w:tcPr>
            <w:tcW w:w="4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(10.8)</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Expense, Net</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(4.9)</w:t>
            </w: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(8.3)</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31"/>
        </w:trPr>
        <w:tc>
          <w:tcPr>
            <w:tcW w:w="55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29.6</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34.6</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63.4</w:t>
            </w: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67.6</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67.4</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73.4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87.1</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8.0</w:t>
            </w:r>
          </w:p>
        </w:tc>
        <w:tc>
          <w:tcPr>
            <w:tcW w:w="44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48.8</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11.7</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52.3</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59.4</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24.6</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75.4</w:t>
            </w:r>
          </w:p>
        </w:tc>
        <w:tc>
          <w:tcPr>
            <w:tcW w:w="5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59.4</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24.6</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75.4</w:t>
            </w:r>
          </w:p>
        </w:tc>
        <w:tc>
          <w:tcPr>
            <w:tcW w:w="5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hedging activity</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6"/>
                <w:szCs w:val="16"/>
                <w:color w:val="auto"/>
              </w:rPr>
              <w:t>Reclassification to expenses, net of tax:</w:t>
            </w:r>
          </w:p>
        </w:tc>
        <w:tc>
          <w:tcPr>
            <w:tcW w:w="5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(0.1)</w:t>
            </w:r>
          </w:p>
        </w:tc>
        <w:tc>
          <w:tcPr>
            <w:tcW w:w="44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0.8</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 hedging activity, net of tax</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0.8</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1"/>
        </w:trPr>
        <w:tc>
          <w:tcPr>
            <w:tcW w:w="5500" w:type="dxa"/>
            <w:vAlign w:val="bottom"/>
          </w:tcPr>
          <w:p>
            <w:pPr>
              <w:ind w:left="180"/>
              <w:spacing w:after="0"/>
              <w:rPr>
                <w:sz w:val="20"/>
                <w:szCs w:val="20"/>
                <w:color w:val="auto"/>
              </w:rPr>
            </w:pPr>
            <w:r>
              <w:rPr>
                <w:rFonts w:ascii="Arial" w:cs="Arial" w:eastAsia="Arial" w:hAnsi="Arial"/>
                <w:sz w:val="16"/>
                <w:szCs w:val="16"/>
                <w:color w:val="auto"/>
              </w:rPr>
              <w:t>Total other comprehensive income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0.8</w:t>
            </w: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59.3</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25.6</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76.2</w:t>
            </w:r>
          </w:p>
        </w:tc>
        <w:tc>
          <w:tcPr>
            <w:tcW w:w="5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r>
      <w:tr>
        <w:trPr>
          <w:trHeight w:val="27"/>
        </w:trPr>
        <w:tc>
          <w:tcPr>
            <w:tcW w:w="55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KCP&amp;L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KANSAS CITY POWER &amp; LIGHT COMPANY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Year to Date June 30</w:t>
            </w:r>
          </w:p>
        </w:tc>
        <w:tc>
          <w:tcPr>
            <w:tcW w:w="220" w:type="dxa"/>
            <w:vAlign w:val="bottom"/>
          </w:tcPr>
          <w:p>
            <w:pPr>
              <w:spacing w:after="0"/>
              <w:rPr>
                <w:sz w:val="18"/>
                <w:szCs w:val="18"/>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w w:val="95"/>
              </w:rPr>
              <w:t>2018</w:t>
            </w:r>
          </w:p>
        </w:tc>
      </w:tr>
      <w:tr>
        <w:trPr>
          <w:trHeight w:val="40"/>
        </w:trPr>
        <w:tc>
          <w:tcPr>
            <w:tcW w:w="9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51"/>
        </w:trPr>
        <w:tc>
          <w:tcPr>
            <w:tcW w:w="9480" w:type="dxa"/>
            <w:vAlign w:val="bottom"/>
          </w:tcPr>
          <w:p>
            <w:pPr>
              <w:ind w:left="40"/>
              <w:spacing w:after="0"/>
              <w:rPr>
                <w:sz w:val="20"/>
                <w:szCs w:val="20"/>
                <w:color w:val="auto"/>
              </w:rPr>
            </w:pPr>
            <w:r>
              <w:rPr>
                <w:rFonts w:ascii="Arial" w:cs="Arial" w:eastAsia="Arial" w:hAnsi="Arial"/>
                <w:sz w:val="16"/>
                <w:szCs w:val="16"/>
                <w:color w:val="auto"/>
              </w:rPr>
              <w:t>CASH FLOWS FROM (USED IN) OPERATING ACTIVITIES:</w:t>
            </w:r>
          </w:p>
        </w:tc>
        <w:tc>
          <w:tcPr>
            <w:tcW w:w="2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640" w:type="dxa"/>
            <w:vAlign w:val="bottom"/>
          </w:tcPr>
          <w:p>
            <w:pPr>
              <w:spacing w:after="0"/>
              <w:rPr>
                <w:sz w:val="21"/>
                <w:szCs w:val="21"/>
                <w:color w:val="auto"/>
              </w:rPr>
            </w:pP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75.4</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158.8</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137.1</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Amortization of nuclear fuel</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14.8</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refueling outage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6.5</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deferred income taxes and credits</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(28.0)</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24.7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equity funds used during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(0.3)</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Payments for asset retirement obligations</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(1.4)</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0.5</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Changes in working capital items: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Accounts receivable pledged as collateral</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20.0</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Fuel inventory and supplies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10.1</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24.4</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(66.5)</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Accrued taxes</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50.8</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75.2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(54.6)</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Changes in other assets</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24.9</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17.8</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r>
      <w:tr>
        <w:trPr>
          <w:trHeight w:val="231"/>
        </w:trPr>
        <w:tc>
          <w:tcPr>
            <w:tcW w:w="9480" w:type="dxa"/>
            <w:vAlign w:val="bottom"/>
          </w:tcPr>
          <w:p>
            <w:pPr>
              <w:ind w:left="38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249.5</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243.9</w:t>
            </w:r>
          </w:p>
        </w:tc>
      </w:tr>
      <w:tr>
        <w:trPr>
          <w:trHeight w:val="33"/>
        </w:trPr>
        <w:tc>
          <w:tcPr>
            <w:tcW w:w="9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(208.6)</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(225.2)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securities - trusts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(17.5)</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Sale of securities - trusts</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13.4</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1"/>
        </w:trPr>
        <w:tc>
          <w:tcPr>
            <w:tcW w:w="9480" w:type="dxa"/>
            <w:vAlign w:val="bottom"/>
          </w:tcPr>
          <w:p>
            <w:pPr>
              <w:ind w:left="380"/>
              <w:spacing w:after="0"/>
              <w:rPr>
                <w:sz w:val="20"/>
                <w:szCs w:val="20"/>
                <w:color w:val="auto"/>
              </w:rPr>
            </w:pPr>
            <w:r>
              <w:rPr>
                <w:rFonts w:ascii="Arial" w:cs="Arial" w:eastAsia="Arial" w:hAnsi="Arial"/>
                <w:sz w:val="16"/>
                <w:szCs w:val="16"/>
                <w:color w:val="auto"/>
              </w:rPr>
              <w:t>Cash Flows used in Investing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(210.3)</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(226.5)</w:t>
            </w:r>
          </w:p>
        </w:tc>
      </w:tr>
      <w:tr>
        <w:trPr>
          <w:trHeight w:val="33"/>
        </w:trPr>
        <w:tc>
          <w:tcPr>
            <w:tcW w:w="9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Short term debt, net</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49.8</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154.9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Collateralized short-term debt, net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Proceeds from long-term debt</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393.4</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296.6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(400.0)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Cash dividends paid</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(65.0)</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1"/>
        </w:trPr>
        <w:tc>
          <w:tcPr>
            <w:tcW w:w="9480" w:type="dxa"/>
            <w:vAlign w:val="bottom"/>
          </w:tcPr>
          <w:p>
            <w:pPr>
              <w:ind w:left="38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(38.8)</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33"/>
        </w:trPr>
        <w:tc>
          <w:tcPr>
            <w:tcW w:w="9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0.4</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1"/>
        </w:trPr>
        <w:tc>
          <w:tcPr>
            <w:tcW w:w="9480" w:type="dxa"/>
            <w:vAlign w:val="bottom"/>
          </w:tcPr>
          <w:p>
            <w:pPr>
              <w:ind w:left="180"/>
              <w:spacing w:after="0"/>
              <w:rPr>
                <w:sz w:val="20"/>
                <w:szCs w:val="20"/>
                <w:color w:val="auto"/>
              </w:rPr>
            </w:pPr>
            <w:r>
              <w:rPr>
                <w:rFonts w:ascii="Arial" w:cs="Arial" w:eastAsia="Arial" w:hAnsi="Arial"/>
                <w:sz w:val="16"/>
                <w:szCs w:val="16"/>
                <w:color w:val="auto"/>
              </w:rPr>
              <w:t>End of period</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r>
      <w:tr>
        <w:trPr>
          <w:trHeight w:val="40"/>
        </w:trPr>
        <w:tc>
          <w:tcPr>
            <w:tcW w:w="9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KCP&amp;L included in the accompanying Notes to Unaudited Consolidated Financial Statements are an integral part of these statements.</w:t>
      </w:r>
    </w:p>
    <w:p>
      <w:pPr>
        <w:sectPr>
          <w:pgSz w:w="11900" w:h="16838" w:orient="portrait"/>
          <w:cols w:equalWidth="0" w:num="1">
            <w:col w:w="11420"/>
          </w:cols>
          <w:pgMar w:left="240" w:top="121"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KANSAS CITY POWER &amp; LIGHT COMPANY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AOCI - Net</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w w:val="95"/>
              </w:rPr>
              <w:t>Common stock</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6"/>
                <w:szCs w:val="16"/>
                <w:b w:val="1"/>
                <w:bCs w:val="1"/>
                <w:color w:val="auto"/>
              </w:rPr>
              <w:t>Retained</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gains (losses) 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w w:val="90"/>
              </w:rPr>
              <w:t>Common Stock</w:t>
            </w:r>
          </w:p>
        </w:tc>
        <w:tc>
          <w:tcPr>
            <w:tcW w:w="24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Arial" w:cs="Arial" w:eastAsia="Arial" w:hAnsi="Arial"/>
                <w:sz w:val="16"/>
                <w:szCs w:val="16"/>
                <w:b w:val="1"/>
                <w:bCs w:val="1"/>
                <w:color w:val="auto"/>
              </w:rPr>
              <w:t>earnings</w:t>
            </w: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w w:val="86"/>
              </w:rPr>
              <w:t>cash flow hedges</w:t>
            </w:r>
          </w:p>
        </w:tc>
        <w:tc>
          <w:tcPr>
            <w:tcW w:w="1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Total Equity</w:t>
            </w:r>
          </w:p>
        </w:tc>
      </w:tr>
      <w:tr>
        <w:trPr>
          <w:trHeight w:val="40"/>
        </w:trPr>
        <w:tc>
          <w:tcPr>
            <w:tcW w:w="5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8"/>
        </w:trPr>
        <w:tc>
          <w:tcPr>
            <w:tcW w:w="5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20" w:type="dxa"/>
            <w:vAlign w:val="bottom"/>
            <w:gridSpan w:val="5"/>
          </w:tcPr>
          <w:p>
            <w:pPr>
              <w:jc w:val="right"/>
              <w:ind w:right="759"/>
              <w:spacing w:after="0"/>
              <w:rPr>
                <w:sz w:val="20"/>
                <w:szCs w:val="20"/>
                <w:color w:val="auto"/>
              </w:rPr>
            </w:pPr>
            <w:r>
              <w:rPr>
                <w:rFonts w:ascii="Arial" w:cs="Arial" w:eastAsia="Arial" w:hAnsi="Arial"/>
                <w:sz w:val="14"/>
                <w:szCs w:val="14"/>
                <w:color w:val="auto"/>
              </w:rPr>
              <w:t>(millions, except share amounts)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6"/>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949.7</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2,513.2</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909.9</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2,474.3</w:t>
            </w:r>
          </w:p>
        </w:tc>
      </w:tr>
      <w:tr>
        <w:trPr>
          <w:trHeight w:val="33"/>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874.5</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2,439.9</w:t>
            </w:r>
          </w:p>
        </w:tc>
      </w:tr>
      <w:tr>
        <w:trPr>
          <w:trHeight w:val="40"/>
        </w:trPr>
        <w:tc>
          <w:tcPr>
            <w:tcW w:w="5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84"/>
        </w:trPr>
        <w:tc>
          <w:tcPr>
            <w:tcW w:w="5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932.6</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2,499.8</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948.6</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2,516.7</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59.4</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59.4</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on common stock</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2,511.0</w:t>
            </w:r>
          </w:p>
        </w:tc>
      </w:tr>
      <w:tr>
        <w:trPr>
          <w:trHeight w:val="27"/>
        </w:trPr>
        <w:tc>
          <w:tcPr>
            <w:tcW w:w="5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KCP&amp;L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WESTAR ENERGY, INC.</w:t>
      </w:r>
    </w:p>
    <w:p>
      <w:pPr>
        <w:spacing w:after="0"/>
        <w:rPr>
          <w:sz w:val="20"/>
          <w:szCs w:val="20"/>
          <w:color w:val="auto"/>
        </w:rPr>
      </w:pPr>
      <w:r>
        <w:rPr>
          <w:rFonts w:ascii="Arial" w:cs="Arial" w:eastAsia="Arial" w:hAnsi="Arial"/>
          <w:sz w:val="20"/>
          <w:szCs w:val="20"/>
          <w:b w:val="1"/>
          <w:bCs w:val="1"/>
          <w:color w:val="auto"/>
        </w:rPr>
        <w:t>KANSAS CITY POWER &amp; LIGHT COMPANY</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440"/>
        <w:spacing w:after="0" w:line="273"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Westar Energy, Inc. and Kansas City Power &amp; Light Company, all registrants under this filing. The terms "Evergy," "Westar Energy," "KCP&amp;L" and "Evergy Companies" are used throughout this report. "Evergy" refers to Evergy, Inc. and its consolidated subsidiaries, unless otherwise indicated. "Westar Energy" refers to Westar Energy, Inc. and its consolidated subsidiaries, unless otherwise indicated. "KCP&amp;L" refers to Kansas City Power &amp; Light Company and its consolidated subsidiaries, unless otherwise indicated. "Evergy Companies" refers to Evergy, Westar Energy, and KCP&amp;L, collectively, which are individual registrants within the Evergy consolidated group. The Evergy Companies' interim financial statements reflect all adjustments (which include normal, recurring adjustments) that are necessary, in the opinion of management, for a fair presentation of the results for the interim periods presented.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w:t>
      </w:r>
    </w:p>
    <w:p>
      <w:pPr>
        <w:spacing w:after="0" w:line="192" w:lineRule="exact"/>
        <w:rPr>
          <w:sz w:val="20"/>
          <w:szCs w:val="20"/>
          <w:color w:val="auto"/>
        </w:rPr>
      </w:pPr>
    </w:p>
    <w:p>
      <w:pPr>
        <w:ind w:left="660" w:right="40" w:hanging="328"/>
        <w:spacing w:after="0" w:line="287"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Westar Energy is an integrated, regulated electric utility that provides electricity to customers in the state of Kansas. Westar Energy has one active wholly-owned subsidiary with significant operations, Kansas Gas and Electric Company (KGE).</w:t>
      </w:r>
    </w:p>
    <w:p>
      <w:pPr>
        <w:spacing w:after="0" w:line="44"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KCP&amp;L is an integrated, regulated electric utility that provides electricity to customers in the states of Missouri and Kansas.</w:t>
      </w:r>
    </w:p>
    <w:p>
      <w:pPr>
        <w:spacing w:after="0" w:line="119" w:lineRule="exact"/>
        <w:rPr>
          <w:rFonts w:ascii="Arial" w:cs="Arial" w:eastAsia="Arial" w:hAnsi="Arial"/>
          <w:sz w:val="19"/>
          <w:szCs w:val="19"/>
          <w:color w:val="auto"/>
        </w:rPr>
      </w:pPr>
    </w:p>
    <w:p>
      <w:pPr>
        <w:ind w:left="660" w:right="80" w:hanging="328"/>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KCP&amp;L Greater Missouri Operations Company (GMO) is an integrated, regulated electric utility that provides electricity to customers in the state of Missouri.</w:t>
      </w:r>
    </w:p>
    <w:p>
      <w:pPr>
        <w:spacing w:after="0" w:line="68" w:lineRule="exact"/>
        <w:rPr>
          <w:rFonts w:ascii="Arial" w:cs="Arial" w:eastAsia="Arial" w:hAnsi="Arial"/>
          <w:sz w:val="20"/>
          <w:szCs w:val="20"/>
          <w:color w:val="auto"/>
        </w:rPr>
      </w:pPr>
    </w:p>
    <w:p>
      <w:pPr>
        <w:ind w:left="660" w:right="480" w:hanging="328"/>
        <w:spacing w:after="0" w:line="246"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GPE Transmission Holding Company, LLC (GPETHC) owns 13.5% of Transource Energy, LLC (Transource) with the remaining 86.5% owned by AEP Transmission Holding Company, LLC, a subsidiary of American Electric Power Company, Inc. (AEP). Transource is focused on the development of competitive electric transmission projects. GPETHC accounts for its investment in Transource under the equity method.</w:t>
      </w:r>
    </w:p>
    <w:p>
      <w:pPr>
        <w:spacing w:after="0" w:line="192" w:lineRule="exact"/>
        <w:rPr>
          <w:sz w:val="20"/>
          <w:szCs w:val="20"/>
          <w:color w:val="auto"/>
        </w:rPr>
      </w:pPr>
    </w:p>
    <w:p>
      <w:pPr>
        <w:jc w:val="both"/>
        <w:ind w:right="240"/>
        <w:spacing w:after="0" w:line="246" w:lineRule="auto"/>
        <w:rPr>
          <w:sz w:val="20"/>
          <w:szCs w:val="20"/>
          <w:color w:val="auto"/>
        </w:rPr>
      </w:pPr>
      <w:r>
        <w:rPr>
          <w:rFonts w:ascii="Arial" w:cs="Arial" w:eastAsia="Arial" w:hAnsi="Arial"/>
          <w:sz w:val="20"/>
          <w:szCs w:val="20"/>
          <w:color w:val="auto"/>
        </w:rPr>
        <w:t>Westar Energy also owns a 50% interest in Prairie Wind Transmission, LLC (Prairie Wind), which is a joint venture between Westar Energy and affiliates of AEP and Berkshire Hathaway Energy Company. Prairie Wind owns a 108-mile, 345 kV double-circuit transmission line that provides transmission service in the Southwest Power Pool, Inc. (SPP). Westar Energy accounts for its investment in Prairie Wind under the equity method.</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Westar Energy and KGE conduct business in their respective service territories using the name Westar Energy. KCP&amp;L and GMO conduct business in their respective service territories using the name KCP&amp;L. Collectively, the Evergy Companies have approximately 14,500 MWs of owned generating capacity and renewable purchased power agreements and engage in the generation, transmission, distribution and sale of electricity to approximately 1.6 million customers in the states of Kansas and Missouri.</w:t>
      </w:r>
    </w:p>
    <w:p>
      <w:pPr>
        <w:spacing w:after="0" w:line="177"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Evergy was incorporated in 2017 as Monarch Energy Holding, Inc. (Monarch Energy), a wholly-owned subsidiary of Great Plains Energy Incorporated (Great Plains Energy). Prior to the closing of the merger transactions, Monarch Energy changed its name to Evergy and did not conduct any business activities other than those required for its formation and matters contemplated by the Amended and Restated Agreement and Plan of Merger, dated as of July 9, 2017, by and among Great Plains Energy, Westar Energy, Monarch Energy and King Energy, Inc. (King Energy), a wholly-owned subsidiary of Monarch Energy (Amended Merger Agreement). On June 4, 2018, in accordance with the Amended Merger Agreement, Great Plains Energy merged into Evergy, with Evergy surviving the merger and King Energy merged into Westar Energy, with Westar Energy surviving the merger. These merger transactions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resulted in Evergy becoming the parent entity of Westar Energy and the direct subsidiaries of Great Plains Energy, including KCP&amp;L and GMO. As a result of the closing of the merger transactions, each outstanding share of Great Plains Energy common stock was converted into 0.5981 shares of Evergy common stock, resulting in the issuance of 128.9 million shares. Additionally, each outstanding share of Westar Energy common stock was converted into 1 share of Evergy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2018 Form 10-K.</w:t>
      </w:r>
    </w:p>
    <w:p>
      <w:pPr>
        <w:spacing w:after="0" w:line="179"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Westar Energy was determined to be the accounting acquirer in the merger and thus, the predecessor of Evergy. Evergy had separate operations for the period beginning with the quarter ended June 30, 2018, and references to amounts for periods after the closing of the merger relate to Evergy. The results of Great Plains Energy's direct subsidiaries have been included in Evergy's results of operations from June 4, 2018, the date of the closing of the merger, and thereafter.</w:t>
      </w:r>
    </w:p>
    <w:p>
      <w:pPr>
        <w:spacing w:after="0" w:line="19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Each of Evergy's, Westar Energy's and KCP&amp;L's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2"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40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3"/>
                <w:szCs w:val="23"/>
                <w:color w:val="auto"/>
              </w:rPr>
            </w:pPr>
          </w:p>
        </w:tc>
        <w:tc>
          <w:tcPr>
            <w:tcW w:w="14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7"/>
        </w:trPr>
        <w:tc>
          <w:tcPr>
            <w:tcW w:w="40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3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(millions)</w:t>
            </w:r>
          </w:p>
        </w:tc>
        <w:tc>
          <w:tcPr>
            <w:tcW w:w="14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 inventory</w:t>
            </w:r>
          </w:p>
        </w:tc>
        <w:tc>
          <w:tcPr>
            <w:tcW w:w="4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168.9</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Supplies</w:t>
            </w:r>
          </w:p>
        </w:tc>
        <w:tc>
          <w:tcPr>
            <w:tcW w:w="3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337.8</w:t>
            </w:r>
          </w:p>
        </w:tc>
        <w:tc>
          <w:tcPr>
            <w:tcW w:w="68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342.1</w:t>
            </w:r>
          </w:p>
        </w:tc>
      </w:tr>
      <w:tr>
        <w:trPr>
          <w:trHeight w:val="27"/>
        </w:trPr>
        <w:tc>
          <w:tcPr>
            <w:tcW w:w="40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inventory and supplies</w:t>
            </w:r>
          </w:p>
        </w:tc>
        <w:tc>
          <w:tcPr>
            <w:tcW w:w="4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511.0</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Westar Energy</w:t>
            </w:r>
          </w:p>
        </w:tc>
        <w:tc>
          <w:tcPr>
            <w:tcW w:w="3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 inventory</w:t>
            </w:r>
          </w:p>
        </w:tc>
        <w:tc>
          <w:tcPr>
            <w:tcW w:w="4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87.8</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Supplies</w:t>
            </w:r>
          </w:p>
        </w:tc>
        <w:tc>
          <w:tcPr>
            <w:tcW w:w="3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182.9</w:t>
            </w:r>
          </w:p>
        </w:tc>
        <w:tc>
          <w:tcPr>
            <w:tcW w:w="68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189.0</w:t>
            </w:r>
          </w:p>
        </w:tc>
      </w:tr>
      <w:tr>
        <w:trPr>
          <w:trHeight w:val="27"/>
        </w:trPr>
        <w:tc>
          <w:tcPr>
            <w:tcW w:w="40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inventory and supplies</w:t>
            </w:r>
          </w:p>
        </w:tc>
        <w:tc>
          <w:tcPr>
            <w:tcW w:w="4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276.8</w:t>
            </w: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KCP&amp;L</w:t>
            </w:r>
          </w:p>
        </w:tc>
        <w:tc>
          <w:tcPr>
            <w:tcW w:w="3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 inventory</w:t>
            </w:r>
          </w:p>
        </w:tc>
        <w:tc>
          <w:tcPr>
            <w:tcW w:w="4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57.8</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Supplies</w:t>
            </w:r>
          </w:p>
        </w:tc>
        <w:tc>
          <w:tcPr>
            <w:tcW w:w="3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w:t>
            </w:r>
          </w:p>
        </w:tc>
        <w:tc>
          <w:tcPr>
            <w:tcW w:w="68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119.8</w:t>
            </w:r>
          </w:p>
        </w:tc>
      </w:tr>
      <w:tr>
        <w:trPr>
          <w:trHeight w:val="27"/>
        </w:trPr>
        <w:tc>
          <w:tcPr>
            <w:tcW w:w="40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6"/>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inventory and supplies</w:t>
            </w:r>
          </w:p>
        </w:tc>
        <w:tc>
          <w:tcPr>
            <w:tcW w:w="4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177.6</w:t>
            </w:r>
          </w:p>
        </w:tc>
      </w:tr>
      <w:tr>
        <w:trPr>
          <w:trHeight w:val="891"/>
        </w:trPr>
        <w:tc>
          <w:tcPr>
            <w:tcW w:w="400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jc w:val="right"/>
              <w:ind w:right="1890"/>
              <w:spacing w:after="0"/>
              <w:rPr>
                <w:sz w:val="20"/>
                <w:szCs w:val="20"/>
                <w:color w:val="auto"/>
              </w:rPr>
            </w:pPr>
            <w:r>
              <w:rPr>
                <w:rFonts w:ascii="Arial" w:cs="Arial" w:eastAsia="Arial" w:hAnsi="Arial"/>
                <w:sz w:val="18"/>
                <w:szCs w:val="18"/>
                <w:color w:val="auto"/>
              </w:rPr>
              <w:t>23</w:t>
            </w: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Westar Energy and KCP&amp;L.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154940</wp:posOffset>
            </wp:positionV>
            <wp:extent cx="72294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June 30, 2019</w:t>
            </w:r>
          </w:p>
        </w:tc>
        <w:tc>
          <w:tcPr>
            <w:tcW w:w="38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Evergy</w:t>
            </w:r>
          </w:p>
        </w:tc>
        <w:tc>
          <w:tcPr>
            <w:tcW w:w="340" w:type="dxa"/>
            <w:vAlign w:val="bottom"/>
          </w:tcPr>
          <w:p>
            <w:pPr>
              <w:spacing w:after="0"/>
              <w:rPr>
                <w:sz w:val="20"/>
                <w:szCs w:val="20"/>
                <w:color w:val="auto"/>
              </w:rPr>
            </w:pPr>
          </w:p>
        </w:tc>
        <w:tc>
          <w:tcPr>
            <w:tcW w:w="1700" w:type="dxa"/>
            <w:vAlign w:val="bottom"/>
          </w:tcPr>
          <w:p>
            <w:pPr>
              <w:jc w:val="right"/>
              <w:ind w:right="331"/>
              <w:spacing w:after="0"/>
              <w:rPr>
                <w:sz w:val="20"/>
                <w:szCs w:val="20"/>
                <w:color w:val="auto"/>
              </w:rPr>
            </w:pPr>
            <w:r>
              <w:rPr>
                <w:rFonts w:ascii="Arial" w:cs="Arial" w:eastAsia="Arial" w:hAnsi="Arial"/>
                <w:sz w:val="18"/>
                <w:szCs w:val="18"/>
                <w:b w:val="1"/>
                <w:bCs w:val="1"/>
                <w:color w:val="auto"/>
                <w:w w:val="99"/>
              </w:rPr>
              <w:t>Westar Energy</w:t>
            </w:r>
          </w:p>
        </w:tc>
        <w:tc>
          <w:tcPr>
            <w:tcW w:w="48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KCP&amp;L</w:t>
            </w:r>
          </w:p>
        </w:tc>
      </w:tr>
      <w:tr>
        <w:trPr>
          <w:trHeight w:val="27"/>
        </w:trPr>
        <w:tc>
          <w:tcPr>
            <w:tcW w:w="5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color w:val="auto"/>
              </w:rPr>
              <w:t>(millions)</w:t>
            </w: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Electric plant in service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27,357.0</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13,349.9</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10,634.9</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Electric plant acquisition adjustment</w:t>
            </w:r>
          </w:p>
        </w:tc>
        <w:tc>
          <w:tcPr>
            <w:tcW w:w="3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740.6</w:t>
            </w:r>
          </w:p>
        </w:tc>
        <w:tc>
          <w:tcPr>
            <w:tcW w:w="34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740.6</w:t>
            </w: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(9,984.6)</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(4,792.3)</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(4,149.3)</w:t>
            </w:r>
          </w:p>
        </w:tc>
      </w:tr>
      <w:tr>
        <w:trPr>
          <w:trHeight w:val="237"/>
        </w:trPr>
        <w:tc>
          <w:tcPr>
            <w:tcW w:w="5480" w:type="dxa"/>
            <w:vAlign w:val="bottom"/>
          </w:tcPr>
          <w:p>
            <w:pPr>
              <w:ind w:left="380"/>
              <w:spacing w:after="0"/>
              <w:rPr>
                <w:sz w:val="20"/>
                <w:szCs w:val="20"/>
                <w:color w:val="auto"/>
              </w:rPr>
            </w:pPr>
            <w:r>
              <w:rPr>
                <w:rFonts w:ascii="Arial" w:cs="Arial" w:eastAsia="Arial" w:hAnsi="Arial"/>
                <w:sz w:val="18"/>
                <w:szCs w:val="18"/>
                <w:color w:val="auto"/>
              </w:rPr>
              <w:t>Plant in service, net</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18,113.0</w:t>
            </w:r>
          </w:p>
        </w:tc>
        <w:tc>
          <w:tcPr>
            <w:tcW w:w="3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9,298.2</w:t>
            </w: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6,485.6</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work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665.0</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361.3</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205.8</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Nuclear fuel, net</w:t>
            </w:r>
          </w:p>
        </w:tc>
        <w:tc>
          <w:tcPr>
            <w:tcW w:w="3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144.3</w:t>
            </w:r>
          </w:p>
        </w:tc>
        <w:tc>
          <w:tcPr>
            <w:tcW w:w="34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71.7</w:t>
            </w: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4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48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18,923.3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9,732.2</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6,764.0</w:t>
            </w:r>
          </w:p>
        </w:tc>
      </w:tr>
      <w:tr>
        <w:trPr>
          <w:trHeight w:val="34"/>
        </w:trPr>
        <w:tc>
          <w:tcPr>
            <w:tcW w:w="5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205740</wp:posOffset>
            </wp:positionV>
            <wp:extent cx="72294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Evergy</w:t>
            </w:r>
          </w:p>
        </w:tc>
        <w:tc>
          <w:tcPr>
            <w:tcW w:w="340" w:type="dxa"/>
            <w:vAlign w:val="bottom"/>
          </w:tcPr>
          <w:p>
            <w:pPr>
              <w:spacing w:after="0"/>
              <w:rPr>
                <w:sz w:val="20"/>
                <w:szCs w:val="20"/>
                <w:color w:val="auto"/>
              </w:rPr>
            </w:pPr>
          </w:p>
        </w:tc>
        <w:tc>
          <w:tcPr>
            <w:tcW w:w="1700" w:type="dxa"/>
            <w:vAlign w:val="bottom"/>
          </w:tcPr>
          <w:p>
            <w:pPr>
              <w:jc w:val="right"/>
              <w:ind w:right="331"/>
              <w:spacing w:after="0"/>
              <w:rPr>
                <w:sz w:val="20"/>
                <w:szCs w:val="20"/>
                <w:color w:val="auto"/>
              </w:rPr>
            </w:pPr>
            <w:r>
              <w:rPr>
                <w:rFonts w:ascii="Arial" w:cs="Arial" w:eastAsia="Arial" w:hAnsi="Arial"/>
                <w:sz w:val="18"/>
                <w:szCs w:val="18"/>
                <w:b w:val="1"/>
                <w:bCs w:val="1"/>
                <w:color w:val="auto"/>
                <w:w w:val="99"/>
              </w:rPr>
              <w:t>Westar Energy</w:t>
            </w:r>
          </w:p>
        </w:tc>
        <w:tc>
          <w:tcPr>
            <w:tcW w:w="48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KCP&amp;L</w:t>
            </w:r>
          </w:p>
        </w:tc>
      </w:tr>
      <w:tr>
        <w:trPr>
          <w:trHeight w:val="27"/>
        </w:trPr>
        <w:tc>
          <w:tcPr>
            <w:tcW w:w="5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color w:val="auto"/>
              </w:rPr>
              <w:t>(millions)</w:t>
            </w: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Electric plant in service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26,916.7</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13,176.7</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10,439.1</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Electric plant acquisition adjustment</w:t>
            </w:r>
          </w:p>
        </w:tc>
        <w:tc>
          <w:tcPr>
            <w:tcW w:w="3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740.6</w:t>
            </w:r>
          </w:p>
        </w:tc>
        <w:tc>
          <w:tcPr>
            <w:tcW w:w="34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740.6</w:t>
            </w: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(9,694.1)</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(4,642.8)</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(4,022.4)</w:t>
            </w:r>
          </w:p>
        </w:tc>
      </w:tr>
      <w:tr>
        <w:trPr>
          <w:trHeight w:val="237"/>
        </w:trPr>
        <w:tc>
          <w:tcPr>
            <w:tcW w:w="5480" w:type="dxa"/>
            <w:vAlign w:val="bottom"/>
          </w:tcPr>
          <w:p>
            <w:pPr>
              <w:ind w:left="380"/>
              <w:spacing w:after="0"/>
              <w:rPr>
                <w:sz w:val="20"/>
                <w:szCs w:val="20"/>
                <w:color w:val="auto"/>
              </w:rPr>
            </w:pPr>
            <w:r>
              <w:rPr>
                <w:rFonts w:ascii="Arial" w:cs="Arial" w:eastAsia="Arial" w:hAnsi="Arial"/>
                <w:sz w:val="18"/>
                <w:szCs w:val="18"/>
                <w:color w:val="auto"/>
              </w:rPr>
              <w:t>Plant in service, net</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17,963.2</w:t>
            </w:r>
          </w:p>
        </w:tc>
        <w:tc>
          <w:tcPr>
            <w:tcW w:w="3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9,274.5</w:t>
            </w: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6,416.7</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work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685.2</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376.7</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Nuclear fuel, net</w:t>
            </w:r>
          </w:p>
        </w:tc>
        <w:tc>
          <w:tcPr>
            <w:tcW w:w="3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133.1</w:t>
            </w:r>
          </w:p>
        </w:tc>
        <w:tc>
          <w:tcPr>
            <w:tcW w:w="34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66.1</w:t>
            </w: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67.0</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4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48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18,782.5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9,718.3</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6,688.1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As of June 30, 2019</w:t>
      </w:r>
      <w:r>
        <w:rPr>
          <w:rFonts w:ascii="Arial" w:cs="Arial" w:eastAsia="Arial" w:hAnsi="Arial"/>
          <w:sz w:val="15"/>
          <w:szCs w:val="15"/>
          <w:color w:val="auto"/>
        </w:rPr>
        <w:t>, and</w:t>
      </w:r>
      <w:r>
        <w:rPr>
          <w:rFonts w:ascii="Arial" w:cs="Arial" w:eastAsia="Arial" w:hAnsi="Arial"/>
          <w:sz w:val="14"/>
          <w:szCs w:val="14"/>
          <w:color w:val="auto"/>
        </w:rPr>
        <w:t xml:space="preserve"> December 31, 2018, represents the planned retirement of Westar Energy analog meters prior to the end of their remaining useful lives.</w:t>
      </w:r>
    </w:p>
    <w:p>
      <w:pPr>
        <w:spacing w:after="0" w:line="200" w:lineRule="exact"/>
        <w:rPr>
          <w:rFonts w:ascii="Arial" w:cs="Arial" w:eastAsia="Arial" w:hAnsi="Arial"/>
          <w:sz w:val="18"/>
          <w:szCs w:val="18"/>
          <w:color w:val="auto"/>
          <w:vertAlign w:val="superscript"/>
        </w:rPr>
      </w:pPr>
    </w:p>
    <w:p>
      <w:pPr>
        <w:spacing w:after="0" w:line="268"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1"/>
              </w:rPr>
              <w:t>Year to Date</w:t>
            </w:r>
          </w:p>
        </w:tc>
      </w:tr>
      <w:tr>
        <w:trPr>
          <w:trHeight w:val="234"/>
        </w:trPr>
        <w:tc>
          <w:tcPr>
            <w:tcW w:w="5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86"/>
              </w:rPr>
              <w:t>June 30</w:t>
            </w:r>
          </w:p>
        </w:tc>
        <w:tc>
          <w:tcPr>
            <w:tcW w:w="920" w:type="dxa"/>
            <w:vAlign w:val="bottom"/>
          </w:tcPr>
          <w:p>
            <w:pPr>
              <w:spacing w:after="0"/>
              <w:rPr>
                <w:sz w:val="20"/>
                <w:szCs w:val="20"/>
                <w:color w:val="auto"/>
              </w:rPr>
            </w:pPr>
          </w:p>
        </w:tc>
      </w:tr>
      <w:tr>
        <w:trPr>
          <w:trHeight w:val="270"/>
        </w:trPr>
        <w:tc>
          <w:tcPr>
            <w:tcW w:w="58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3"/>
                <w:szCs w:val="23"/>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5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Non-service cost component of net benefit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(14.1)</w:t>
            </w:r>
          </w:p>
        </w:tc>
        <w:tc>
          <w:tcPr>
            <w:tcW w:w="9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5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5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(18.1)</w:t>
            </w:r>
          </w:p>
        </w:tc>
        <w:tc>
          <w:tcPr>
            <w:tcW w:w="9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5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Westar Energy</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Non-service cost component of net benefit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9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5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5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9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5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70"/>
        </w:trPr>
        <w:tc>
          <w:tcPr>
            <w:tcW w:w="5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KCP&amp;L</w:t>
            </w:r>
            <w:r>
              <w:rPr>
                <w:rFonts w:ascii="Arial" w:cs="Arial" w:eastAsia="Arial" w:hAnsi="Arial"/>
                <w:sz w:val="25"/>
                <w:szCs w:val="25"/>
                <w:b w:val="1"/>
                <w:bCs w:val="1"/>
                <w:color w:val="auto"/>
                <w:vertAlign w:val="superscript"/>
              </w:rPr>
              <w:t>(a)</w:t>
            </w: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Non-service cost component of net benefit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9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5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940" w:type="dxa"/>
            <w:vAlign w:val="bottom"/>
          </w:tcPr>
          <w:p>
            <w:pPr>
              <w:spacing w:after="0"/>
              <w:rPr>
                <w:sz w:val="21"/>
                <w:szCs w:val="21"/>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8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9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50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41"/>
        </w:trPr>
        <w:tc>
          <w:tcPr>
            <w:tcW w:w="582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KCP&amp;L amounts are included in consolidated Evergy from June 4, 2018, the date of the closing of the merger, and thereafter.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To compute basic earnings per share (EPS), Evergy divides net income attributable to Evergy, Inc. by the weighted average number of common shares outstanding. Diluted EPS includes the effect of issuable common shares resulting from restricted share units (RSUs), performance shares and restricted stock. Evergy computes the dilutive effects of potential issuances of common shares using the treasury stock method.</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3"/>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1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Year to Date</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0"/>
                <w:szCs w:val="20"/>
                <w:color w:val="auto"/>
              </w:rPr>
            </w:pP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3"/>
                <w:szCs w:val="23"/>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360" w:type="dxa"/>
            <w:vAlign w:val="bottom"/>
          </w:tcPr>
          <w:p>
            <w:pPr>
              <w:spacing w:after="0"/>
              <w:rPr>
                <w:sz w:val="23"/>
                <w:szCs w:val="23"/>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3"/>
                <w:szCs w:val="23"/>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6"/>
                <w:szCs w:val="16"/>
                <w:color w:val="auto"/>
                <w:w w:val="95"/>
              </w:rPr>
              <w:t>(millions, except per share amounts)</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w:t>
            </w:r>
          </w:p>
        </w:tc>
        <w:tc>
          <w:tcPr>
            <w:tcW w:w="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248.0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Evergy,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c>
          <w:tcPr>
            <w:tcW w:w="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Common Shares Outstanding</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180.9</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248.0</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Add: effect of dilutive securities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 - dilutive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w:t>
            </w: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248.2</w:t>
            </w:r>
          </w:p>
        </w:tc>
        <w:tc>
          <w:tcPr>
            <w:tcW w:w="3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Basic and Diluted EPS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0.57</w:t>
            </w:r>
          </w:p>
        </w:tc>
        <w:tc>
          <w:tcPr>
            <w:tcW w:w="4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0.56</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0.96</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34"/>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There were no anti-dilutive securities excluded from the computation of diluted EPS for the three months ended June 30, 2019 and 2018 and year to date June 30, 2019. Anti-dilutive shares excluded from the computation of diluted EPS for year to date June 30, 2018, were 172,431 performance shares.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In August 2019, Evergy's Board of Directors (Evergy Board) declared a quarterly dividend of $0.475 per share on Evergy's common stock. The common dividend is payable September 20, 2019, to shareholders of record as of August 30, 2019.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 August 2019, KCP&amp;L's Board of Directors declared a cash dividend payable to Evergy of $70.0 million, payable no later than September 19, 2019.</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w:t>
            </w:r>
          </w:p>
        </w:tc>
        <w:tc>
          <w:tcPr>
            <w:tcW w:w="230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66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2300" w:type="dxa"/>
            <w:vAlign w:val="bottom"/>
          </w:tcPr>
          <w:p>
            <w:pPr>
              <w:spacing w:after="0"/>
              <w:rPr>
                <w:sz w:val="20"/>
                <w:szCs w:val="20"/>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20"/>
                <w:szCs w:val="20"/>
                <w:color w:val="auto"/>
              </w:rPr>
            </w:pP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color w:val="auto"/>
              </w:rPr>
              <w:t>Cash paid for (received from):</w:t>
            </w:r>
          </w:p>
        </w:tc>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net of amounts capitalized</w:t>
            </w:r>
          </w:p>
        </w:tc>
        <w:tc>
          <w:tcPr>
            <w:tcW w:w="2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173.9</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r>
      <w:tr>
        <w:trPr>
          <w:trHeight w:val="243"/>
        </w:trPr>
        <w:tc>
          <w:tcPr>
            <w:tcW w:w="6680" w:type="dxa"/>
            <w:vAlign w:val="bottom"/>
          </w:tcPr>
          <w:p>
            <w:pPr>
              <w:ind w:left="280"/>
              <w:spacing w:after="0"/>
              <w:rPr>
                <w:sz w:val="20"/>
                <w:szCs w:val="20"/>
                <w:color w:val="auto"/>
              </w:rPr>
            </w:pPr>
            <w:r>
              <w:rPr>
                <w:rFonts w:ascii="Arial" w:cs="Arial" w:eastAsia="Arial" w:hAnsi="Arial"/>
                <w:sz w:val="18"/>
                <w:szCs w:val="18"/>
                <w:color w:val="auto"/>
              </w:rPr>
              <w:t>Interest of VIEs</w:t>
            </w:r>
          </w:p>
        </w:tc>
        <w:tc>
          <w:tcPr>
            <w:tcW w:w="2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net of refunds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(17.7)</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Non-cash investing transactions:</w:t>
            </w: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additions (reductions)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93.1</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Non-cash financing transactions:</w:t>
            </w: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2"/>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stock for compensation and reinvested dividends</w:t>
            </w:r>
          </w:p>
        </w:tc>
        <w:tc>
          <w:tcPr>
            <w:tcW w:w="2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Westar Energy</w:t>
            </w:r>
          </w:p>
        </w:tc>
        <w:tc>
          <w:tcPr>
            <w:tcW w:w="2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color w:val="auto"/>
              </w:rPr>
              <w:t>Cash paid for (received from):</w:t>
            </w:r>
          </w:p>
        </w:tc>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net of amounts capitalized</w:t>
            </w:r>
          </w:p>
        </w:tc>
        <w:tc>
          <w:tcPr>
            <w:tcW w:w="2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76.9</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r>
      <w:tr>
        <w:trPr>
          <w:trHeight w:val="243"/>
        </w:trPr>
        <w:tc>
          <w:tcPr>
            <w:tcW w:w="6680" w:type="dxa"/>
            <w:vAlign w:val="bottom"/>
          </w:tcPr>
          <w:p>
            <w:pPr>
              <w:ind w:left="280"/>
              <w:spacing w:after="0"/>
              <w:rPr>
                <w:sz w:val="20"/>
                <w:szCs w:val="20"/>
                <w:color w:val="auto"/>
              </w:rPr>
            </w:pPr>
            <w:r>
              <w:rPr>
                <w:rFonts w:ascii="Arial" w:cs="Arial" w:eastAsia="Arial" w:hAnsi="Arial"/>
                <w:sz w:val="18"/>
                <w:szCs w:val="18"/>
                <w:color w:val="auto"/>
              </w:rPr>
              <w:t>Interest of VIEs</w:t>
            </w:r>
          </w:p>
        </w:tc>
        <w:tc>
          <w:tcPr>
            <w:tcW w:w="2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net of refunds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Non-cash investing transactions:</w:t>
            </w: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2"/>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additions (reductions)</w:t>
            </w:r>
          </w:p>
        </w:tc>
        <w:tc>
          <w:tcPr>
            <w:tcW w:w="2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24.2</w:t>
            </w:r>
          </w:p>
        </w:tc>
        <w:tc>
          <w:tcPr>
            <w:tcW w:w="4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83"/>
        </w:trPr>
        <w:tc>
          <w:tcPr>
            <w:tcW w:w="6680" w:type="dxa"/>
            <w:vAlign w:val="bottom"/>
            <w:tcBorders>
              <w:top w:val="single" w:sz="8" w:color="auto"/>
            </w:tcBorders>
          </w:tcPr>
          <w:p>
            <w:pPr>
              <w:ind w:left="40"/>
              <w:spacing w:after="0" w:line="283" w:lineRule="exact"/>
              <w:rPr>
                <w:sz w:val="20"/>
                <w:szCs w:val="20"/>
                <w:color w:val="auto"/>
              </w:rPr>
            </w:pPr>
            <w:r>
              <w:rPr>
                <w:rFonts w:ascii="Arial" w:cs="Arial" w:eastAsia="Arial" w:hAnsi="Arial"/>
                <w:sz w:val="18"/>
                <w:szCs w:val="18"/>
                <w:b w:val="1"/>
                <w:bCs w:val="1"/>
                <w:color w:val="auto"/>
              </w:rPr>
              <w:t>KCP&amp;L</w:t>
            </w:r>
            <w:r>
              <w:rPr>
                <w:rFonts w:ascii="Arial" w:cs="Arial" w:eastAsia="Arial" w:hAnsi="Arial"/>
                <w:sz w:val="25"/>
                <w:szCs w:val="25"/>
                <w:b w:val="1"/>
                <w:bCs w:val="1"/>
                <w:color w:val="auto"/>
                <w:vertAlign w:val="superscript"/>
              </w:rPr>
              <w:t>(a)</w:t>
            </w:r>
          </w:p>
        </w:tc>
        <w:tc>
          <w:tcPr>
            <w:tcW w:w="2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30"/>
        </w:trPr>
        <w:tc>
          <w:tcPr>
            <w:tcW w:w="6680" w:type="dxa"/>
            <w:vAlign w:val="bottom"/>
          </w:tcPr>
          <w:p>
            <w:pPr>
              <w:ind w:left="40"/>
              <w:spacing w:after="0"/>
              <w:rPr>
                <w:sz w:val="20"/>
                <w:szCs w:val="20"/>
                <w:color w:val="auto"/>
              </w:rPr>
            </w:pPr>
            <w:r>
              <w:rPr>
                <w:rFonts w:ascii="Arial" w:cs="Arial" w:eastAsia="Arial" w:hAnsi="Arial"/>
                <w:sz w:val="18"/>
                <w:szCs w:val="18"/>
                <w:color w:val="auto"/>
              </w:rPr>
              <w:t>Cash paid for (received from):</w:t>
            </w:r>
          </w:p>
        </w:tc>
        <w:tc>
          <w:tcPr>
            <w:tcW w:w="2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net of amounts capitalized</w:t>
            </w:r>
          </w:p>
        </w:tc>
        <w:tc>
          <w:tcPr>
            <w:tcW w:w="2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64.6</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43"/>
        </w:trPr>
        <w:tc>
          <w:tcPr>
            <w:tcW w:w="6680" w:type="dxa"/>
            <w:vAlign w:val="bottom"/>
          </w:tcPr>
          <w:p>
            <w:pPr>
              <w:ind w:left="280"/>
              <w:spacing w:after="0"/>
              <w:rPr>
                <w:sz w:val="20"/>
                <w:szCs w:val="20"/>
                <w:color w:val="auto"/>
              </w:rPr>
            </w:pPr>
            <w:r>
              <w:rPr>
                <w:rFonts w:ascii="Arial" w:cs="Arial" w:eastAsia="Arial" w:hAnsi="Arial"/>
                <w:sz w:val="18"/>
                <w:szCs w:val="18"/>
                <w:color w:val="auto"/>
              </w:rPr>
              <w:t>Income taxes, net of refunds</w:t>
            </w:r>
          </w:p>
        </w:tc>
        <w:tc>
          <w:tcPr>
            <w:tcW w:w="2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17.5</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transactions: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280"/>
              <w:spacing w:after="0"/>
              <w:rPr>
                <w:sz w:val="20"/>
                <w:szCs w:val="20"/>
                <w:color w:val="auto"/>
              </w:rPr>
            </w:pPr>
            <w:r>
              <w:rPr>
                <w:rFonts w:ascii="Arial" w:cs="Arial" w:eastAsia="Arial" w:hAnsi="Arial"/>
                <w:sz w:val="18"/>
                <w:szCs w:val="18"/>
                <w:color w:val="auto"/>
              </w:rPr>
              <w:t>Property, plant and equipment additions</w:t>
            </w:r>
          </w:p>
        </w:tc>
        <w:tc>
          <w:tcPr>
            <w:tcW w:w="2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64.5</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KCP&amp;L amounts are included in consolidated Evergy from June 4, 2018, the date of the closing of the merger, and thereafter.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See Note 15 for supplemental cash flow information regarding the Evergy Companies' leases.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Intangibles - Internal-Use Software</w:t>
      </w:r>
    </w:p>
    <w:p>
      <w:pPr>
        <w:ind w:right="20"/>
        <w:spacing w:after="0" w:line="253" w:lineRule="auto"/>
        <w:rPr>
          <w:sz w:val="20"/>
          <w:szCs w:val="20"/>
          <w:color w:val="auto"/>
        </w:rPr>
      </w:pPr>
      <w:r>
        <w:rPr>
          <w:rFonts w:ascii="Arial" w:cs="Arial" w:eastAsia="Arial" w:hAnsi="Arial"/>
          <w:sz w:val="19"/>
          <w:szCs w:val="19"/>
          <w:color w:val="auto"/>
        </w:rPr>
        <w:t xml:space="preserve">In August 2018, the Financial Accounting Standards Board (FASB) issued Accounting Standards Update (ASU) No. 2018-15, </w:t>
      </w:r>
      <w:r>
        <w:rPr>
          <w:rFonts w:ascii="Arial" w:cs="Arial" w:eastAsia="Arial" w:hAnsi="Arial"/>
          <w:sz w:val="19"/>
          <w:szCs w:val="19"/>
          <w:i w:val="1"/>
          <w:iCs w:val="1"/>
          <w:color w:val="auto"/>
        </w:rPr>
        <w:t>Customer's</w:t>
      </w:r>
      <w:r>
        <w:rPr>
          <w:rFonts w:ascii="Arial" w:cs="Arial" w:eastAsia="Arial" w:hAnsi="Arial"/>
          <w:sz w:val="19"/>
          <w:szCs w:val="19"/>
          <w:color w:val="auto"/>
        </w:rPr>
        <w:t xml:space="preserve"> </w:t>
      </w:r>
      <w:r>
        <w:rPr>
          <w:rFonts w:ascii="Arial" w:cs="Arial" w:eastAsia="Arial" w:hAnsi="Arial"/>
          <w:sz w:val="19"/>
          <w:szCs w:val="19"/>
          <w:i w:val="1"/>
          <w:iCs w:val="1"/>
          <w:color w:val="auto"/>
        </w:rPr>
        <w:t>Accounting for Implementation Costs Incurred in a Cloud Computing Arrangement That Is a Service Contract</w:t>
      </w:r>
      <w:r>
        <w:rPr>
          <w:rFonts w:ascii="Arial" w:cs="Arial" w:eastAsia="Arial" w:hAnsi="Arial"/>
          <w:sz w:val="19"/>
          <w:szCs w:val="19"/>
          <w:color w:val="auto"/>
        </w:rPr>
        <w:t>, which aligns the requirements</w:t>
      </w:r>
      <w:r>
        <w:rPr>
          <w:rFonts w:ascii="Arial" w:cs="Arial" w:eastAsia="Arial" w:hAnsi="Arial"/>
          <w:sz w:val="19"/>
          <w:szCs w:val="19"/>
          <w:i w:val="1"/>
          <w:iCs w:val="1"/>
          <w:color w:val="auto"/>
        </w:rPr>
        <w:t xml:space="preserve"> </w:t>
      </w:r>
      <w:r>
        <w:rPr>
          <w:rFonts w:ascii="Arial" w:cs="Arial" w:eastAsia="Arial" w:hAnsi="Arial"/>
          <w:sz w:val="19"/>
          <w:szCs w:val="19"/>
          <w:color w:val="auto"/>
        </w:rPr>
        <w:t>for recording implementation costs incurred in a hosting arrangement that is a service contract with the requirements for capitalizing implementation costs incurred to develop or obtain internal-use software. An entity in a hosting arrangement that is a service contract will need to determine to which project stage (that is, preliminary project stage, application development stage or post-implementation stage) an implementation activity relates. Costs for implementation activities in the application development stage are recorded as a prepaid asset depending on the nature of the costs, while costs incurred during the preliminary project and post-implementation stages are expensed as the activities occur. Costs that are recorded to a prepaid asset are to be expensed over the term of the hosting arrangement. The new guidance is effective for annual periods beginning after December 15, 2019, and interim periods within those fiscal years. The new guidance can be applied either retrospectively or prospectively to all implementation costs incurred after the date of adoption. Early adoption is permitted. The Evergy Companies early adopted ASU No. 2018-15 prospectively as of January 1, 2019. The adoption of ASU No. 2018-15 did not have a material impact on the Evergy Companies.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requires an entity that is a lessee to record a right-of-use asset and a lease liability for lease payments on the balance sheet for all leases with terms longer than 12 months. Leases will be classified as either finance or operating, with classification affecting the pattern of expense recognition in the income statement. Lessor accounting remains largely unchanged. In January 2018, the FASB issued ASU No. 2018-01, </w:t>
      </w:r>
      <w:r>
        <w:rPr>
          <w:rFonts w:ascii="Arial" w:cs="Arial" w:eastAsia="Arial" w:hAnsi="Arial"/>
          <w:sz w:val="18"/>
          <w:szCs w:val="18"/>
          <w:i w:val="1"/>
          <w:iCs w:val="1"/>
          <w:color w:val="auto"/>
        </w:rPr>
        <w:t>Leases: Land Easement Practical Expedient for Transition to Topic 842</w:t>
      </w:r>
      <w:r>
        <w:rPr>
          <w:rFonts w:ascii="Arial" w:cs="Arial" w:eastAsia="Arial" w:hAnsi="Arial"/>
          <w:sz w:val="18"/>
          <w:szCs w:val="18"/>
          <w:color w:val="auto"/>
        </w:rPr>
        <w:t xml:space="preserve">, which permits entities to elect an optional transition practical expedient to not evaluate, under Topic 842, land easements that exist or expired before the entity's adoption of Topic 842 and that were not previously accounted for as leases under Topic 840. In July 2018, the FASB issued 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which updates narrow aspects of the guidance issued in ASU No. 2016-02. Also in July 2018, the FASB issued ASU No.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xml:space="preserve">, which provides an optional transition method that allows entities to initially apply Topic 842 at the adoption date and recognize a cumulative-effect adjustment to the opening balance of retained earnings in the period of adoption without restating prior periods. In December 2018, the FASB issued ASU No. 2018-20, </w:t>
      </w:r>
      <w:r>
        <w:rPr>
          <w:rFonts w:ascii="Arial" w:cs="Arial" w:eastAsia="Arial" w:hAnsi="Arial"/>
          <w:sz w:val="18"/>
          <w:szCs w:val="18"/>
          <w:i w:val="1"/>
          <w:iCs w:val="1"/>
          <w:color w:val="auto"/>
        </w:rPr>
        <w:t>Leases: Narrow-Scope Improvements for Lessors</w:t>
      </w:r>
      <w:r>
        <w:rPr>
          <w:rFonts w:ascii="Arial" w:cs="Arial" w:eastAsia="Arial" w:hAnsi="Arial"/>
          <w:sz w:val="18"/>
          <w:szCs w:val="18"/>
          <w:color w:val="auto"/>
        </w:rPr>
        <w:t>, which is expected to reduce a lessor's implementation and ongoing costs associated with applying ASU No.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2016-02. In March 2019, the FASB issued ASU No. 2019-01, </w:t>
      </w:r>
      <w:r>
        <w:rPr>
          <w:rFonts w:ascii="Arial" w:cs="Arial" w:eastAsia="Arial" w:hAnsi="Arial"/>
          <w:sz w:val="18"/>
          <w:szCs w:val="18"/>
          <w:i w:val="1"/>
          <w:iCs w:val="1"/>
          <w:color w:val="auto"/>
        </w:rPr>
        <w:t>Leases: Codification Improvements</w:t>
      </w:r>
      <w:r>
        <w:rPr>
          <w:rFonts w:ascii="Arial" w:cs="Arial" w:eastAsia="Arial" w:hAnsi="Arial"/>
          <w:sz w:val="18"/>
          <w:szCs w:val="18"/>
          <w:color w:val="auto"/>
        </w:rPr>
        <w:t>, which clarifies certain lessor accounting and interim reporting requirements. ASU No. 2016-02 and the subsequent amendments are effective for interim and annual periods beginning after December 15, 2018, with early adoption permitted, and requires a modified retrospective transition approach with an option to either adjust or not adjust comparative periods.</w:t>
      </w:r>
    </w:p>
    <w:p>
      <w:pPr>
        <w:spacing w:after="0" w:line="177"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The Evergy Companies adopted the new guidance on January 1, 2019, without adjusting comparative periods for all leases existing as of January 1, 2019, by electing the optional transition method permitted by ASU No. 2018-11. As a result, Evergy, Westar Energy and KCP&amp;L recorded an increase to assets and liabilities of approximately $110 million, $40 million and $80 million, respectively, as of January 1, 2019. Westar Energy and KCP&amp;L have certain lease transactions between them for which the related assets and liabilities are eliminated at consolidated Evergy. The adoption of Topic 842 did not have a material impact on the Evergy Companies' consolidated statements of income and comprehensive income and there was no cumulative-effect adjustment recorded to the opening balance of retained earnings. The Evergy Companies also elected a practical expedient to forgo reassessing existing or expired contracts as leases to determine whether each is in scope of Topic 842 and to forgo reassessing lease classification for existing and expired leases.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See Note 15 for additional disclosures about the Evergy Companies' leases.</w:t>
      </w:r>
    </w:p>
    <w:p>
      <w:pPr>
        <w:spacing w:after="0" w:line="210" w:lineRule="exact"/>
        <w:rPr>
          <w:sz w:val="20"/>
          <w:szCs w:val="20"/>
          <w:color w:val="auto"/>
        </w:rPr>
      </w:pPr>
    </w:p>
    <w:p>
      <w:pPr>
        <w:ind w:right="5300"/>
        <w:spacing w:after="0" w:line="307" w:lineRule="auto"/>
        <w:rPr>
          <w:sz w:val="20"/>
          <w:szCs w:val="20"/>
          <w:color w:val="auto"/>
        </w:rPr>
      </w:pPr>
      <w:r>
        <w:rPr>
          <w:rFonts w:ascii="Arial" w:cs="Arial" w:eastAsia="Arial" w:hAnsi="Arial"/>
          <w:sz w:val="20"/>
          <w:szCs w:val="20"/>
          <w:b w:val="1"/>
          <w:bCs w:val="1"/>
          <w:color w:val="auto"/>
        </w:rPr>
        <w:t>2. MERGER OF GREAT PLAINS ENERGY AND WESTAR ENERGY Description of Merger Transaction</w:t>
      </w:r>
    </w:p>
    <w:p>
      <w:pPr>
        <w:spacing w:after="0" w:line="1"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On June 4, 2018, Evergy completed the mergers contemplated by the Amended Merger Agreement. As a result of the mergers, Great Plains Energy merged into Evergy, with Evergy surviving the merger and King Energy merged into Westar Energy, with Westar Energy surviving the merger. Following the completion of these mergers, Westar Energy and the direct subsidiaries of Great Plains Energy, including KCP&amp;L and GMO, became wholly-owned subsidiaries of Evergy.</w:t>
      </w:r>
    </w:p>
    <w:p>
      <w:pPr>
        <w:spacing w:after="0" w:line="19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merger was structured as a merger of equals in a tax-free exchange of shares that involved no premium paid or received with respect to either Great Plains Energy or Westar Energy. As a result of the closing of the merger transaction, each outstanding share of Great Plains Energy common stock was converted into 0.5981 shares of Evergy common stock and each outstanding share of Westar Energy common stock was converted into 1 share of Evergy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 Price Allocation</w:t>
      </w:r>
    </w:p>
    <w:p>
      <w:pPr>
        <w:spacing w:after="0" w:line="2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 xml:space="preserve">Based on an evaluation of the provisions of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Westar Energy was determined to be the accounting acquirer in the merger. Pursuant to the Amended Merger Agreement, Great Plains Energy's common stock shares were exchanged for Evergy common stock shares at the fixed exchange rate of 0.5981. The total consideration transferred of $6,975.7 million, including $12.5 million for the fair value of equity compensation awards, was based on the closing price of Westar Energy on June 4, 2018.</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fair value of Great Plains Energy's assets acquired and liabilities assumed as of June 4, 2018, was determined based on significant estimates and assumptions that are judgmental in nature. Third-party valuation specialists were engaged to assist in the valuation of these assets and liabilities.</w:t>
      </w:r>
    </w:p>
    <w:p>
      <w:pPr>
        <w:spacing w:after="0" w:line="186"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The significant assets and liabilities recorded at fair values as of the merger date include long-term debt, asset retirement obligations, pension and post-retirement plans, accumulated deferred income tax liabilities and certain other long-term assets and liabilities.</w:t>
      </w:r>
    </w:p>
    <w:p>
      <w:pPr>
        <w:spacing w:after="0" w:line="153" w:lineRule="exact"/>
        <w:rPr>
          <w:sz w:val="20"/>
          <w:szCs w:val="20"/>
          <w:color w:val="auto"/>
        </w:rPr>
      </w:pPr>
    </w:p>
    <w:p>
      <w:pPr>
        <w:ind w:right="160"/>
        <w:spacing w:after="0" w:line="255" w:lineRule="auto"/>
        <w:rPr>
          <w:sz w:val="20"/>
          <w:szCs w:val="20"/>
          <w:color w:val="auto"/>
        </w:rPr>
      </w:pPr>
      <w:r>
        <w:rPr>
          <w:rFonts w:ascii="Arial" w:cs="Arial" w:eastAsia="Arial" w:hAnsi="Arial"/>
          <w:sz w:val="19"/>
          <w:szCs w:val="19"/>
          <w:color w:val="auto"/>
        </w:rPr>
        <w:t>The majority of Great Plains Energy's operations were subject to the rate-setting authority of the Public Service Commission of the State of Missouri (MPSC), the State Corporation Commission of the State of Kansas (KCC) and the Federal Energy Regulatory Commission (FERC) and were accounted for pursuant to GAAP, including the accounting guidance for regulated operations. The rate-setting and cost recovery provisions for Great Plains Energy's regulated operations provided revenue derived from costs including a return on investment of assets and liabilities included in rate base. Except for the significant assets and liabilities for which valuation adjustments were made as discussed above, the fair values of Great Plains Energy's tangible and intangible assets and liabilities subject to these rate-setting provisions approximated their carrying values and the assets and liabilities did not reflect any adjustments to these amounts other than for amounts not included in rate base. The difference between the fair value and pre-merger carrying amounts for Great Plains Energy's long-term debt, asset retirement obligations and pension and post-retirement plans that were related to regulated operations were recorded as a regulatory asset or liability. The excess of the purchase price over the estimated fair values of the assets acquired and liabilities assumed were recognized as goodwill as of the merger date.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The final purchase price allocation to Great Plains Energy's assets and liabilities as of June 4, 2018, is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jc w:val="right"/>
              <w:ind w:right="731"/>
              <w:spacing w:after="0"/>
              <w:rPr>
                <w:sz w:val="20"/>
                <w:szCs w:val="20"/>
                <w:color w:val="auto"/>
              </w:rPr>
            </w:pPr>
            <w:r>
              <w:rPr>
                <w:rFonts w:ascii="Arial" w:cs="Arial" w:eastAsia="Arial" w:hAnsi="Arial"/>
                <w:sz w:val="16"/>
                <w:szCs w:val="16"/>
                <w:color w:val="auto"/>
              </w:rPr>
              <w:t>(millions)</w:t>
            </w:r>
          </w:p>
        </w:tc>
      </w:tr>
      <w:tr>
        <w:trPr>
          <w:trHeight w:val="33"/>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9,179.7</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long-term assets, excluding goodwill</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1,235.9</w:t>
            </w:r>
          </w:p>
        </w:tc>
      </w:tr>
      <w:tr>
        <w:trPr>
          <w:trHeight w:val="27"/>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14,903.9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1,673.9</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 excluding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2,895.7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3,358.6</w:t>
            </w:r>
          </w:p>
        </w:tc>
      </w:tr>
      <w:tr>
        <w:trPr>
          <w:trHeight w:val="27"/>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7,928.2</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6,975.7</w:t>
            </w:r>
          </w:p>
        </w:tc>
      </w:tr>
      <w:tr>
        <w:trPr>
          <w:trHeight w:val="34"/>
        </w:trPr>
        <w:tc>
          <w:tcPr>
            <w:tcW w:w="9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purchase price allocation in the table above reflects refinements made to the preliminary fair values of long-term liabilities, excluding long-term debt included in the Evergy Companies' combined 2018 Form 10-K. These refinements include adjustments associated with deferred income taxes that resulted in a decrease to goodwill of $2.3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REVENUE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Evergy's, Westar Energy's and KCP&amp;L's revenues disaggregated by customer class are summarized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3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Evergy</w:t>
            </w:r>
          </w:p>
        </w:tc>
        <w:tc>
          <w:tcPr>
            <w:tcW w:w="26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b w:val="1"/>
                <w:bCs w:val="1"/>
                <w:color w:val="auto"/>
                <w:w w:val="93"/>
              </w:rPr>
              <w:t>Westar Energy</w:t>
            </w:r>
          </w:p>
        </w:tc>
        <w:tc>
          <w:tcPr>
            <w:tcW w:w="3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KCP&amp;L</w:t>
            </w:r>
          </w:p>
        </w:tc>
      </w:tr>
      <w:tr>
        <w:trPr>
          <w:trHeight w:val="27"/>
        </w:trPr>
        <w:tc>
          <w:tcPr>
            <w:tcW w:w="6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11"/>
              <w:spacing w:after="0"/>
              <w:rPr>
                <w:sz w:val="20"/>
                <w:szCs w:val="20"/>
                <w:color w:val="auto"/>
              </w:rPr>
            </w:pPr>
            <w:r>
              <w:rPr>
                <w:rFonts w:ascii="Arial" w:cs="Arial" w:eastAsia="Arial" w:hAnsi="Arial"/>
                <w:sz w:val="16"/>
                <w:szCs w:val="16"/>
                <w:color w:val="auto"/>
              </w:rPr>
              <w:t>(millions)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438.6</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172.8</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195.6</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156.6</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retail</w:t>
            </w: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electric retail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455.9</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72.3</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53.5</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76.4</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Industrial steam and other</w:t>
            </w: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from contracts with customers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579.2</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7"/>
        </w:trPr>
        <w:tc>
          <w:tcPr>
            <w:tcW w:w="6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437.0</w:t>
            </w:r>
          </w:p>
        </w:tc>
      </w:tr>
      <w:tr>
        <w:trPr>
          <w:trHeight w:val="27"/>
        </w:trPr>
        <w:tc>
          <w:tcPr>
            <w:tcW w:w="6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 2019</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Evergy</w:t>
            </w:r>
          </w:p>
        </w:tc>
        <w:tc>
          <w:tcPr>
            <w:tcW w:w="26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b w:val="1"/>
                <w:bCs w:val="1"/>
                <w:color w:val="auto"/>
                <w:w w:val="93"/>
              </w:rPr>
              <w:t>Westar Energy</w:t>
            </w:r>
          </w:p>
        </w:tc>
        <w:tc>
          <w:tcPr>
            <w:tcW w:w="3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KCP&amp;L</w:t>
            </w:r>
          </w:p>
        </w:tc>
      </w:tr>
      <w:tr>
        <w:trPr>
          <w:trHeight w:val="27"/>
        </w:trPr>
        <w:tc>
          <w:tcPr>
            <w:tcW w:w="4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411"/>
              <w:spacing w:after="0"/>
              <w:rPr>
                <w:sz w:val="20"/>
                <w:szCs w:val="20"/>
                <w:color w:val="auto"/>
              </w:rPr>
            </w:pPr>
            <w:r>
              <w:rPr>
                <w:rFonts w:ascii="Arial" w:cs="Arial" w:eastAsia="Arial" w:hAnsi="Arial"/>
                <w:sz w:val="16"/>
                <w:szCs w:val="16"/>
                <w:color w:val="auto"/>
              </w:rPr>
              <w:t>(millions)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326.3</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852.1</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337.1</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379.4</w:t>
            </w: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303.6</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197.2</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Other retail</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electric retail</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776.9</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155.4</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114.8</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4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153.1</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137.8</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Industrial steam and other</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from contracts with customers</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4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2,438.6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862.4</w:t>
            </w:r>
          </w:p>
        </w:tc>
      </w:tr>
      <w:tr>
        <w:trPr>
          <w:trHeight w:val="459"/>
        </w:trPr>
        <w:tc>
          <w:tcPr>
            <w:tcW w:w="44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 2018</w:t>
            </w: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Evergy</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1"/>
              </w:rPr>
              <w:t>Westar Energy</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xml:space="preserve">KCP&amp;L </w:t>
            </w:r>
            <w:r>
              <w:rPr>
                <w:rFonts w:ascii="Arial" w:cs="Arial" w:eastAsia="Arial" w:hAnsi="Arial"/>
                <w:sz w:val="25"/>
                <w:szCs w:val="25"/>
                <w:b w:val="1"/>
                <w:bCs w:val="1"/>
                <w:color w:val="auto"/>
                <w:vertAlign w:val="superscript"/>
              </w:rPr>
              <w:t>(a)</w:t>
            </w:r>
          </w:p>
        </w:tc>
      </w:tr>
      <w:tr>
        <w:trPr>
          <w:trHeight w:val="237"/>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1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w:t>
            </w:r>
          </w:p>
        </w:tc>
      </w:tr>
      <w:tr>
        <w:trPr>
          <w:trHeight w:val="243"/>
        </w:trPr>
        <w:tc>
          <w:tcPr>
            <w:tcW w:w="20" w:type="dxa"/>
            <w:vAlign w:val="bottom"/>
          </w:tcPr>
          <w:p>
            <w:pPr>
              <w:spacing w:after="0"/>
              <w:rPr>
                <w:sz w:val="21"/>
                <w:szCs w:val="21"/>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259.1</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170.0</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196.3</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108.6</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43"/>
        </w:trPr>
        <w:tc>
          <w:tcPr>
            <w:tcW w:w="20" w:type="dxa"/>
            <w:vAlign w:val="bottom"/>
          </w:tcPr>
          <w:p>
            <w:pPr>
              <w:spacing w:after="0"/>
              <w:rPr>
                <w:sz w:val="21"/>
                <w:szCs w:val="21"/>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Other retail</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w:t>
            </w:r>
          </w:p>
        </w:tc>
      </w:tr>
      <w:tr>
        <w:trPr>
          <w:trHeight w:val="243"/>
        </w:trPr>
        <w:tc>
          <w:tcPr>
            <w:tcW w:w="20" w:type="dxa"/>
            <w:vAlign w:val="bottom"/>
          </w:tcPr>
          <w:p>
            <w:pPr>
              <w:spacing w:after="0"/>
              <w:rPr>
                <w:sz w:val="21"/>
                <w:szCs w:val="21"/>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89.7</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87.1</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75.1</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20" w:type="dxa"/>
            <w:vAlign w:val="bottom"/>
          </w:tcPr>
          <w:p>
            <w:pPr>
              <w:spacing w:after="0"/>
              <w:rPr>
                <w:sz w:val="21"/>
                <w:szCs w:val="21"/>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Industrial steam and other</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883.1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2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452.2</w:t>
            </w:r>
          </w:p>
        </w:tc>
      </w:tr>
      <w:tr>
        <w:trPr>
          <w:trHeight w:val="304"/>
        </w:trPr>
        <w:tc>
          <w:tcPr>
            <w:tcW w:w="20" w:type="dxa"/>
            <w:vAlign w:val="bottom"/>
          </w:tcPr>
          <w:p>
            <w:pPr>
              <w:spacing w:after="0"/>
              <w:rPr>
                <w:sz w:val="24"/>
                <w:szCs w:val="24"/>
                <w:color w:val="auto"/>
              </w:rPr>
            </w:pPr>
          </w:p>
        </w:tc>
        <w:tc>
          <w:tcPr>
            <w:tcW w:w="442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 2018</w:t>
            </w:r>
          </w:p>
        </w:tc>
        <w:tc>
          <w:tcPr>
            <w:tcW w:w="19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Evergy</w:t>
            </w: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1"/>
              </w:rPr>
              <w:t>Westar Energy</w:t>
            </w: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90"/>
              <w:spacing w:after="0" w:line="270" w:lineRule="exact"/>
              <w:rPr>
                <w:sz w:val="20"/>
                <w:szCs w:val="20"/>
                <w:color w:val="auto"/>
              </w:rPr>
            </w:pPr>
            <w:r>
              <w:rPr>
                <w:rFonts w:ascii="Arial" w:cs="Arial" w:eastAsia="Arial" w:hAnsi="Arial"/>
                <w:sz w:val="18"/>
                <w:szCs w:val="18"/>
                <w:b w:val="1"/>
                <w:bCs w:val="1"/>
                <w:color w:val="auto"/>
              </w:rPr>
              <w:t xml:space="preserve">KCP&amp;L </w:t>
            </w:r>
            <w:r>
              <w:rPr>
                <w:rFonts w:ascii="Arial" w:cs="Arial" w:eastAsia="Arial" w:hAnsi="Arial"/>
                <w:sz w:val="25"/>
                <w:szCs w:val="25"/>
                <w:b w:val="1"/>
                <w:bCs w:val="1"/>
                <w:color w:val="auto"/>
                <w:vertAlign w:val="superscript"/>
              </w:rPr>
              <w:t>(a)</w:t>
            </w:r>
          </w:p>
        </w:tc>
      </w:tr>
      <w:tr>
        <w:trPr>
          <w:trHeight w:val="237"/>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1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43"/>
        </w:trPr>
        <w:tc>
          <w:tcPr>
            <w:tcW w:w="20" w:type="dxa"/>
            <w:vAlign w:val="bottom"/>
          </w:tcPr>
          <w:p>
            <w:pPr>
              <w:spacing w:after="0"/>
              <w:rPr>
                <w:sz w:val="21"/>
                <w:szCs w:val="21"/>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414.5</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325.4</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378.1</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185.3</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43"/>
        </w:trPr>
        <w:tc>
          <w:tcPr>
            <w:tcW w:w="20" w:type="dxa"/>
            <w:vAlign w:val="bottom"/>
          </w:tcPr>
          <w:p>
            <w:pPr>
              <w:spacing w:after="0"/>
              <w:rPr>
                <w:sz w:val="21"/>
                <w:szCs w:val="21"/>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Other retail</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r>
      <w:tr>
        <w:trPr>
          <w:trHeight w:val="243"/>
        </w:trPr>
        <w:tc>
          <w:tcPr>
            <w:tcW w:w="20" w:type="dxa"/>
            <w:vAlign w:val="bottom"/>
          </w:tcPr>
          <w:p>
            <w:pPr>
              <w:spacing w:after="0"/>
              <w:rPr>
                <w:sz w:val="21"/>
                <w:szCs w:val="21"/>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183.9</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181.3</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20" w:type="dxa"/>
            <w:vAlign w:val="bottom"/>
          </w:tcPr>
          <w:p>
            <w:pPr>
              <w:spacing w:after="0"/>
              <w:rPr>
                <w:sz w:val="21"/>
                <w:szCs w:val="21"/>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Industrial steam and other</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809.4</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2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1,251.1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r>
      <w:tr>
        <w:trPr>
          <w:trHeight w:val="281"/>
        </w:trPr>
        <w:tc>
          <w:tcPr>
            <w:tcW w:w="20" w:type="dxa"/>
            <w:vAlign w:val="bottom"/>
          </w:tcPr>
          <w:p>
            <w:pPr>
              <w:spacing w:after="0"/>
              <w:rPr>
                <w:sz w:val="24"/>
                <w:szCs w:val="24"/>
                <w:color w:val="auto"/>
              </w:rPr>
            </w:pPr>
          </w:p>
        </w:tc>
        <w:tc>
          <w:tcPr>
            <w:tcW w:w="8280" w:type="dxa"/>
            <w:vAlign w:val="bottom"/>
            <w:tcBorders>
              <w:top w:val="single" w:sz="8" w:color="auto"/>
            </w:tcBorders>
            <w:gridSpan w:val="5"/>
          </w:tcPr>
          <w:p>
            <w:pPr>
              <w:spacing w:after="0"/>
              <w:rPr>
                <w:sz w:val="20"/>
                <w:szCs w:val="20"/>
                <w:color w:val="auto"/>
              </w:rPr>
            </w:pPr>
            <w:r>
              <w:rPr>
                <w:rFonts w:ascii="Arial" w:cs="Arial" w:eastAsia="Arial" w:hAnsi="Arial"/>
                <w:sz w:val="21"/>
                <w:szCs w:val="21"/>
                <w:color w:val="auto"/>
                <w:w w:val="91"/>
                <w:vertAlign w:val="superscript"/>
              </w:rPr>
              <w:t>(a)</w:t>
            </w:r>
            <w:r>
              <w:rPr>
                <w:rFonts w:ascii="Arial" w:cs="Arial" w:eastAsia="Arial" w:hAnsi="Arial"/>
                <w:sz w:val="16"/>
                <w:szCs w:val="16"/>
                <w:color w:val="auto"/>
                <w:w w:val="91"/>
              </w:rPr>
              <w:t>KCP&amp;L amounts are included in consolidated Evergy from June 4, 2018, the date of the closing of the merger, and thereafter.</w:t>
            </w:r>
          </w:p>
        </w:tc>
        <w:tc>
          <w:tcPr>
            <w:tcW w:w="14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584"/>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RECEIVABLES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December 31</w:t>
            </w:r>
          </w:p>
        </w:tc>
      </w:tr>
      <w:tr>
        <w:trPr>
          <w:trHeight w:val="270"/>
        </w:trPr>
        <w:tc>
          <w:tcPr>
            <w:tcW w:w="8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8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4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accounts receivable - billed</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16.7</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Customer accounts receivable - unbilled</w:t>
            </w:r>
          </w:p>
        </w:tc>
        <w:tc>
          <w:tcPr>
            <w:tcW w:w="46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177.9</w:t>
            </w:r>
          </w:p>
        </w:tc>
        <w:tc>
          <w:tcPr>
            <w:tcW w:w="34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91.2</w:t>
            </w:r>
          </w:p>
        </w:tc>
      </w:tr>
      <w:tr>
        <w:trPr>
          <w:trHeight w:val="27"/>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92.7</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95.0</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46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(9.2)</w:t>
            </w:r>
          </w:p>
        </w:tc>
      </w:tr>
      <w:tr>
        <w:trPr>
          <w:trHeight w:val="27"/>
        </w:trPr>
        <w:tc>
          <w:tcPr>
            <w:tcW w:w="80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278.4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193.7</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Westar Energy</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accounts receivable - billed</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Customer accounts receivable - unbilled</w:t>
            </w:r>
          </w:p>
        </w:tc>
        <w:tc>
          <w:tcPr>
            <w:tcW w:w="46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71.8</w:t>
            </w:r>
          </w:p>
        </w:tc>
        <w:tc>
          <w:tcPr>
            <w:tcW w:w="34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16.6</w:t>
            </w:r>
          </w:p>
        </w:tc>
      </w:tr>
      <w:tr>
        <w:trPr>
          <w:trHeight w:val="27"/>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74.3</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71.6</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46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(3.9)</w:t>
            </w:r>
          </w:p>
        </w:tc>
      </w:tr>
      <w:tr>
        <w:trPr>
          <w:trHeight w:val="27"/>
        </w:trPr>
        <w:tc>
          <w:tcPr>
            <w:tcW w:w="80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142.3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84.3</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KCP&amp;L</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accounts receivable - billed</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Customer accounts receivable - unbilled</w:t>
            </w:r>
          </w:p>
        </w:tc>
        <w:tc>
          <w:tcPr>
            <w:tcW w:w="46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69.1</w:t>
            </w:r>
          </w:p>
        </w:tc>
        <w:tc>
          <w:tcPr>
            <w:tcW w:w="34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42.9</w:t>
            </w:r>
          </w:p>
        </w:tc>
      </w:tr>
      <w:tr>
        <w:trPr>
          <w:trHeight w:val="27"/>
        </w:trPr>
        <w:tc>
          <w:tcPr>
            <w:tcW w:w="8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46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(3.8)</w:t>
            </w:r>
          </w:p>
        </w:tc>
      </w:tr>
      <w:tr>
        <w:trPr>
          <w:trHeight w:val="27"/>
        </w:trPr>
        <w:tc>
          <w:tcPr>
            <w:tcW w:w="80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86.7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62.7</w:t>
            </w:r>
          </w:p>
        </w:tc>
      </w:tr>
      <w:tr>
        <w:trPr>
          <w:trHeight w:val="27"/>
        </w:trPr>
        <w:tc>
          <w:tcPr>
            <w:tcW w:w="80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Evergy's, Westar Energy's and KCP&amp;L's other receivables at June 30, 2019 and December 31, 2018, consisted primarily of receivables from partners in jointly-owned electric utility plants and wholesale sales receivables. As of June 30, 2019, other receivables for Evergy, Westar Energy and KCP&amp;L included receivables from contracts with customers of $46.7 million, $42.7 million and $0.6 million, respectively. As of December 31, 2018, other receivables for Evergy, Westar Energy and KCP&amp;L included receivables from contracts with customers of $65.8 million, $55.9 million and $5.5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recorded bad debt expense related to contracts with customers as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4700" w:type="dxa"/>
            <w:vAlign w:val="bottom"/>
            <w:gridSpan w:val="3"/>
          </w:tcPr>
          <w:p>
            <w:pPr>
              <w:jc w:val="center"/>
              <w:ind w:left="2470"/>
              <w:spacing w:after="0"/>
              <w:rPr>
                <w:sz w:val="20"/>
                <w:szCs w:val="20"/>
                <w:color w:val="auto"/>
              </w:rPr>
            </w:pPr>
            <w:r>
              <w:rPr>
                <w:rFonts w:ascii="Arial" w:cs="Arial" w:eastAsia="Arial" w:hAnsi="Arial"/>
                <w:sz w:val="18"/>
                <w:szCs w:val="18"/>
                <w:b w:val="1"/>
                <w:bCs w:val="1"/>
                <w:color w:val="auto"/>
                <w:w w:val="90"/>
              </w:rPr>
              <w:t>Three Months Ended</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1"/>
              </w:rPr>
              <w:t>Year to Date</w:t>
            </w:r>
          </w:p>
        </w:tc>
        <w:tc>
          <w:tcPr>
            <w:tcW w:w="90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6"/>
              </w:rPr>
              <w:t>June 30</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9"/>
              </w:rPr>
              <w:t>June 30</w:t>
            </w:r>
          </w:p>
        </w:tc>
        <w:tc>
          <w:tcPr>
            <w:tcW w:w="900" w:type="dxa"/>
            <w:vAlign w:val="bottom"/>
          </w:tcPr>
          <w:p>
            <w:pPr>
              <w:spacing w:after="0"/>
              <w:rPr>
                <w:sz w:val="20"/>
                <w:szCs w:val="20"/>
                <w:color w:val="auto"/>
              </w:rPr>
            </w:pPr>
          </w:p>
        </w:tc>
      </w:tr>
      <w:tr>
        <w:trPr>
          <w:trHeight w:val="270"/>
        </w:trPr>
        <w:tc>
          <w:tcPr>
            <w:tcW w:w="3260" w:type="dxa"/>
            <w:vAlign w:val="bottom"/>
          </w:tcPr>
          <w:p>
            <w:pPr>
              <w:spacing w:after="0"/>
              <w:rPr>
                <w:sz w:val="23"/>
                <w:szCs w:val="23"/>
                <w:color w:val="auto"/>
              </w:rPr>
            </w:pPr>
          </w:p>
        </w:tc>
        <w:tc>
          <w:tcPr>
            <w:tcW w:w="3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3"/>
                <w:szCs w:val="23"/>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32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2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w:t>
            </w:r>
          </w:p>
        </w:tc>
        <w:tc>
          <w:tcPr>
            <w:tcW w:w="310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112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Westar Energy</w:t>
            </w:r>
          </w:p>
        </w:tc>
        <w:tc>
          <w:tcPr>
            <w:tcW w:w="3100" w:type="dxa"/>
            <w:vAlign w:val="bottom"/>
          </w:tcPr>
          <w:p>
            <w:pPr>
              <w:spacing w:after="0"/>
              <w:rPr>
                <w:sz w:val="21"/>
                <w:szCs w:val="21"/>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1120" w:type="dxa"/>
            <w:vAlign w:val="bottom"/>
          </w:tcPr>
          <w:p>
            <w:pPr>
              <w:spacing w:after="0"/>
              <w:rPr>
                <w:sz w:val="21"/>
                <w:szCs w:val="21"/>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32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326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 xml:space="preserve">KCP&amp;L </w:t>
            </w:r>
            <w:r>
              <w:rPr>
                <w:rFonts w:ascii="Arial" w:cs="Arial" w:eastAsia="Arial" w:hAnsi="Arial"/>
                <w:sz w:val="25"/>
                <w:szCs w:val="25"/>
                <w:color w:val="auto"/>
                <w:vertAlign w:val="superscript"/>
              </w:rPr>
              <w:t>(a)</w:t>
            </w:r>
          </w:p>
        </w:tc>
        <w:tc>
          <w:tcPr>
            <w:tcW w:w="3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KCP&amp;L amounts are included in consolidated Evergy from June 4, 2018, the date of the closing of the merger, and thereafter.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Westar Energy, KCP&amp;L and GMO sell an undivided percentage ownership interest in their retail electric accounts receivable to independent outside investors. These sales of the undivided percentage ownership interests in accounts receivable to independent outside investors are accounted for as secured borrowings with accounts receivable pledged as collateral and a corresponding short-term collateralized note payable recognized on the balance sheets. At June 30, 2019 and December 31, 2018, Evergy's accounts receivable pledged as collateral and the corresponding short-term collateralized note payable were $312.0 million and $365.0 million, respectively. At June 30, 2019 and December 31, 2018, Westar Energy's accounts receivable pledged as collateral and the corresponding short-term collateralized note payable were $152.0 million and $185.0 million, respectively. At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June 30, 2019 and December 31, 2018, KCP&amp;L's accounts receivable pledged as collateral and the corresponding short-term collateralized note payable were $110.0 million and $130.0 million, respectively.</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Westar Energy's receivable sale facility expires in September 2019 and allows, in each year, for $185.0 million in aggregate outstanding principal amount of borrowings from mid-December through mid-January, $125.0 million from mid-January through mid-February, $185.0 million from mid-February to mid-July and then $200.0 million from mid-July through the expiration date of the facility. KCP&amp;L's receivable sale facility expires in September 2019 and allows, in each year, for $130.0 million in aggregate outstanding principal amount of borrowings at any time. GMO's receivable sale facility expires in September 2019 and allows, in each year, for $50.0 million in aggregate outstanding principal amount of borrowings from mid-November through mid-June and then $65.0 million from mid-June through the expiration date of the facility. Westar Energy, KCP&amp;L and GMO expect to renew these agreements for at least one year.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Westar Energy 2019 Transmission Delivery Charge</w:t>
      </w:r>
    </w:p>
    <w:p>
      <w:pPr>
        <w:ind w:right="120"/>
        <w:spacing w:after="0" w:line="241" w:lineRule="auto"/>
        <w:rPr>
          <w:sz w:val="20"/>
          <w:szCs w:val="20"/>
          <w:color w:val="auto"/>
        </w:rPr>
      </w:pPr>
      <w:r>
        <w:rPr>
          <w:rFonts w:ascii="Arial" w:cs="Arial" w:eastAsia="Arial" w:hAnsi="Arial"/>
          <w:sz w:val="20"/>
          <w:szCs w:val="20"/>
          <w:color w:val="auto"/>
        </w:rPr>
        <w:t>In March 2019, the KCC issued an order adjusting Westar Energy's retail prices to include updated transmission costs as reflected in the FERC transmission formula rate (TFR). The new prices were effective in April 2019 and are expected to decrease Westar Energy's annual retail revenues by $7.7 million.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KCP&amp;L 2019 Transmission Delivery Charge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April 2019, the KCC issued an order adjusting KCP&amp;L's retail prices to include updated transmission costs as reflected in the FERC TFR.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new prices were effective in May 2019 and are expected to decrease KCP&amp;L's annual retail revenues by $8.3 million.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Westar Energy and KCP&amp;L Earnings Review and Sharing Plan (ERSP)</w:t>
      </w:r>
    </w:p>
    <w:p>
      <w:pPr>
        <w:spacing w:after="0" w:line="16"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As part of their merger settlement agreement with the KCC, Westar Energy and KCP&amp;L agreed to participate in an ERSP for the years 2019 through 2022. Under the ERSP, Westar Energy and KCP&amp;L's Kansas jurisdiction are required to refund to customers 50% of annual earnings in excess of their authorized return on equity of 9.3% to the extent the excess earnings exceed the amount of Westar Energy's and KCP&amp;L's annual merger bill credits for the year being measured.</w:t>
      </w:r>
    </w:p>
    <w:p>
      <w:pPr>
        <w:spacing w:after="0" w:line="195"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As of June 30, 2019, Westar Energy and KCP&amp;L estimate their 2019 annual earnings will not result in a refund obligation. Westar Energy and KCP&amp;L will file their 2019 earnings calculations with the KCC in March 2020. The final refund obligation, if any, will be decided by the KCC and could vary from the current estimate.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MPSC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GMO Other Proceedings</w:t>
      </w:r>
    </w:p>
    <w:p>
      <w:pPr>
        <w:ind w:right="20"/>
        <w:spacing w:after="0" w:line="274" w:lineRule="auto"/>
        <w:rPr>
          <w:sz w:val="20"/>
          <w:szCs w:val="20"/>
          <w:color w:val="auto"/>
        </w:rPr>
      </w:pPr>
      <w:r>
        <w:rPr>
          <w:rFonts w:ascii="Arial" w:cs="Arial" w:eastAsia="Arial" w:hAnsi="Arial"/>
          <w:sz w:val="18"/>
          <w:szCs w:val="18"/>
          <w:color w:val="auto"/>
        </w:rPr>
        <w:t>In December 2018, the Office of the Public Counsel (OPC) and the Midwest Energy Consumers Group (MECG) filed a petition with the MPSC requesting an accounting authority order that would require GMO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 GMO already records depreciation expense to a regulatory liability for Sibley Station following its retirement pursuant to GMO’s rate order from its 2018 Missouri rate case.</w:t>
      </w:r>
    </w:p>
    <w:p>
      <w:pPr>
        <w:spacing w:after="0" w:line="166" w:lineRule="exact"/>
        <w:rPr>
          <w:sz w:val="20"/>
          <w:szCs w:val="20"/>
          <w:color w:val="auto"/>
        </w:rPr>
      </w:pPr>
    </w:p>
    <w:p>
      <w:pPr>
        <w:jc w:val="both"/>
        <w:ind w:right="100"/>
        <w:spacing w:after="0" w:line="269" w:lineRule="auto"/>
        <w:rPr>
          <w:sz w:val="20"/>
          <w:szCs w:val="20"/>
          <w:color w:val="auto"/>
        </w:rPr>
      </w:pPr>
      <w:r>
        <w:rPr>
          <w:rFonts w:ascii="Arial" w:cs="Arial" w:eastAsia="Arial" w:hAnsi="Arial"/>
          <w:sz w:val="19"/>
          <w:szCs w:val="19"/>
          <w:color w:val="auto"/>
        </w:rPr>
        <w:t>GMO opposes OPC’s and MECG’s petition on various grounds, including the value of costs that OPC and MECG allege are no longer existent due to the retirement of Sibley Station, the fact that the retirement of utility assets like Sibley Station is typical in the industry and was a long-planned event that was contemplated as part of the stipulations and agreements in GMO’s 2018 Missouri rate case.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A hearing in the case is scheduled to occur in August 2019 with an order expected before the end of 2019.</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Westar Energy TFR</w:t>
      </w:r>
    </w:p>
    <w:p>
      <w:pPr>
        <w:ind w:right="100"/>
        <w:spacing w:after="0" w:line="260" w:lineRule="auto"/>
        <w:rPr>
          <w:sz w:val="20"/>
          <w:szCs w:val="20"/>
          <w:color w:val="auto"/>
        </w:rPr>
      </w:pPr>
      <w:r>
        <w:rPr>
          <w:rFonts w:ascii="Arial" w:cs="Arial" w:eastAsia="Arial" w:hAnsi="Arial"/>
          <w:sz w:val="19"/>
          <w:szCs w:val="19"/>
          <w:color w:val="auto"/>
        </w:rPr>
        <w:t>Westar Energy's TFR, effective in January 2019, includes projected 2019 transmission capital expenditures and operating costs and is expected to decrease annual transmission revenues by $11.2 million when compared to 2018. This updated rate provided the basis for Westar Energy's request with the KCC to adjust its retail prices to include updated transmission costs as discussed above.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KCP&amp;L TFR</w:t>
      </w:r>
    </w:p>
    <w:p>
      <w:pPr>
        <w:spacing w:after="0" w:line="16"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KCP&amp;L's TFR, effective in January 2019, includes projected 2019 transmission capital expenditures and operating costs and is expected to decrease annual transmission revenues by $2.8 million when compared to 2018. This updated rate provided the basis for KCP&amp;L's request with the KCC to adjust its retail prices to include updated transmission costs as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GOODWILL</w:t>
      </w:r>
    </w:p>
    <w:p>
      <w:pPr>
        <w:spacing w:after="0" w:line="11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Accounting rules require goodwill to be tested for impairment annually and when an event occurs indicating the possibility that an impairment exists. Evergy's impairment test for the $2,336.6 million of goodwill that was recorded as a result of the Great Plains Energy and Westar Energy merger was conducted on May 1, 2019.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PENSION PLANS AND POST-RETIREMENT BENEFITS</w:t>
      </w:r>
    </w:p>
    <w:p>
      <w:pPr>
        <w:spacing w:after="0" w:line="114"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Evergy and certain of its subsidiaries maintain, and Westar Energy and KCP&amp;L participate in, qualified non-contributory defined benefit pension plans covering the majority of Westar Energy's and KCP&amp;L's employees as well as certain non-qualified plans covering certain active and retired officers. Evergy is also responsible for its 94% ownership share of Wolf Creek Generating Station's (Wolf Creek) defined benefit plans, consisting of Westar Energy's and KCP&amp;L's respective 47% ownership shares.</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For the majority of employees, pension benefits under these plans reflect the employees' compensation, years of service and age at retirement. However, for the plan covering Westar Energy's employees, the benefits for non-union employees hired between 2002 and the second quarter of 2018 and union employees hired beginning in 2012 are derived from a cash balance account formula. The plan was closed to future non-union employees in 2018. For the plans covering KCP&amp;L's employees, the benefits for union employees hired beginning in 2014 are derived from a cash balance account formula and the plans were closed to future non-union employees in 2014.</w:t>
      </w:r>
    </w:p>
    <w:p>
      <w:pPr>
        <w:spacing w:after="0" w:line="181"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Evergy and its subsidiaries also provide certain post-retirement health care and life insurance benefits for substantially all retired employees of Westar Energy and KCP&amp;L and their respective shares of Wolf Creek's post-retirement benefit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Evergy Companies record pension and post-retirement expense in accordance with rate orders from the KCC and MPSC that allow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difference between pension and post-retirement costs under GAAP and costs for ratemaking to be recognized as a regulatory asset or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liability. This difference between financial and regulatory accounting methods is due to timing and will be eliminated over the life of the plans.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Pension Benefits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Post-Retirement Benefits</w:t>
            </w:r>
          </w:p>
        </w:tc>
      </w:tr>
      <w:tr>
        <w:trPr>
          <w:trHeight w:val="252"/>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Westar</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Westar</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22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Evergy</w:t>
            </w:r>
          </w:p>
        </w:tc>
        <w:tc>
          <w:tcPr>
            <w:tcW w:w="32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Energy</w:t>
            </w:r>
          </w:p>
        </w:tc>
        <w:tc>
          <w:tcPr>
            <w:tcW w:w="200" w:type="dxa"/>
            <w:vAlign w:val="bottom"/>
          </w:tcPr>
          <w:p>
            <w:pPr>
              <w:spacing w:after="0"/>
              <w:rPr>
                <w:sz w:val="20"/>
                <w:szCs w:val="20"/>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b w:val="1"/>
                <w:bCs w:val="1"/>
                <w:color w:val="auto"/>
              </w:rPr>
              <w:t>KCP&amp;L</w:t>
            </w:r>
          </w:p>
        </w:tc>
        <w:tc>
          <w:tcPr>
            <w:tcW w:w="3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Energy</w:t>
            </w:r>
          </w:p>
        </w:tc>
        <w:tc>
          <w:tcPr>
            <w:tcW w:w="24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KCP&amp;L</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(gain)/loss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costs before regulatory</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adjustment and intercompany allocations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allocations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40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Pension Benefits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Post-Retirement Benefits</w:t>
            </w:r>
          </w:p>
        </w:tc>
      </w:tr>
      <w:tr>
        <w:trPr>
          <w:trHeight w:val="252"/>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Westar</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Westar</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 2019</w:t>
            </w:r>
          </w:p>
        </w:tc>
        <w:tc>
          <w:tcPr>
            <w:tcW w:w="22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Evergy</w:t>
            </w:r>
          </w:p>
        </w:tc>
        <w:tc>
          <w:tcPr>
            <w:tcW w:w="32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Energy</w:t>
            </w:r>
          </w:p>
        </w:tc>
        <w:tc>
          <w:tcPr>
            <w:tcW w:w="200" w:type="dxa"/>
            <w:vAlign w:val="bottom"/>
          </w:tcPr>
          <w:p>
            <w:pPr>
              <w:spacing w:after="0"/>
              <w:rPr>
                <w:sz w:val="20"/>
                <w:szCs w:val="20"/>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b w:val="1"/>
                <w:bCs w:val="1"/>
                <w:color w:val="auto"/>
              </w:rPr>
              <w:t>KCP&amp;L</w:t>
            </w:r>
          </w:p>
        </w:tc>
        <w:tc>
          <w:tcPr>
            <w:tcW w:w="3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Energy</w:t>
            </w:r>
          </w:p>
        </w:tc>
        <w:tc>
          <w:tcPr>
            <w:tcW w:w="24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KCP&amp;L</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(gain)/loss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24.5</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costs before regulatory</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adjustment and intercompany allocations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3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allocations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6"/>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905"/>
        </w:trPr>
        <w:tc>
          <w:tcPr>
            <w:tcW w:w="40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Pension Benefits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Post-Retirement Benefits</w:t>
            </w:r>
          </w:p>
        </w:tc>
      </w:tr>
      <w:tr>
        <w:trPr>
          <w:trHeight w:val="252"/>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Westar</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Westar</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1"/>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Evergy</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Energy</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1"/>
              <w:spacing w:after="0" w:line="262" w:lineRule="exact"/>
              <w:rPr>
                <w:sz w:val="20"/>
                <w:szCs w:val="20"/>
                <w:color w:val="auto"/>
              </w:rPr>
            </w:pPr>
            <w:r>
              <w:rPr>
                <w:rFonts w:ascii="Arial" w:cs="Arial" w:eastAsia="Arial" w:hAnsi="Arial"/>
                <w:sz w:val="18"/>
                <w:szCs w:val="18"/>
                <w:b w:val="1"/>
                <w:bCs w:val="1"/>
                <w:color w:val="auto"/>
                <w:w w:val="97"/>
              </w:rPr>
              <w:t>KCP&amp;L</w:t>
            </w:r>
            <w:r>
              <w:rPr>
                <w:rFonts w:ascii="Arial" w:cs="Arial" w:eastAsia="Arial" w:hAnsi="Arial"/>
                <w:sz w:val="25"/>
                <w:szCs w:val="25"/>
                <w:b w:val="1"/>
                <w:bCs w:val="1"/>
                <w:color w:val="auto"/>
                <w:w w:val="97"/>
                <w:vertAlign w:val="superscript"/>
              </w:rPr>
              <w:t>(a)</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Energy</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line="262" w:lineRule="exact"/>
              <w:rPr>
                <w:sz w:val="20"/>
                <w:szCs w:val="20"/>
                <w:color w:val="auto"/>
              </w:rPr>
            </w:pPr>
            <w:r>
              <w:rPr>
                <w:rFonts w:ascii="Arial" w:cs="Arial" w:eastAsia="Arial" w:hAnsi="Arial"/>
                <w:sz w:val="18"/>
                <w:szCs w:val="18"/>
                <w:b w:val="1"/>
                <w:bCs w:val="1"/>
                <w:color w:val="auto"/>
                <w:w w:val="99"/>
              </w:rPr>
              <w:t>KCP&amp;L</w:t>
            </w:r>
            <w:r>
              <w:rPr>
                <w:rFonts w:ascii="Arial" w:cs="Arial" w:eastAsia="Arial" w:hAnsi="Arial"/>
                <w:sz w:val="25"/>
                <w:szCs w:val="25"/>
                <w:b w:val="1"/>
                <w:bCs w:val="1"/>
                <w:color w:val="auto"/>
                <w:w w:val="99"/>
                <w:vertAlign w:val="superscript"/>
              </w:rPr>
              <w:t>(a)</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(gain)/loss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costs before regulatory</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adjustment and intercompany allocations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allocations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40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7" w:lineRule="exact"/>
        <w:rPr>
          <w:sz w:val="20"/>
          <w:szCs w:val="20"/>
          <w:color w:val="auto"/>
        </w:rPr>
      </w:pPr>
    </w:p>
    <w:p>
      <w:pPr>
        <w:ind w:left="180" w:hanging="145"/>
        <w:spacing w:after="0"/>
        <w:tabs>
          <w:tab w:leader="none" w:pos="18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KCP&amp;L amounts are included in consolidated Evergy from June 4, 2018, the date of the closing of the merger,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Pension Benefits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Post-Retirement Benefits</w:t>
            </w:r>
          </w:p>
        </w:tc>
      </w:tr>
      <w:tr>
        <w:trPr>
          <w:trHeight w:val="252"/>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Westar</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Westar</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1"/>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to Date June 30, 2018</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Evergy</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Energy</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1"/>
              <w:spacing w:after="0" w:line="262" w:lineRule="exact"/>
              <w:rPr>
                <w:sz w:val="20"/>
                <w:szCs w:val="20"/>
                <w:color w:val="auto"/>
              </w:rPr>
            </w:pPr>
            <w:r>
              <w:rPr>
                <w:rFonts w:ascii="Arial" w:cs="Arial" w:eastAsia="Arial" w:hAnsi="Arial"/>
                <w:sz w:val="18"/>
                <w:szCs w:val="18"/>
                <w:b w:val="1"/>
                <w:bCs w:val="1"/>
                <w:color w:val="auto"/>
                <w:w w:val="97"/>
              </w:rPr>
              <w:t>KCP&amp;L</w:t>
            </w:r>
            <w:r>
              <w:rPr>
                <w:rFonts w:ascii="Arial" w:cs="Arial" w:eastAsia="Arial" w:hAnsi="Arial"/>
                <w:sz w:val="25"/>
                <w:szCs w:val="25"/>
                <w:b w:val="1"/>
                <w:bCs w:val="1"/>
                <w:color w:val="auto"/>
                <w:w w:val="97"/>
                <w:vertAlign w:val="superscript"/>
              </w:rPr>
              <w:t>(a)</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Energy</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line="262" w:lineRule="exact"/>
              <w:rPr>
                <w:sz w:val="20"/>
                <w:szCs w:val="20"/>
                <w:color w:val="auto"/>
              </w:rPr>
            </w:pPr>
            <w:r>
              <w:rPr>
                <w:rFonts w:ascii="Arial" w:cs="Arial" w:eastAsia="Arial" w:hAnsi="Arial"/>
                <w:sz w:val="18"/>
                <w:szCs w:val="18"/>
                <w:b w:val="1"/>
                <w:bCs w:val="1"/>
                <w:color w:val="auto"/>
                <w:w w:val="99"/>
              </w:rPr>
              <w:t>KCP&amp;L</w:t>
            </w:r>
            <w:r>
              <w:rPr>
                <w:rFonts w:ascii="Arial" w:cs="Arial" w:eastAsia="Arial" w:hAnsi="Arial"/>
                <w:sz w:val="25"/>
                <w:szCs w:val="25"/>
                <w:b w:val="1"/>
                <w:bCs w:val="1"/>
                <w:color w:val="auto"/>
                <w:w w:val="99"/>
                <w:vertAlign w:val="superscript"/>
              </w:rPr>
              <w:t>(a)</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(gain)/loss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22.9</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costs before regulatory</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adjustment and intercompany allocations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allocations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periodic benefit costs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41"/>
        </w:trPr>
        <w:tc>
          <w:tcPr>
            <w:tcW w:w="4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KCP&amp;L amounts are included in consolidated Evergy from June 4, 2018, the date of the closing of the merger, and thereafter.</w:t>
      </w:r>
    </w:p>
    <w:p>
      <w:pPr>
        <w:spacing w:after="0" w:line="19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77"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Year to date June 30, 2019, Evergy, Westar Energy and KCP&amp;L made pension contributions of $22.1 million, $14.1 million and $8.0 million, respectively. Evergy expects to make additional pension contributions of $107.4 million in 2019 to satisfy the Employee Retirement Income Security Act of 1974, as amended (ERISA) funding requirements and KCC and MPSC rate orders, of which $29.0 million is expected to be paid by Westar Energy and $78.4 million is expected to be paid by KCP&amp;L.</w:t>
      </w:r>
    </w:p>
    <w:p>
      <w:pPr>
        <w:spacing w:after="0" w:line="192"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Year to date June 30, 2019, Evergy, Westar Energy and KCP&amp;L made post-retirement benefit contributions of $0.6 million, $0.3 million and $0.3 million, respectively. Evergy, Westar Energy and KCP&amp;L expect to make additional contributions of $2.1 million</w:t>
      </w:r>
      <w:r>
        <w:rPr>
          <w:rFonts w:ascii="Arial" w:cs="Arial" w:eastAsia="Arial" w:hAnsi="Arial"/>
          <w:sz w:val="18"/>
          <w:szCs w:val="18"/>
          <w:color w:val="auto"/>
        </w:rPr>
        <w:t>,</w:t>
      </w:r>
      <w:r>
        <w:rPr>
          <w:rFonts w:ascii="Arial" w:cs="Arial" w:eastAsia="Arial" w:hAnsi="Arial"/>
          <w:sz w:val="20"/>
          <w:szCs w:val="20"/>
          <w:color w:val="auto"/>
        </w:rPr>
        <w:t xml:space="preserve"> $0.3 million and $1.8 million, respectively, in 2019 to the post-retirement benefit plans.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SHORT-TERM BORROWINGS AND SHORT-TERM BANK LINES OF CREDIT</w:t>
      </w:r>
    </w:p>
    <w:p>
      <w:pPr>
        <w:spacing w:after="0" w:line="11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Evergy's $2.5 billion master credit facility expires in 2023. Evergy, Westar Energy, KCP&amp;L and GMO have borrowing capacity under the master credit facility with specific sublimits for each borrower. These sublimits can be unilaterally adjusted by Evergy for each borrower provided the sublimits remain within minimum and maximum sublimits as specified in the facility. A default by any borrower under the facility or one of their significant subsidiaries on other indebtedness totaling more than $100.0 million constitutes a default by that borrower under the facility. Under the terms of this facility, each of Evergy, Westar Energy, KCP&amp;L and GMO is required to maintain a total indebtedness to total capitalization ratio, as defined in the facility, of not greater than 0.65 to 1.00 at all times. As of June 30, 2019, Evergy, Westar Energy, KCP&amp;L and GMO were in compliance with this covenant.</w:t>
      </w:r>
    </w:p>
    <w:p>
      <w:pPr>
        <w:spacing w:after="0" w:line="193"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The following table summarizes the committed credit facilities (excluding receivable sale facilities discussed in Note 4 and Evergy's term loan credit agreement discussed below) available to the Evergy Companies as of June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Amounts Drawn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20" w:type="dxa"/>
            <w:vAlign w:val="bottom"/>
            <w:vMerge w:val="restart"/>
          </w:tcPr>
          <w:p>
            <w:pPr>
              <w:jc w:val="center"/>
              <w:ind w:left="350"/>
              <w:spacing w:after="0"/>
              <w:rPr>
                <w:sz w:val="20"/>
                <w:szCs w:val="20"/>
                <w:color w:val="auto"/>
              </w:rPr>
            </w:pPr>
            <w:r>
              <w:rPr>
                <w:rFonts w:ascii="Arial" w:cs="Arial" w:eastAsia="Arial" w:hAnsi="Arial"/>
                <w:sz w:val="18"/>
                <w:szCs w:val="18"/>
                <w:b w:val="1"/>
                <w:bCs w:val="1"/>
                <w:color w:val="auto"/>
                <w:w w:val="89"/>
              </w:rPr>
              <w:t>Weighted Average Interest</w:t>
            </w:r>
          </w:p>
        </w:tc>
        <w:tc>
          <w:tcPr>
            <w:tcW w:w="0" w:type="dxa"/>
            <w:vAlign w:val="bottom"/>
          </w:tcPr>
          <w:p>
            <w:pPr>
              <w:spacing w:after="0"/>
              <w:rPr>
                <w:sz w:val="1"/>
                <w:szCs w:val="1"/>
                <w:color w:val="auto"/>
              </w:rPr>
            </w:pPr>
          </w:p>
        </w:tc>
      </w:tr>
      <w:tr>
        <w:trPr>
          <w:trHeight w:val="205"/>
        </w:trPr>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Commercial</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Cash</w:t>
            </w:r>
          </w:p>
        </w:tc>
        <w:tc>
          <w:tcPr>
            <w:tcW w:w="18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Available</w:t>
            </w:r>
          </w:p>
        </w:tc>
        <w:tc>
          <w:tcPr>
            <w:tcW w:w="272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Rate on Short-Term</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Credit Facility</w:t>
            </w:r>
          </w:p>
        </w:tc>
        <w:tc>
          <w:tcPr>
            <w:tcW w:w="16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Paper</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Letters of Credit</w:t>
            </w:r>
          </w:p>
        </w:tc>
        <w:tc>
          <w:tcPr>
            <w:tcW w:w="1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18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Borrowings</w:t>
            </w:r>
          </w:p>
        </w:tc>
        <w:tc>
          <w:tcPr>
            <w:tcW w:w="272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Borrowings</w:t>
            </w: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271"/>
              <w:spacing w:after="0"/>
              <w:rPr>
                <w:sz w:val="20"/>
                <w:szCs w:val="20"/>
                <w:color w:val="auto"/>
              </w:rPr>
            </w:pPr>
            <w:r>
              <w:rPr>
                <w:rFonts w:ascii="Arial" w:cs="Arial" w:eastAsia="Arial" w:hAnsi="Arial"/>
                <w:sz w:val="16"/>
                <w:szCs w:val="16"/>
                <w:color w:val="auto"/>
              </w:rPr>
              <w:t>(millions)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c>
          <w:tcPr>
            <w:tcW w:w="2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3.66%</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Westar Energy</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737.0</w:t>
            </w:r>
          </w:p>
        </w:tc>
        <w:tc>
          <w:tcPr>
            <w:tcW w:w="2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232.7</w:t>
            </w:r>
          </w:p>
        </w:tc>
        <w:tc>
          <w:tcPr>
            <w:tcW w:w="2720" w:type="dxa"/>
            <w:vAlign w:val="bottom"/>
          </w:tcPr>
          <w:p>
            <w:pPr>
              <w:jc w:val="center"/>
              <w:ind w:left="350"/>
              <w:spacing w:after="0"/>
              <w:rPr>
                <w:sz w:val="20"/>
                <w:szCs w:val="20"/>
                <w:color w:val="auto"/>
              </w:rPr>
            </w:pPr>
            <w:r>
              <w:rPr>
                <w:rFonts w:ascii="Arial" w:cs="Arial" w:eastAsia="Arial" w:hAnsi="Arial"/>
                <w:sz w:val="18"/>
                <w:szCs w:val="18"/>
                <w:color w:val="auto"/>
                <w:w w:val="93"/>
              </w:rPr>
              <w:t>2.68%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KCP&amp;L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373.3</w:t>
            </w:r>
          </w:p>
        </w:tc>
        <w:tc>
          <w:tcPr>
            <w:tcW w:w="2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2.65%</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GMO</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175.3</w:t>
            </w:r>
          </w:p>
        </w:tc>
        <w:tc>
          <w:tcPr>
            <w:tcW w:w="2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272.6</w:t>
            </w:r>
          </w:p>
        </w:tc>
        <w:tc>
          <w:tcPr>
            <w:tcW w:w="2720" w:type="dxa"/>
            <w:vAlign w:val="bottom"/>
          </w:tcPr>
          <w:p>
            <w:pPr>
              <w:jc w:val="center"/>
              <w:ind w:left="350"/>
              <w:spacing w:after="0"/>
              <w:rPr>
                <w:sz w:val="20"/>
                <w:szCs w:val="20"/>
                <w:color w:val="auto"/>
              </w:rPr>
            </w:pPr>
            <w:r>
              <w:rPr>
                <w:rFonts w:ascii="Arial" w:cs="Arial" w:eastAsia="Arial" w:hAnsi="Arial"/>
                <w:sz w:val="18"/>
                <w:szCs w:val="18"/>
                <w:color w:val="auto"/>
                <w:w w:val="93"/>
              </w:rPr>
              <w:t>2.68%</w:t>
            </w: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1,227.6</w:t>
            </w: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Evergy, Inc.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449.0</w:t>
            </w:r>
          </w:p>
        </w:tc>
        <w:tc>
          <w:tcPr>
            <w:tcW w:w="2720" w:type="dxa"/>
            <w:vAlign w:val="bottom"/>
          </w:tcPr>
          <w:p>
            <w:pPr>
              <w:jc w:val="center"/>
              <w:ind w:left="35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Westar Energy</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570.0</w:t>
            </w:r>
          </w:p>
        </w:tc>
        <w:tc>
          <w:tcPr>
            <w:tcW w:w="2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3.08%</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KCP&amp;L</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176.9</w:t>
            </w:r>
          </w:p>
        </w:tc>
        <w:tc>
          <w:tcPr>
            <w:tcW w:w="2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420.4</w:t>
            </w:r>
          </w:p>
        </w:tc>
        <w:tc>
          <w:tcPr>
            <w:tcW w:w="2720" w:type="dxa"/>
            <w:vAlign w:val="bottom"/>
          </w:tcPr>
          <w:p>
            <w:pPr>
              <w:jc w:val="center"/>
              <w:ind w:left="350"/>
              <w:spacing w:after="0"/>
              <w:rPr>
                <w:sz w:val="20"/>
                <w:szCs w:val="20"/>
                <w:color w:val="auto"/>
              </w:rPr>
            </w:pPr>
            <w:r>
              <w:rPr>
                <w:rFonts w:ascii="Arial" w:cs="Arial" w:eastAsia="Arial" w:hAnsi="Arial"/>
                <w:sz w:val="18"/>
                <w:szCs w:val="18"/>
                <w:color w:val="auto"/>
                <w:w w:val="93"/>
              </w:rPr>
              <w:t>2.95%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GMO</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297.9</w:t>
            </w:r>
          </w:p>
        </w:tc>
        <w:tc>
          <w:tcPr>
            <w:tcW w:w="2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3.00%</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color w:val="auto"/>
              </w:rPr>
              <w:t>Evergy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2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1,737.3</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In March 2019, Evergy entered into a $1.0 billion, 6-month term loan credit agreement with a group of banks to provide short-term financing for its common stock repurchase program. The agreement allows for two term loans during the 6-month term of the agreement, in an aggregate principal amount not to exceed the credit limit of the agreement. At closing, Evergy borrowed $500.0 million under the agreement, allowing for one additional term loan borrowing in a principal amount up to $500.0 million. In June 2019, Evergy borrowed the remaining $500.0 million allowed under the agreement. At June 30, 2019, Evergy had $1.0 billion of outstanding cash borrowings under the agreement at a weighted-average interest rate of 2.95%. Evergy anticipates repaying borrowings under the term loan credit agreement with proceeds from an expected long-term debt issuance in the third quarter of 2019.</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Bonds</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In March 2019, KCP&amp;L issued collateral mortgage bonds secured by the General Mortgage Indenture and Deed of Trust dated as of December 1, 1986, as supplemented (KCP&amp;L Mortgage Indenture) to serve as collateral for KCP&amp;L's obligations under the following outstanding unsecured senior notes:</w:t>
      </w:r>
    </w:p>
    <w:p>
      <w:pPr>
        <w:spacing w:after="0" w:line="19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$300.0 million of 3.15% Series, maturing in 2023;</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$350.0 million of 3.65% Series, maturing in 2025;</w:t>
      </w: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$250.0 million of 6.05% Series, maturing in 2035;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$400.0 million of 5.30% Series, maturing in 2041;</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$300.0 million of 4.20% Series, maturing in 2047; and</w:t>
      </w:r>
    </w:p>
    <w:p>
      <w:pPr>
        <w:ind w:left="660" w:hanging="328"/>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$300.0 million of 4.20% Series, maturing in 2048.</w:t>
      </w:r>
    </w:p>
    <w:p>
      <w:pPr>
        <w:spacing w:after="0" w:line="20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collateral mortgage bonds were issued to the trustee for the unsecured senior notes, are only payable if KCP&amp;L defaults on the underlying unsecured senior notes and do not increase the amount of outstanding debt for KCP&amp;L.</w:t>
      </w:r>
    </w:p>
    <w:p>
      <w:pPr>
        <w:spacing w:after="0" w:line="177"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As a result of the above transactions, KCP&amp;L's outstanding senior notes have effectively become secured by the mortgage lien of the KCP&amp;L Mortgage Indenture and will rank equally and ratably with all of KCP&amp;L's mortgage bonds, regardless of series, from time to time issued and outstanding under the KCP&amp;L Mortgage Indenture.</w:t>
      </w:r>
    </w:p>
    <w:p>
      <w:pPr>
        <w:spacing w:after="0" w:line="186"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Also in March 2019, KCP&amp;L issued, at a discount, $400.0 million of 4.125% Mortgage Bonds, maturing in 2049. KCP&amp;L also repaid its $400.0 million of 7.15% Mortgage Bonds at maturity in April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In June 2019, KGE repaid its $300.0 million of 6.70% First Mortgage Bonds at maturity.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March 2019, GMO issued $100.0 million of 3.74% Senior Notes, maturing in 2022, under a note purchase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98"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153"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8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Derivatives</w:t>
      </w:r>
    </w:p>
    <w:p>
      <w:pPr>
        <w:spacing w:after="0" w:line="22"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The Evergy Companies are exposed to market risks arising from changes in interest rates and may use derivative instruments to manage these risks. From time to time, risk management activities may include entering into interest rate swap agreements to protect against unfavorable interest rate changes relating to forecasted debt transactions. These interest rate swap agreements can be designated as cash flow hedges, in which case gains and losses on the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interest rate swaps are deferred in other comprehensive income to be recognized as an adjustment to interest expense over the same period that the hedged interest payments affect earnings.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2018, Evergy entered into an interest rate swap agreement with a notional amount of $500.0 million that has been designated as 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of interest payments from a forecasted debt issuance in 2019. As of June 30, 2019 and December 31, 2018, the interest rate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swap had a fair value of $(40.4) million and $(5.4) million, respectively, and was recorded within other current liabilities on Evergy's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For the three months ended and year to date June 30, 2019, Evergy recorded a $21.2 million pre-tax loss and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$35.0 million pre-tax loss, respectively, in other comprehensive loss on Evergy's consolidated statements of comprehensive income related to</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this interest rate swap.</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4"/>
          </w:tcPr>
          <w:p>
            <w:pPr>
              <w:ind w:left="800"/>
              <w:spacing w:after="0"/>
              <w:rPr>
                <w:sz w:val="20"/>
                <w:szCs w:val="20"/>
                <w:color w:val="auto"/>
              </w:rPr>
            </w:pPr>
            <w:r>
              <w:rPr>
                <w:rFonts w:ascii="Arial" w:cs="Arial" w:eastAsia="Arial" w:hAnsi="Arial"/>
                <w:sz w:val="18"/>
                <w:szCs w:val="18"/>
                <w:b w:val="1"/>
                <w:bCs w:val="1"/>
                <w:color w:val="auto"/>
              </w:rPr>
              <w:t>June 30, 2019</w:t>
            </w:r>
          </w:p>
        </w:tc>
        <w:tc>
          <w:tcPr>
            <w:tcW w:w="220" w:type="dxa"/>
            <w:vAlign w:val="bottom"/>
          </w:tcPr>
          <w:p>
            <w:pPr>
              <w:spacing w:after="0"/>
              <w:rPr>
                <w:sz w:val="20"/>
                <w:szCs w:val="20"/>
                <w:color w:val="auto"/>
              </w:rPr>
            </w:pPr>
          </w:p>
        </w:tc>
        <w:tc>
          <w:tcPr>
            <w:tcW w:w="27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Book Value</w:t>
            </w:r>
          </w:p>
        </w:tc>
        <w:tc>
          <w:tcPr>
            <w:tcW w:w="36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Book Value</w:t>
            </w:r>
          </w:p>
        </w:tc>
        <w:tc>
          <w:tcPr>
            <w:tcW w:w="36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5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26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5"/>
                <w:szCs w:val="25"/>
                <w:b w:val="1"/>
                <w:bCs w:val="1"/>
                <w:color w:val="auto"/>
                <w:vertAlign w:val="superscript"/>
              </w:rPr>
              <w:t>(a)</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Evergy</w:t>
            </w:r>
            <w:r>
              <w:rPr>
                <w:rFonts w:ascii="Arial" w:cs="Arial" w:eastAsia="Arial" w:hAnsi="Arial"/>
                <w:sz w:val="25"/>
                <w:szCs w:val="25"/>
                <w:color w:val="auto"/>
                <w:vertAlign w:val="superscript"/>
              </w:rPr>
              <w:t>(b)</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7,123.6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7,671.3</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7,341.7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7,412.1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Westar Energy</w:t>
            </w:r>
          </w:p>
        </w:tc>
        <w:tc>
          <w:tcPr>
            <w:tcW w:w="2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3,390.6</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3,701.0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3,689.8</w:t>
            </w: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3,771.3</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KCP&amp;L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2,524.3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2,530.1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2,637.5</w:t>
            </w: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Long-term debt of variable interest entities</w:t>
            </w:r>
            <w:r>
              <w:rPr>
                <w:rFonts w:ascii="Arial" w:cs="Arial" w:eastAsia="Arial" w:hAnsi="Arial"/>
                <w:sz w:val="25"/>
                <w:szCs w:val="25"/>
                <w:b w:val="1"/>
                <w:bCs w:val="1"/>
                <w:color w:val="auto"/>
                <w:vertAlign w:val="superscript"/>
              </w:rPr>
              <w:t>(a)</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Westar Energy</w:t>
            </w:r>
          </w:p>
        </w:tc>
        <w:tc>
          <w:tcPr>
            <w:tcW w:w="2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51.1</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81.4</w:t>
            </w: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ind w:left="180" w:right="100" w:hanging="172"/>
        <w:spacing w:after="0" w:line="244" w:lineRule="auto"/>
        <w:tabs>
          <w:tab w:leader="none" w:pos="171"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Book value as of June 30, 2019 and December 31, 2018, includes $133.0 million and $144.8 million, respectively, of fair value adjustments recorded in connection with purchase accounting for the Great Plains Energy and Westar Energy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Recurring Fair Value Measurements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8"/>
                <w:szCs w:val="18"/>
                <w:color w:val="auto"/>
              </w:rPr>
            </w:pPr>
          </w:p>
        </w:tc>
        <w:tc>
          <w:tcPr>
            <w:tcW w:w="1440" w:type="dxa"/>
            <w:vAlign w:val="bottom"/>
          </w:tcPr>
          <w:p>
            <w:pPr>
              <w:jc w:val="right"/>
              <w:ind w:right="359"/>
              <w:spacing w:after="0"/>
              <w:rPr>
                <w:sz w:val="20"/>
                <w:szCs w:val="20"/>
                <w:color w:val="auto"/>
              </w:rPr>
            </w:pPr>
            <w:r>
              <w:rPr>
                <w:rFonts w:ascii="Arial" w:cs="Arial" w:eastAsia="Arial" w:hAnsi="Arial"/>
                <w:sz w:val="16"/>
                <w:szCs w:val="16"/>
                <w:b w:val="1"/>
                <w:bCs w:val="1"/>
                <w:color w:val="auto"/>
                <w:w w:val="94"/>
              </w:rPr>
              <w:t>June 30, 2019</w:t>
            </w:r>
          </w:p>
        </w:tc>
        <w:tc>
          <w:tcPr>
            <w:tcW w:w="40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Level 1</w:t>
            </w:r>
          </w:p>
        </w:tc>
        <w:tc>
          <w:tcPr>
            <w:tcW w:w="4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Level 2</w:t>
            </w:r>
          </w:p>
        </w:tc>
        <w:tc>
          <w:tcPr>
            <w:tcW w:w="40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NAV</w:t>
            </w:r>
          </w:p>
        </w:tc>
      </w:tr>
      <w:tr>
        <w:trPr>
          <w:trHeight w:val="33"/>
        </w:trPr>
        <w:tc>
          <w:tcPr>
            <w:tcW w:w="4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Westar Energy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gridSpan w:val="2"/>
          </w:tcPr>
          <w:p>
            <w:pPr>
              <w:jc w:val="right"/>
              <w:ind w:right="439"/>
              <w:spacing w:after="0"/>
              <w:rPr>
                <w:sz w:val="20"/>
                <w:szCs w:val="20"/>
                <w:color w:val="auto"/>
              </w:rPr>
            </w:pPr>
            <w:r>
              <w:rPr>
                <w:rFonts w:ascii="Arial" w:cs="Arial" w:eastAsia="Arial" w:hAnsi="Arial"/>
                <w:sz w:val="16"/>
                <w:szCs w:val="16"/>
                <w:color w:val="auto"/>
              </w:rPr>
              <w:t>(millions)</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3"/>
        </w:trPr>
        <w:tc>
          <w:tcPr>
            <w:tcW w:w="4360" w:type="dxa"/>
            <w:vAlign w:val="bottom"/>
          </w:tcPr>
          <w:p>
            <w:pPr>
              <w:ind w:left="20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Domestic equity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83.5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76.2</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7.3</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International equity funds</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47.5</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47.5</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Core bond fund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35.5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35.5</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High-yield bond fund</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21.0</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21.0</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Emerging markets bond fund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17.1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17.1</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Combination debt/equity/other fund</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15.2</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15.2</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Alternative investments fund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24.5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24.5</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Real estate securities fund</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12.2</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12.2</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0.2</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Pr>
          <w:p>
            <w:pPr>
              <w:ind w:left="500"/>
              <w:spacing w:after="0"/>
              <w:rPr>
                <w:sz w:val="20"/>
                <w:szCs w:val="20"/>
                <w:color w:val="auto"/>
              </w:rPr>
            </w:pPr>
            <w:r>
              <w:rPr>
                <w:rFonts w:ascii="Arial" w:cs="Arial" w:eastAsia="Arial" w:hAnsi="Arial"/>
                <w:sz w:val="16"/>
                <w:szCs w:val="16"/>
                <w:color w:val="auto"/>
              </w:rPr>
              <w:t>Total nuclear decommissioning trust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256.7</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212.7</w:t>
            </w: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44.0</w:t>
            </w:r>
          </w:p>
        </w:tc>
      </w:tr>
      <w:tr>
        <w:trPr>
          <w:trHeight w:val="33"/>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Rabbi trust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Core bond fund</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25.2</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25.2</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Combination debt/equity/other fund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6.2</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6.2</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0.2</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0.2</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rabbi trust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31.6</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31.4</w:t>
            </w:r>
          </w:p>
        </w:tc>
      </w:tr>
      <w:tr>
        <w:trPr>
          <w:trHeight w:val="231"/>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288.3</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212.9</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75.4</w:t>
            </w:r>
          </w:p>
        </w:tc>
      </w:tr>
      <w:tr>
        <w:trPr>
          <w:trHeight w:val="33"/>
        </w:trPr>
        <w:tc>
          <w:tcPr>
            <w:tcW w:w="4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KCP&amp;L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194.2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194.2</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U.S. Treasury</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45.7</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45.7</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Agency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0.4</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0.4</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State and local obligations</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33.1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33.1</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Foreign governments</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3.7</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3.7</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(0.4)</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(0.4)</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nuclear decommissioning trust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279.0</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243.6</w:t>
            </w: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35.4</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360" w:type="dxa"/>
            <w:vAlign w:val="bottom"/>
          </w:tcPr>
          <w:p>
            <w:pPr>
              <w:ind w:left="200"/>
              <w:spacing w:after="0"/>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1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0.5</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Debt securities</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5.3</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0.7</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4.6</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7.7</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7.7</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Pr>
          <w:p>
            <w:pPr>
              <w:ind w:left="500"/>
              <w:spacing w:after="0"/>
              <w:rPr>
                <w:sz w:val="20"/>
                <w:szCs w:val="20"/>
                <w:color w:val="auto"/>
              </w:rPr>
            </w:pPr>
            <w:r>
              <w:rPr>
                <w:rFonts w:ascii="Arial" w:cs="Arial" w:eastAsia="Arial" w:hAnsi="Arial"/>
                <w:sz w:val="16"/>
                <w:szCs w:val="16"/>
                <w:color w:val="auto"/>
              </w:rPr>
              <w:t>Total self-insured health plan trust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13.5</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8.9</w:t>
            </w: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4.6</w:t>
            </w: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292.5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252.5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40.0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Evergy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6"/>
                <w:szCs w:val="16"/>
                <w:color w:val="auto"/>
              </w:rPr>
              <w:t>Rabbi trusts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13.1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13.1</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0.4</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0.4</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rabbi trusts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13.5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13.1</w:t>
            </w:r>
          </w:p>
        </w:tc>
      </w:tr>
      <w:tr>
        <w:trPr>
          <w:trHeight w:val="231"/>
        </w:trPr>
        <w:tc>
          <w:tcPr>
            <w:tcW w:w="4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40.4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40.4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40.4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40.4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Evergy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535.7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456.3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35.4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44.0</w:t>
            </w:r>
          </w:p>
        </w:tc>
      </w:tr>
      <w:tr>
        <w:trPr>
          <w:trHeight w:val="237"/>
        </w:trPr>
        <w:tc>
          <w:tcPr>
            <w:tcW w:w="436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160" w:type="dxa"/>
            <w:vAlign w:val="bottom"/>
          </w:tcPr>
          <w:p>
            <w:pPr>
              <w:spacing w:after="0"/>
              <w:rPr>
                <w:sz w:val="20"/>
                <w:szCs w:val="20"/>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45.1</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0.6</w:t>
            </w:r>
          </w:p>
        </w:tc>
        <w:tc>
          <w:tcPr>
            <w:tcW w:w="460" w:type="dxa"/>
            <w:vAlign w:val="bottom"/>
          </w:tcPr>
          <w:p>
            <w:pPr>
              <w:spacing w:after="0"/>
              <w:rPr>
                <w:sz w:val="20"/>
                <w:szCs w:val="20"/>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44.5</w:t>
            </w:r>
          </w:p>
        </w:tc>
      </w:tr>
      <w:tr>
        <w:trPr>
          <w:trHeight w:val="3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13.5</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8.9</w:t>
            </w: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4.6</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594.3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465.8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40.0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88.5</w:t>
            </w:r>
          </w:p>
        </w:tc>
      </w:tr>
      <w:tr>
        <w:trPr>
          <w:trHeight w:val="33"/>
        </w:trPr>
        <w:tc>
          <w:tcPr>
            <w:tcW w:w="4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33"/>
        </w:trPr>
        <w:tc>
          <w:tcPr>
            <w:tcW w:w="4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2"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(c)</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40.4</w:t>
            </w: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40.4</w:t>
            </w: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r>
      <w:tr>
        <w:trPr>
          <w:trHeight w:val="244"/>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40.4</w:t>
            </w:r>
          </w:p>
        </w:tc>
        <w:tc>
          <w:tcPr>
            <w:tcW w:w="6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40.4</w:t>
            </w:r>
          </w:p>
        </w:tc>
        <w:tc>
          <w:tcPr>
            <w:tcW w:w="6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r>
      <w:tr>
        <w:trPr>
          <w:trHeight w:val="27"/>
        </w:trPr>
        <w:tc>
          <w:tcPr>
            <w:tcW w:w="4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40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Level 1</w:t>
            </w:r>
          </w:p>
        </w:tc>
        <w:tc>
          <w:tcPr>
            <w:tcW w:w="46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Level 2</w:t>
            </w:r>
          </w:p>
        </w:tc>
        <w:tc>
          <w:tcPr>
            <w:tcW w:w="42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NAV</w:t>
            </w:r>
          </w:p>
        </w:tc>
      </w:tr>
      <w:tr>
        <w:trPr>
          <w:trHeight w:val="33"/>
        </w:trPr>
        <w:tc>
          <w:tcPr>
            <w:tcW w:w="4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Westar Energy</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gridSpan w:val="2"/>
          </w:tcPr>
          <w:p>
            <w:pPr>
              <w:jc w:val="right"/>
              <w:ind w:right="419"/>
              <w:spacing w:after="0"/>
              <w:rPr>
                <w:sz w:val="20"/>
                <w:szCs w:val="20"/>
                <w:color w:val="auto"/>
              </w:rPr>
            </w:pPr>
            <w:r>
              <w:rPr>
                <w:rFonts w:ascii="Arial" w:cs="Arial" w:eastAsia="Arial" w:hAnsi="Arial"/>
                <w:sz w:val="16"/>
                <w:szCs w:val="16"/>
                <w:color w:val="auto"/>
              </w:rPr>
              <w:t>(millions)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6"/>
                <w:szCs w:val="16"/>
                <w:color w:val="auto"/>
              </w:rPr>
              <w:t>Assets</w:t>
            </w: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3"/>
        </w:trPr>
        <w:tc>
          <w:tcPr>
            <w:tcW w:w="4360" w:type="dxa"/>
            <w:vAlign w:val="bottom"/>
          </w:tcPr>
          <w:p>
            <w:pPr>
              <w:ind w:left="20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Domestic equity funds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70.6</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63.9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6.7</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International equity funds</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36.2</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36.2</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Core bond fund</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37.5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37.5</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High-yield bond fund</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18.9</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18.9</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Emerging markets bond fund</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15.4</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15.4</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Combination debt/equity/other fund</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12.9</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12.9</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Alternative investments fund</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24.1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24.1</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Real estate securities fund</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11.8</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11.8</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0.1</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Pr>
          <w:p>
            <w:pPr>
              <w:ind w:left="500"/>
              <w:spacing w:after="0"/>
              <w:rPr>
                <w:sz w:val="20"/>
                <w:szCs w:val="20"/>
                <w:color w:val="auto"/>
              </w:rPr>
            </w:pPr>
            <w:r>
              <w:rPr>
                <w:rFonts w:ascii="Arial" w:cs="Arial" w:eastAsia="Arial" w:hAnsi="Arial"/>
                <w:sz w:val="16"/>
                <w:szCs w:val="16"/>
                <w:color w:val="auto"/>
              </w:rPr>
              <w:t>Total nuclear decommissioning trust</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227.5</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184.9</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42.6</w:t>
            </w:r>
          </w:p>
        </w:tc>
      </w:tr>
      <w:tr>
        <w:trPr>
          <w:trHeight w:val="33"/>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Rabbi trust</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Core bond fund</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24.8</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24.8</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Combination debt/equity/other fund</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5.6</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5.6</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Cash equivalents</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0.2</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0.2</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rabbi trust</w:t>
            </w: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30.6</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30.4</w:t>
            </w:r>
          </w:p>
        </w:tc>
      </w:tr>
      <w:tr>
        <w:trPr>
          <w:trHeight w:val="231"/>
        </w:trPr>
        <w:tc>
          <w:tcPr>
            <w:tcW w:w="4360" w:type="dxa"/>
            <w:vAlign w:val="bottom"/>
          </w:tcPr>
          <w:p>
            <w:pPr>
              <w:ind w:left="380"/>
              <w:spacing w:after="0"/>
              <w:rPr>
                <w:sz w:val="20"/>
                <w:szCs w:val="20"/>
                <w:color w:val="auto"/>
              </w:rPr>
            </w:pPr>
            <w:r>
              <w:rPr>
                <w:rFonts w:ascii="Arial" w:cs="Arial" w:eastAsia="Arial" w:hAnsi="Arial"/>
                <w:sz w:val="16"/>
                <w:szCs w:val="16"/>
                <w:color w:val="auto"/>
              </w:rPr>
              <w:t>Total</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258.1</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185.1</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73.0</w:t>
            </w:r>
          </w:p>
        </w:tc>
      </w:tr>
      <w:tr>
        <w:trPr>
          <w:trHeight w:val="33"/>
        </w:trPr>
        <w:tc>
          <w:tcPr>
            <w:tcW w:w="4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KCP&amp;L</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Assets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166.6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166.6</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U.S. Treasury</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42.1</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42.1</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Agency</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0.4</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0.4</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State and local obligations</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2.1</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bonds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30.9</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30.9</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Foreign governments</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0.1</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1.7</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Other</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0.7</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0.7</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nuclear decommissioning trust</w:t>
            </w: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244.6</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211.1</w:t>
            </w: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33.5</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4360" w:type="dxa"/>
            <w:vAlign w:val="bottom"/>
          </w:tcPr>
          <w:p>
            <w:pPr>
              <w:ind w:left="200"/>
              <w:spacing w:after="0"/>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5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securities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0.5</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Debt securities</w:t>
            </w:r>
          </w:p>
        </w:tc>
        <w:tc>
          <w:tcPr>
            <w:tcW w:w="500" w:type="dxa"/>
            <w:vAlign w:val="bottom"/>
          </w:tcPr>
          <w:p>
            <w:pPr>
              <w:spacing w:after="0"/>
              <w:rPr>
                <w:sz w:val="20"/>
                <w:szCs w:val="20"/>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3.9</w:t>
            </w:r>
          </w:p>
        </w:tc>
        <w:tc>
          <w:tcPr>
            <w:tcW w:w="400" w:type="dxa"/>
            <w:vAlign w:val="bottom"/>
          </w:tcPr>
          <w:p>
            <w:pPr>
              <w:spacing w:after="0"/>
              <w:rPr>
                <w:sz w:val="20"/>
                <w:szCs w:val="20"/>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0.3</w:t>
            </w:r>
          </w:p>
        </w:tc>
        <w:tc>
          <w:tcPr>
            <w:tcW w:w="46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3.6</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8.0</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8.0</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Pr>
          <w:p>
            <w:pPr>
              <w:ind w:left="380"/>
              <w:spacing w:after="0"/>
              <w:rPr>
                <w:sz w:val="20"/>
                <w:szCs w:val="20"/>
                <w:color w:val="auto"/>
              </w:rPr>
            </w:pPr>
            <w:r>
              <w:rPr>
                <w:rFonts w:ascii="Arial" w:cs="Arial" w:eastAsia="Arial" w:hAnsi="Arial"/>
                <w:sz w:val="16"/>
                <w:szCs w:val="16"/>
                <w:color w:val="auto"/>
              </w:rPr>
              <w:t>Total self-insured health plan trust</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12.4</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8.8</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3.6</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257.0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219.9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37.1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Evergy</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200"/>
              <w:spacing w:after="0"/>
              <w:rPr>
                <w:sz w:val="20"/>
                <w:szCs w:val="20"/>
                <w:color w:val="auto"/>
              </w:rPr>
            </w:pPr>
            <w:r>
              <w:rPr>
                <w:rFonts w:ascii="Arial" w:cs="Arial" w:eastAsia="Arial" w:hAnsi="Arial"/>
                <w:sz w:val="16"/>
                <w:szCs w:val="16"/>
                <w:color w:val="auto"/>
              </w:rPr>
              <w:t>Rabbi trusts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13.2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13.2</w:t>
            </w:r>
          </w:p>
        </w:tc>
      </w:tr>
      <w:tr>
        <w:trPr>
          <w:trHeight w:val="231"/>
        </w:trPr>
        <w:tc>
          <w:tcPr>
            <w:tcW w:w="4360" w:type="dxa"/>
            <w:vAlign w:val="bottom"/>
          </w:tcPr>
          <w:p>
            <w:pPr>
              <w:ind w:left="500"/>
              <w:spacing w:after="0"/>
              <w:rPr>
                <w:sz w:val="20"/>
                <w:szCs w:val="20"/>
                <w:color w:val="auto"/>
              </w:rPr>
            </w:pPr>
            <w:r>
              <w:rPr>
                <w:rFonts w:ascii="Arial" w:cs="Arial" w:eastAsia="Arial" w:hAnsi="Arial"/>
                <w:sz w:val="16"/>
                <w:szCs w:val="16"/>
                <w:color w:val="auto"/>
              </w:rPr>
              <w:t>Total rabbi trusts</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13.2</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13.2</w:t>
            </w:r>
          </w:p>
        </w:tc>
      </w:tr>
      <w:tr>
        <w:trPr>
          <w:trHeight w:val="33"/>
        </w:trPr>
        <w:tc>
          <w:tcPr>
            <w:tcW w:w="4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(c)</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69"/>
        </w:trPr>
        <w:tc>
          <w:tcPr>
            <w:tcW w:w="4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5.4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Evergy</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472.1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396.0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33.5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42.6</w:t>
            </w: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Rabbi trust</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43.8</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43.6</w:t>
            </w:r>
          </w:p>
        </w:tc>
      </w:tr>
      <w:tr>
        <w:trPr>
          <w:trHeight w:val="270"/>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5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12.4</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w:t>
            </w: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3.6</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528.3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405.0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37.1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86.2</w:t>
            </w:r>
          </w:p>
        </w:tc>
      </w:tr>
      <w:tr>
        <w:trPr>
          <w:trHeight w:val="231"/>
        </w:trPr>
        <w:tc>
          <w:tcPr>
            <w:tcW w:w="4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Liabilities</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(c)</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5.4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4360" w:type="dxa"/>
            <w:vAlign w:val="bottom"/>
          </w:tcPr>
          <w:p>
            <w:pPr>
              <w:ind w:left="500"/>
              <w:spacing w:after="0"/>
              <w:rPr>
                <w:sz w:val="20"/>
                <w:szCs w:val="20"/>
                <w:color w:val="auto"/>
              </w:rPr>
            </w:pPr>
            <w:r>
              <w:rPr>
                <w:rFonts w:ascii="Arial" w:cs="Arial" w:eastAsia="Arial" w:hAnsi="Arial"/>
                <w:sz w:val="16"/>
                <w:szCs w:val="16"/>
                <w:color w:val="auto"/>
              </w:rPr>
              <w:t>Total</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5.4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5.4</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40"/>
        </w:trPr>
        <w:tc>
          <w:tcPr>
            <w:tcW w:w="4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2" w:right="239" w:bottom="0" w:gutter="0" w:footer="0" w:header="0"/>
        </w:sectPr>
      </w:pPr>
    </w:p>
    <w:bookmarkStart w:id="42" w:name="page43"/>
    <w:bookmarkEnd w:id="42"/>
    <w:p>
      <w:pPr>
        <w:ind w:left="172" w:hanging="172"/>
        <w:spacing w:after="0"/>
        <w:tabs>
          <w:tab w:leader="none" w:pos="172"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Fair value is based on quoted market prices of the investments held by the trust and/or valuation models.</w:t>
      </w:r>
    </w:p>
    <w:p>
      <w:pPr>
        <w:ind w:left="172" w:right="280" w:hanging="172"/>
        <w:spacing w:after="0" w:line="219" w:lineRule="auto"/>
        <w:tabs>
          <w:tab w:leader="none" w:pos="172"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ind w:left="172" w:hanging="172"/>
        <w:spacing w:after="0" w:line="209" w:lineRule="auto"/>
        <w:tabs>
          <w:tab w:leader="none" w:pos="172"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fair value of interest rate swaps are determined by calculating the net present value of expected payments and receipts under the interest rate swaps using observable market inputs including interest rates and LIBOR swap rates.</w:t>
      </w:r>
    </w:p>
    <w:p>
      <w:pPr>
        <w:spacing w:after="0" w:line="200" w:lineRule="exact"/>
        <w:rPr>
          <w:sz w:val="20"/>
          <w:szCs w:val="20"/>
          <w:color w:val="auto"/>
        </w:rPr>
      </w:pPr>
    </w:p>
    <w:p>
      <w:pPr>
        <w:spacing w:after="0" w:line="238"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12"/>
          </w:cols>
          <w:pgMar w:left="248" w:top="91" w:right="539" w:bottom="1440" w:gutter="0" w:footer="0" w:header="0"/>
        </w:sectPr>
      </w:pPr>
    </w:p>
    <w:bookmarkStart w:id="43" w:name="page44"/>
    <w:bookmarkEnd w:id="4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0" w:right="100"/>
        <w:spacing w:after="0" w:line="260" w:lineRule="auto"/>
        <w:rPr>
          <w:sz w:val="20"/>
          <w:szCs w:val="20"/>
          <w:color w:val="auto"/>
        </w:rPr>
      </w:pPr>
      <w:r>
        <w:rPr>
          <w:rFonts w:ascii="Arial" w:cs="Arial" w:eastAsia="Arial" w:hAnsi="Arial"/>
          <w:sz w:val="20"/>
          <w:szCs w:val="20"/>
          <w:color w:val="auto"/>
        </w:rPr>
        <w:t>Certain Evergy and Westar Energy investments included in the table above are measured at NAV as they do not have readily determinable fair values. In certain situations, these investments may have redemption restrictions.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following table provides additional information on these Evergy and Westar Energy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165100</wp:posOffset>
            </wp:positionV>
            <wp:extent cx="72123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3"/>
          </w:tcPr>
          <w:p>
            <w:pPr>
              <w:jc w:val="right"/>
              <w:ind w:right="711"/>
              <w:spacing w:after="0"/>
              <w:rPr>
                <w:sz w:val="20"/>
                <w:szCs w:val="20"/>
                <w:color w:val="auto"/>
              </w:rPr>
            </w:pPr>
            <w:r>
              <w:rPr>
                <w:rFonts w:ascii="Arial" w:cs="Arial" w:eastAsia="Arial" w:hAnsi="Arial"/>
                <w:sz w:val="18"/>
                <w:szCs w:val="18"/>
                <w:b w:val="1"/>
                <w:bCs w:val="1"/>
                <w:color w:val="auto"/>
              </w:rPr>
              <w:t>June 30, 2019</w:t>
            </w:r>
          </w:p>
        </w:tc>
        <w:tc>
          <w:tcPr>
            <w:tcW w:w="360" w:type="dxa"/>
            <w:vAlign w:val="bottom"/>
          </w:tcPr>
          <w:p>
            <w:pPr>
              <w:spacing w:after="0"/>
              <w:rPr>
                <w:sz w:val="20"/>
                <w:szCs w:val="20"/>
                <w:color w:val="auto"/>
              </w:rPr>
            </w:pPr>
          </w:p>
        </w:tc>
        <w:tc>
          <w:tcPr>
            <w:tcW w:w="1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 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ind w:left="82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20"/>
                <w:szCs w:val="20"/>
                <w:color w:val="auto"/>
              </w:rPr>
            </w:pP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Unfunded</w:t>
            </w:r>
          </w:p>
        </w:tc>
        <w:tc>
          <w:tcPr>
            <w:tcW w:w="36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Fair</w:t>
            </w:r>
          </w:p>
        </w:tc>
        <w:tc>
          <w:tcPr>
            <w:tcW w:w="122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Unfunded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Length of</w:t>
            </w:r>
          </w:p>
        </w:tc>
      </w:tr>
      <w:tr>
        <w:trPr>
          <w:trHeight w:val="270"/>
        </w:trPr>
        <w:tc>
          <w:tcPr>
            <w:tcW w:w="3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23"/>
                <w:szCs w:val="23"/>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b w:val="1"/>
                <w:bCs w:val="1"/>
                <w:color w:val="auto"/>
                <w:w w:val="93"/>
              </w:rPr>
              <w:t>Commitments</w:t>
            </w:r>
          </w:p>
        </w:tc>
        <w:tc>
          <w:tcPr>
            <w:tcW w:w="3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Value</w:t>
            </w: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Commitments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Westar Energy</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Domestic equity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70"/>
        </w:trPr>
        <w:tc>
          <w:tcPr>
            <w:tcW w:w="3180" w:type="dxa"/>
            <w:vAlign w:val="bottom"/>
          </w:tcPr>
          <w:p>
            <w:pPr>
              <w:ind w:left="16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21"/>
                <w:szCs w:val="21"/>
                <w:color w:val="auto"/>
                <w:vertAlign w:val="superscript"/>
              </w:rPr>
              <w:t>(b)</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22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Quarterly</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70"/>
        </w:trPr>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21"/>
                <w:szCs w:val="21"/>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Quarterly</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37"/>
        </w:trPr>
        <w:tc>
          <w:tcPr>
            <w:tcW w:w="318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42.6</w:t>
            </w:r>
          </w:p>
        </w:tc>
        <w:tc>
          <w:tcPr>
            <w:tcW w:w="12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Rabbi trust: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160"/>
              <w:spacing w:after="0"/>
              <w:rPr>
                <w:sz w:val="20"/>
                <w:szCs w:val="20"/>
                <w:color w:val="auto"/>
              </w:rPr>
            </w:pPr>
            <w:r>
              <w:rPr>
                <w:rFonts w:ascii="Arial" w:cs="Arial" w:eastAsia="Arial" w:hAnsi="Arial"/>
                <w:sz w:val="18"/>
                <w:szCs w:val="18"/>
                <w:color w:val="auto"/>
              </w:rPr>
              <w:t>Core bond fund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2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Combination debt/equity/other fund</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37"/>
        </w:trPr>
        <w:tc>
          <w:tcPr>
            <w:tcW w:w="318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12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Evergy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Rabbi trusts: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 income fund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2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37"/>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88.5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86.2</w:t>
            </w:r>
          </w:p>
        </w:tc>
        <w:tc>
          <w:tcPr>
            <w:tcW w:w="12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4.3</w:t>
            </w:r>
          </w:p>
        </w:tc>
        <w:tc>
          <w:tcPr>
            <w:tcW w:w="10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2123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4" w:lineRule="exact"/>
        <w:rPr>
          <w:sz w:val="20"/>
          <w:szCs w:val="20"/>
          <w:color w:val="auto"/>
        </w:rPr>
      </w:pPr>
    </w:p>
    <w:p>
      <w:pPr>
        <w:ind w:left="180" w:right="80" w:hanging="172"/>
        <w:spacing w:after="0" w:line="247" w:lineRule="auto"/>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 occurred in the second quarter of 2016 and first quarter of 2018, respectively. The fourth fund's term is 15 years, subject to the general partner's right to extend the term for up to three additional one-year periods. The fifth fund's term will be 15 years after the initial closing date, subject to additional extensions approved by the Advisory Committee to provide for an orderly liquidation of fund investments and dissolution of the fund.</w:t>
      </w:r>
    </w:p>
    <w:p>
      <w:pPr>
        <w:ind w:left="180" w:hanging="172"/>
        <w:spacing w:after="0" w:line="187" w:lineRule="auto"/>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There is a holdback on final redemptions.</w:t>
      </w:r>
    </w:p>
    <w:p>
      <w:pPr>
        <w:ind w:left="180" w:hanging="172"/>
        <w:spacing w:after="0" w:line="182" w:lineRule="auto"/>
        <w:tabs>
          <w:tab w:leader="none" w:pos="18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This investment can be redeemed immediately and is not subject to any restrictions on redemptions.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Westar Energy. The Evergy Companies record net realized and unrealized gains and losses on the nuclear decommissioning trusts in regulatory liabilities on their consolidated balance sheets and record net realized and unrealized gains and losses on Westar Energy's rabbi trust in the consolidated statements of income and comprehensive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6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Year to Date</w:t>
            </w:r>
          </w:p>
        </w:tc>
        <w:tc>
          <w:tcPr>
            <w:tcW w:w="108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4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r>
      <w:tr>
        <w:trPr>
          <w:trHeight w:val="270"/>
        </w:trPr>
        <w:tc>
          <w:tcPr>
            <w:tcW w:w="48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Westar Energy</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gridSpan w:val="2"/>
          </w:tcPr>
          <w:p>
            <w:pPr>
              <w:jc w:val="right"/>
              <w:ind w:right="650"/>
              <w:spacing w:after="0"/>
              <w:rPr>
                <w:sz w:val="20"/>
                <w:szCs w:val="20"/>
                <w:color w:val="auto"/>
              </w:rPr>
            </w:pPr>
            <w:r>
              <w:rPr>
                <w:rFonts w:ascii="Arial" w:cs="Arial" w:eastAsia="Arial" w:hAnsi="Arial"/>
                <w:sz w:val="16"/>
                <w:szCs w:val="16"/>
                <w:color w:val="auto"/>
              </w:rPr>
              <w:t>(millions)</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decommissioning trust - equity securities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1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Rabbi trust - equity securities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1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8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1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KCP&amp;L</w:t>
            </w:r>
            <w:r>
              <w:rPr>
                <w:rFonts w:ascii="Arial" w:cs="Arial" w:eastAsia="Arial" w:hAnsi="Arial"/>
                <w:sz w:val="25"/>
                <w:szCs w:val="25"/>
                <w:b w:val="1"/>
                <w:bCs w:val="1"/>
                <w:color w:val="auto"/>
                <w:vertAlign w:val="superscript"/>
              </w:rPr>
              <w:t>(a)</w:t>
            </w: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decommissioning trust - equity securities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1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Nuclear decommissioning trust - debt securities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1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8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1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decommissioning trust - equity securities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1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Nuclear decommissioning trust - debt securities</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1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Rabbi trusts - equity securities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482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11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c>
          <w:tcPr>
            <w:tcW w:w="11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w:t>
            </w:r>
          </w:p>
        </w:tc>
        <w:tc>
          <w:tcPr>
            <w:tcW w:w="6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KCP&amp;L amounts are included in consolidated Evergy from June 4, 2018, the date of the closing of the merger, and thereafter.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Cross-State Air Pollution Update Rule</w:t>
      </w:r>
    </w:p>
    <w:p>
      <w:pPr>
        <w:spacing w:after="0" w:line="16"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In September 2016, the Environmental Protection Agency (EPA) finalized the Cross-State Air Pollution Update Rule (CSAPR). The final rule addresses interstate transport of nitrogen oxides emissions in 22 states including Kansas, Missouri and Oklahoma during the ozone season and the impact from the formation of ozone on downwind states with respect to the 2008 ozone National Ambient Air Quality Standards (NAAQS). Starting with the 2017 ozone season, the final rule revised the existing ozone season allowance budgets for Missouri and Oklahoma and established an ozone season budget for Kansas. In December 2018, the EPA finalized the CSAPR Close-Out Rule, which determined that the existing CSAPR Update Rule fully addresses applicable states' interstate pollution transport obligations for the 2008 ozone NAAQS. Therefore, the EPA is proposing no additional reduction in the current ozone season allowance budgets in order to address obligations for the 2008 ozone NAAQS. Various states and others are challenging the rule in the U.S. Court of Appeals for the D.C. Circuit (D.C. Circuit), but the rule remains in effect. It is not expected that this rule will have a material impact on the Evergy Companies' operations and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National Ambient Air Quality Standards</w:t>
      </w:r>
    </w:p>
    <w:p>
      <w:pPr>
        <w:spacing w:after="0" w:line="16"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Under the Clean Air Act Amendments of 1990 (CAA), the EPA set NAAQS for certain emissions known as the "criteria pollutants" considered harmful to public health and the environment, including two classes of particulate matter (PM), ozone, nitrogen dioxide (NO</w:t>
      </w:r>
      <w:r>
        <w:rPr>
          <w:rFonts w:ascii="Arial" w:cs="Arial" w:eastAsia="Arial" w:hAnsi="Arial"/>
          <w:sz w:val="11"/>
          <w:szCs w:val="11"/>
          <w:color w:val="auto"/>
        </w:rPr>
        <w:t>2</w:t>
      </w:r>
      <w:r>
        <w:rPr>
          <w:rFonts w:ascii="Arial" w:cs="Arial" w:eastAsia="Arial" w:hAnsi="Arial"/>
          <w:sz w:val="18"/>
          <w:szCs w:val="18"/>
          <w:color w:val="auto"/>
        </w:rPr>
        <w:t>) (a precursor to ozone), carbon monoxide and sulfur dioxide (SO</w:t>
      </w:r>
      <w:r>
        <w:rPr>
          <w:rFonts w:ascii="Arial" w:cs="Arial" w:eastAsia="Arial" w:hAnsi="Arial"/>
          <w:sz w:val="11"/>
          <w:szCs w:val="11"/>
          <w:color w:val="auto"/>
        </w:rPr>
        <w:t>2</w:t>
      </w:r>
      <w:r>
        <w:rPr>
          <w:rFonts w:ascii="Arial" w:cs="Arial" w:eastAsia="Arial" w:hAnsi="Arial"/>
          <w:sz w:val="18"/>
          <w:szCs w:val="18"/>
          <w:color w:val="auto"/>
        </w:rPr>
        <w:t>), which result from fossil fuel combustion. Areas meeting the NAAQS are designated attainment areas while those that do not meet the NAAQS are considered nonattainment areas. Each state must develop a plan to bring nonattainment areas into compliance with the NAAQS. NAAQS must be reviewed by the EPA at five-year intervals.</w:t>
      </w:r>
    </w:p>
    <w:p>
      <w:pPr>
        <w:spacing w:after="0" w:line="166" w:lineRule="exact"/>
        <w:rPr>
          <w:sz w:val="20"/>
          <w:szCs w:val="20"/>
          <w:color w:val="auto"/>
        </w:rPr>
      </w:pPr>
    </w:p>
    <w:p>
      <w:pPr>
        <w:ind w:right="480"/>
        <w:spacing w:after="0" w:line="291" w:lineRule="auto"/>
        <w:rPr>
          <w:sz w:val="20"/>
          <w:szCs w:val="20"/>
          <w:color w:val="auto"/>
        </w:rPr>
      </w:pPr>
      <w:r>
        <w:rPr>
          <w:rFonts w:ascii="Arial" w:cs="Arial" w:eastAsia="Arial" w:hAnsi="Arial"/>
          <w:sz w:val="18"/>
          <w:szCs w:val="18"/>
          <w:color w:val="auto"/>
        </w:rPr>
        <w:t>In October 2015, the EPA strengthened the ozone NAAQS by lowering the standards from 75 ppb to 70 ppb. In November 2017, the EPA designated all counties in the State of Kansas as well as the Missouri counties in KCP&amp;L's and GMO's service territories as attainment/unclassifiable. It is not expected that this will have a material impact on the Evergy Companies' consolidated financial results.</w:t>
      </w:r>
    </w:p>
    <w:p>
      <w:pPr>
        <w:spacing w:after="0" w:line="152"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If areas surrounding the Evergy Companies' facilities are designated in the future as nonattainment and/or it is required to install additional equipment to control emissions at facilities of the Evergy Companies, it could have a material impact on the operations and consolidated financial results of the Evergy Companies.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16"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Burning coal and other fossil fuels releases carbon dioxide (CO</w:t>
      </w:r>
      <w:r>
        <w:rPr>
          <w:rFonts w:ascii="Arial" w:cs="Arial" w:eastAsia="Arial" w:hAnsi="Arial"/>
          <w:sz w:val="12"/>
          <w:szCs w:val="12"/>
          <w:color w:val="auto"/>
        </w:rPr>
        <w:t>2</w:t>
      </w:r>
      <w:r>
        <w:rPr>
          <w:rFonts w:ascii="Arial" w:cs="Arial" w:eastAsia="Arial" w:hAnsi="Arial"/>
          <w:sz w:val="20"/>
          <w:szCs w:val="20"/>
          <w:color w:val="auto"/>
        </w:rPr>
        <w:t>) and other gases referred to as greenhouse gases (GHG). Various regulations under the federal CAA limit CO</w:t>
      </w:r>
      <w:r>
        <w:rPr>
          <w:rFonts w:ascii="Arial" w:cs="Arial" w:eastAsia="Arial" w:hAnsi="Arial"/>
          <w:sz w:val="12"/>
          <w:szCs w:val="12"/>
          <w:color w:val="auto"/>
        </w:rPr>
        <w:t>2</w:t>
      </w:r>
      <w:r>
        <w:rPr>
          <w:rFonts w:ascii="Arial" w:cs="Arial" w:eastAsia="Arial" w:hAnsi="Arial"/>
          <w:sz w:val="20"/>
          <w:szCs w:val="20"/>
          <w:color w:val="auto"/>
        </w:rPr>
        <w:t xml:space="preserve"> and other GHG emissions, and in addition, other measures are being imposed or offered by individual states, municipalities and regional agreements with the goal of reducing GHG emissions.</w:t>
      </w:r>
    </w:p>
    <w:p>
      <w:pPr>
        <w:spacing w:after="0" w:line="19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October 2015, the EPA published a rule establishing new source performance standards (NSPS) for GHGs that limit CO</w:t>
      </w:r>
      <w:r>
        <w:rPr>
          <w:rFonts w:ascii="Arial" w:cs="Arial" w:eastAsia="Arial" w:hAnsi="Arial"/>
          <w:sz w:val="10"/>
          <w:szCs w:val="10"/>
          <w:color w:val="auto"/>
        </w:rPr>
        <w:t>2</w:t>
      </w:r>
      <w:r>
        <w:rPr>
          <w:rFonts w:ascii="Arial" w:cs="Arial" w:eastAsia="Arial" w:hAnsi="Arial"/>
          <w:sz w:val="16"/>
          <w:szCs w:val="16"/>
          <w:color w:val="auto"/>
        </w:rPr>
        <w:t xml:space="preserve"> emissions for new, modified and reconstructed coal and natural gas fueled electric generating units to various levels per MWh depending on various characteristics of the units. Legal challenges to the GHG NSPS have been filed in the D.C. Circuit by various states and industry members. Also, in October 2015, the EPA published a rule establishing guidelines for states to regulate CO</w:t>
      </w:r>
      <w:r>
        <w:rPr>
          <w:rFonts w:ascii="Arial" w:cs="Arial" w:eastAsia="Arial" w:hAnsi="Arial"/>
          <w:sz w:val="10"/>
          <w:szCs w:val="10"/>
          <w:color w:val="auto"/>
        </w:rPr>
        <w:t>2</w:t>
      </w:r>
      <w:r>
        <w:rPr>
          <w:rFonts w:ascii="Arial" w:cs="Arial" w:eastAsia="Arial" w:hAnsi="Arial"/>
          <w:sz w:val="16"/>
          <w:szCs w:val="16"/>
          <w:color w:val="auto"/>
        </w:rPr>
        <w:t xml:space="preserve"> emissions from existing power plants. The standards for existing plants are known as the Clean Power Plan (CPP). Under the CPP, achievement of interim emissions performance rates would have been required beginning in 2022 and final emissions performance rates would have been required by 2030. Legal challenges to the CPP were filed by groups of states and industry members, including Westar Energy, in the D.C. Circuit. The CPP was stayed by the Supreme Court in February 2016 and the D.C. Circuit has subsequently held the litigation in abeyance. Accordingly, the CPP was not implemented by the states.</w:t>
      </w:r>
    </w:p>
    <w:p>
      <w:pPr>
        <w:spacing w:after="0" w:line="14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April 2017, the EPA published in the Federal Register a notice of withdrawal of the proposed CPP federal plan, proposed model trading rules and proposed Clean Energy Incentive Program design details. Also, in April 2017, the EPA published a notice in the Federal Register that it was initiating administrative reviews of the CPP and the GHG NSPS.</w:t>
      </w:r>
    </w:p>
    <w:p>
      <w:pPr>
        <w:spacing w:after="0" w:line="18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In October 2017, the EPA issued a proposed rule to repeal the CPP. The proposed rule indicates the CPP exceeds the EPA’s authority. The EPA solicited comments on the legal interpretations contained in this rulemaking.</w:t>
      </w:r>
    </w:p>
    <w:p>
      <w:pPr>
        <w:spacing w:after="0" w:line="17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In August 2018, the EPA published in the Federal Register proposed regulations, which contained (1) emission guidelines for GHG emissions from existing electric utility generating units (EGUs), (2) revisions to emission guideline implementing regulations and (3) revisions to the new source review (NSR) program. These emission guidelines are better known as the Affordable Clean Energy (ACE) Rule. In July 2019, the EPA published in the Federal Register the final ACE Rule with one significant change from the proposal. The NSR program revisions were not included in the final version and are expected to be addressed in a future rulemaking. The ACE Rule establishes emission guidelines for states to use in the development of plans to reduce GHG emissions from existing coal-fired EGUs. This rule defines the "best system of emission reduction" (BSER) for GHG emissions from existing coal-fired EGUs as on-site, heat-rate efficiency improvements. The final rule also provides states with a list of candidate technologies that can be used to establish standards of performance and incorporate these performance standards into state plans. In order for the states to be able to effectively implement the emission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guidelines contained in the ACE Rule, the EPA is finalizing new regulations under 111(d) of the CAA to help clarify this process. The ACE Rule becomes effective in September 2019. In conjunction with the finalization of the ACE Rule, the EPA also repealed the CPP.</w:t>
      </w:r>
    </w:p>
    <w:p>
      <w:pPr>
        <w:spacing w:after="0" w:line="130"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In December 2018, the EPA released a proposed rule to revise the existing GHG NSPS for new, modified and reconstructed fossil fuel-fired EGUs, which was issued in October 2015. This proposed rule would determine that BSER for new EGUs is "the most efficient demonstrated steam cycle (e.g. supercritical steam conditions for large units and subcritical steam conditions for small units) in combination with the best operating practices." This replaces the current determination that BSER for these units is the use of partial carbon capture and sequestration technology. The EPA is also proposing to address, in potential future rule making, existing operational limitations imposed by the rule on aero-derivative simple cycle combustion turbines.</w:t>
      </w:r>
    </w:p>
    <w:p>
      <w:pPr>
        <w:spacing w:after="0" w:line="197"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Due to uncertainty regarding what future state implementation plans will require for compliance with the ACE Rule as well as legal challenges that have been filed, the Evergy Companies cannot determine the impact on their operations or consolidated financial results, but the cost to comply with the ACE Rule, should it be upheld and implemented in its current or a substantially similar form could be material.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Evergy Companies discharge some of the water used in generation and other operations. This water may contain substances deemed to be pollutants. A November 2015 EPA rule establishes effluent limitations guidelines (ELG) and standards for wastewater discharges, including limits on the amount of toxic metals and other pollutants that can be discharged. Implementation timelines for these requirements vary from 2018 to 2023. In April 2017, the EPA announced it is reconsidering the ELG rule. In September 2017, the EPA finalized a rule to postpone the compliance dates for the new, more stringent, effluent limitations and pretreatment standards for bottom ash transport water and flue gas desulfurization wastewater. These compliance dates have been postponed for two years while the EPA completes its administrative reconsideration of the ELG rule. In April 2019, the U.S. Court of Appeals for the 5th Circuit (5th Circuit) issued a ruling that vacates and remands portions of the ELG rule. The 5th Circuit ruled in favor of environmental groups who argued that EPA did not set appropriate limits for the best available technology economically achievable for legacy waste water and leachate. The Evergy Companies are evaluating the 5th Circuit ruling, the existing ELG rule and related developments and cannot predict the resulting impact on their operations or consolidated financial results but believe costs to comply could be material if the rule is implemented in its current or substantially similar form.</w:t>
      </w:r>
    </w:p>
    <w:p>
      <w:pPr>
        <w:spacing w:after="0" w:line="380"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In October 2014, the EPA's final standards for cooling intake structures at power plants to protect aquatic life took effect. The standards, based on Section 316(b) of the federal Clean Water Act (CWA), require subject facilities to choose among seven best available technology options to reduce fish impingement. In addition, some facilities must conduct studies to assist permitting authorities to determine whether and what site-specific controls, if any, would be required to reduce entrainment of aquatic organisms. The Evergy Companies' current analysis indicates this rule will not have a significant impact on their coal plants that employ cooling towers or cooling lakes that can be classified as closed cycle cooling and do not expect the impact from this rule to be material. Plants without closed cycle cooling are under evaluation for compliance with these standards and may require additional controls that could be material.</w:t>
      </w:r>
    </w:p>
    <w:p>
      <w:pPr>
        <w:spacing w:after="0" w:line="16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KCP&amp;L holds a permit from the Missouri Department of Natural Resources (MDNR) covering water discharge from its Hawthorn Station. The permit authorizes KCP&amp;L to, among other things, withdraw water from the Missouri River for cooling purposes and return the heated water to the Missouri River. KCP&amp;L has applied for a renewal of this permit and the EPA has submitted an interim objection letter regarding the allowable amount of heat that can be contained in the returned water. Until this matter is resolved, KCP&amp;L continues to operate under its current permit. Evergy and KCP&amp;L cannot predict the outcome of this matter; however, while less significant outcomes are possible, this matter may require a reduction in generation, installation of cooling towers or other technology to cool the water, or both, any of which could have a material impact on Evergy's and KCP&amp;L's operations and consolidated financial results.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In June 2015, the EPA along with the U.S. Army Corps of Engineers issued a final rule, effective August 2015, defining the Waters of the United States (WOTUS) for purposes of the CWA. This rulemaking has the potential to impact all programs under the CWA. Expansion of regulated waterways is possible under the rule depending on regulating authority interpretation, which could impact several permitting programs. Various states and others have filed lawsuits challenging the WOTUS rule. In February 2018, the EPA and the U.S. Army Corps of Engineers finalized a rule adding an applicability date to the 2015 rule, which makes the implementation date of the rule February 2020. In December 2018, the EPA and the U.S. Army Corps of Engineers published in the Federal Register a proposed rule titled "Revised Definition of Waters of the United States." This proposed rule narrows the extent of the CWA jurisdiction as compared to the 2015 rule. The Evergy Companies are currently evaluating the WOTUS rule and related developments, but do not believe the rule, if upheld and implemented in its current or substantially similar form, will have a material impact on the Evergy Companies' operations or consolidated financial results.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1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the course of operating their coal generation plants, the Evergy Companies produce coal combustion residuals (CCRs), including fly ash, gypsum and bottom ash. Some of this ash production is recycled, principally by selling to the aggregate industry. The EPA published a rule to regulate CCRs in April 2015, which will require additional CCR handling, processing and storage equipment and closure of certain ash disposal units. The Water Infrastructure Improvements for the Nation (WIIN) Act allows states to achieve delegated authority for CCR rules from the EPA. This has the potential to impact compliance options. In July 2018, the Kansas Department of Health and Environment (KDHE) submitted a CCR permit program application to the EPA under authority of the WIIN Act. In November 2018, KDHE received notice from the EPA that its application is deficient and requested additional clarifying information. KDHE has decided it is not going to move forward with additional submittals at this time and will wait until current legal action associated with the CCR rule is final along with planned upcoming modifications to the CCR rule. In February 2019, MDNR issued a proposed CCR rule. Similar to Kansas, EPA expressed concerns that the Missouri rule was not as protective as the federal rule. As a result, MDNR has decided to not issue a final rule at this time and to wait until legal action and planned upcoming modifications to the CCR rule are complete.</w:t>
      </w:r>
    </w:p>
    <w:p>
      <w:pPr>
        <w:spacing w:after="0" w:line="17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On July 30, 2018, the EPA published in the Federal Register a final rule called the Phase I, Part I CCR Remand Rule to modify portions of the 2015 rulemaking. The Phase I, Part I rule provides a timeline extension for unlined impoundments and landfills that must close due to groundwater impacts or location restrictions. The rule also sets risk-based limits for certain groundwater constituents where a maximum contaminant level did not previously exist. These rule modifications add flexibility when assessing compliance.</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On August 21, 2018, the D.C. Circuit issued a ruling in the CCR rule litigation between the Utility Solid Waste Activities Group, the EPA and environmental organizations. Portions of the rule were vacated and were remanded back to the EPA for potential modification. Potential revisions to remanded sections will force all unlined surface impoundments to close regardless of groundwater conditions. Any changes to the rule based on this court decision will require additional rulemaking from the EPA. In October 2018, a coalition of environmental groups (including Sierra Club) filed a petition for review in the D.C. Circuit challenging the Phase I, Part I revisions to the CCR Rule. In November 2018, this coalition requested the EPA to stay the October 31, 2020, deadline extension for initiating closure for unlined impoundments and landfills that must close due to groundwater impacts or location restrictions. The EPA rejected this request and the coalition filed a petition with the D.C. Circuit for a similar stay. In response, the EPA filed a motion with the D.C. Circuit to voluntarily remand without vacatur the Part I, Phase I rule. In March 2019, the D.C. Circuit issued a ruling to grant EPA's motion to remand the rule without vacatur. This ruling maintains the current October 31, 2020, deadline extension. As EPA works on a rule modification, it is possible that this October 31, 2020, deadline will be modified. If the date is accelerated, some CCR units in the Evergy Companies' fleet could have to initiate closure on an earlier timeline than currently planned, the results of which could be material.</w:t>
      </w:r>
    </w:p>
    <w:p>
      <w:pPr>
        <w:spacing w:after="0" w:line="185"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The Evergy Companies have recorded asset retirement obligations (AROs) for their current estimates for the closure of ash disposal ponds, but the revision of these AROs may be required in the future due to changes in existing CCR regulations, the results of groundwater monitoring of CCR units or changes in interpretation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existing CCR regulations or changes in the timing or cost to close ash disposal ponds. If revisions to these AROs are necessary, the impact on the Evergy Companies' operations or consolidated financial results could be material.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RELATED PARTY TRANSACTIONS AND RELATIONSHIPS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normal course of business, Westar Energy, KCP&amp;L and GMO engage in related party transactions with one another. A summary of these transactions and the amounts associated with them is provided below. Transactions between Westar Energy and either KCP&amp;L or GMO prior to June 4, 2018, the date of the merger, are not reflected below.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KCP&amp;L employees manage GMO's business and operate its facilities at cost, including GMO's 18% ownership interest in KCP&amp;L's Iatan Nos. 1 and 2. The operating expenses and capital costs billed from KCP&amp;L to GMO were $42.2 million and $84.2 million for the three months ended and year to date June 30, 2019, respectively. These costs totaled $49.8 million and $96.2 million for the three months ended and year to date June 30, 2018, respectively.</w:t>
      </w:r>
    </w:p>
    <w:p>
      <w:pPr>
        <w:spacing w:after="0" w:line="195" w:lineRule="exact"/>
        <w:rPr>
          <w:sz w:val="20"/>
          <w:szCs w:val="20"/>
          <w:color w:val="auto"/>
        </w:rPr>
      </w:pPr>
    </w:p>
    <w:p>
      <w:pPr>
        <w:ind w:right="300"/>
        <w:spacing w:after="0" w:line="263" w:lineRule="auto"/>
        <w:rPr>
          <w:sz w:val="20"/>
          <w:szCs w:val="20"/>
          <w:color w:val="auto"/>
        </w:rPr>
      </w:pPr>
      <w:r>
        <w:rPr>
          <w:rFonts w:ascii="Arial" w:cs="Arial" w:eastAsia="Arial" w:hAnsi="Arial"/>
          <w:sz w:val="19"/>
          <w:szCs w:val="19"/>
          <w:color w:val="auto"/>
        </w:rPr>
        <w:t>Westar Energy employees manage Jeffrey Energy Center and operate its facilities at cost, including GMO's 8% ownership interest in Jeffrey Energy Center. The operating expenses and capital costs billed from Westar Energy to GMO for Jeffrey Energy Center and other various business activities were $6.4 million and $12.7 million for the three months ended and year to date June 30, 2019, respectively. These costs totaled $3.7 million for the three months ended and year to date June 30, 2018.</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KCP&amp;L employees manage La Cygne Station and operate its facilities at cost, including Westar Energy's 50% ownership interest in La Cygne Station. KCP&amp;L and Westar Energy employees also provide one another with shared service support, including costs related to human resources, information technology, accounting and legal services. The operating expenses and capital costs billed from KCP&amp;L to Westar Energy were $44.3 million and $75.8 million for the three months ended and year to date June 30, 2019, respectively. These costs totaled $15.3 million for the three months and year to date June 30, 2018. The operating and capital costs billed from Westar Energy to KCP&amp;L were $8.9 million and $16.3 million for the three months ended and year to date June 30, 2019, respectively. These costs totaled $6.0 million for the three months ended and year to date June 30, 2018,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2"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KCP&amp;L and GMO are also authorized to participate in the Evergy, Inc. money pool, an internal financing arrangement in which funds may be lent on a short-term basis to KCP&amp;L and GMO from Evergy, Inc. and between KCP&amp;L and GMO. At June 30, 2019 and December 31, 2018, KCP&amp;L had no outstanding receivables or payables under the money pool.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Westar Energy's and KCP&amp;L's related party net receivables and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154940</wp:posOffset>
            </wp:positionV>
            <wp:extent cx="72123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408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spacing w:after="0"/>
              <w:rPr>
                <w:sz w:val="23"/>
                <w:szCs w:val="23"/>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40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Westar Energy</w:t>
            </w:r>
          </w:p>
        </w:tc>
        <w:tc>
          <w:tcPr>
            <w:tcW w:w="3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Arial" w:cs="Arial" w:eastAsia="Arial" w:hAnsi="Arial"/>
                <w:sz w:val="16"/>
                <w:szCs w:val="16"/>
                <w:color w:val="auto"/>
              </w:rPr>
              <w:t>(millions)</w:t>
            </w:r>
          </w:p>
        </w:tc>
        <w:tc>
          <w:tcPr>
            <w:tcW w:w="152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receivable from GMO</w:t>
            </w:r>
          </w:p>
        </w:tc>
        <w:tc>
          <w:tcPr>
            <w:tcW w:w="3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Net payable to KCP&amp;L</w:t>
            </w:r>
          </w:p>
        </w:tc>
        <w:tc>
          <w:tcPr>
            <w:tcW w:w="37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860" w:type="dxa"/>
            <w:vAlign w:val="bottom"/>
          </w:tcPr>
          <w:p>
            <w:pPr>
              <w:spacing w:after="0"/>
              <w:rPr>
                <w:sz w:val="21"/>
                <w:szCs w:val="21"/>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(13.5)</w:t>
            </w:r>
          </w:p>
        </w:tc>
      </w:tr>
      <w:tr>
        <w:trPr>
          <w:trHeight w:val="27"/>
        </w:trPr>
        <w:tc>
          <w:tcPr>
            <w:tcW w:w="4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payable to Evergy</w:t>
            </w:r>
          </w:p>
        </w:tc>
        <w:tc>
          <w:tcPr>
            <w:tcW w:w="3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r>
      <w:tr>
        <w:trPr>
          <w:trHeight w:val="297"/>
        </w:trPr>
        <w:tc>
          <w:tcPr>
            <w:tcW w:w="40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KCP&amp;L</w:t>
            </w:r>
          </w:p>
        </w:tc>
        <w:tc>
          <w:tcPr>
            <w:tcW w:w="3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Net receivable from GMO</w:t>
            </w:r>
          </w:p>
        </w:tc>
        <w:tc>
          <w:tcPr>
            <w:tcW w:w="3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72.6</w:t>
            </w:r>
          </w:p>
        </w:tc>
      </w:tr>
      <w:tr>
        <w:trPr>
          <w:trHeight w:val="27"/>
        </w:trPr>
        <w:tc>
          <w:tcPr>
            <w:tcW w:w="4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receivable from Westar Energy</w:t>
            </w:r>
          </w:p>
        </w:tc>
        <w:tc>
          <w:tcPr>
            <w:tcW w:w="3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13.5</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37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c>
          <w:tcPr>
            <w:tcW w:w="860" w:type="dxa"/>
            <w:vAlign w:val="bottom"/>
          </w:tcPr>
          <w:p>
            <w:pPr>
              <w:spacing w:after="0"/>
              <w:rPr>
                <w:sz w:val="21"/>
                <w:szCs w:val="21"/>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15.7</w:t>
            </w:r>
          </w:p>
        </w:tc>
      </w:tr>
      <w:tr>
        <w:trPr>
          <w:trHeight w:val="34"/>
        </w:trPr>
        <w:tc>
          <w:tcPr>
            <w:tcW w:w="40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891"/>
        </w:trPr>
        <w:tc>
          <w:tcPr>
            <w:tcW w:w="4080" w:type="dxa"/>
            <w:vAlign w:val="bottom"/>
          </w:tcPr>
          <w:p>
            <w:pPr>
              <w:spacing w:after="0"/>
              <w:rPr>
                <w:sz w:val="24"/>
                <w:szCs w:val="24"/>
                <w:color w:val="auto"/>
              </w:rPr>
            </w:pPr>
          </w:p>
        </w:tc>
        <w:tc>
          <w:tcPr>
            <w:tcW w:w="3720" w:type="dxa"/>
            <w:vAlign w:val="bottom"/>
          </w:tcPr>
          <w:p>
            <w:pPr>
              <w:jc w:val="right"/>
              <w:ind w:right="1950"/>
              <w:spacing w:after="0"/>
              <w:rPr>
                <w:sz w:val="20"/>
                <w:szCs w:val="20"/>
                <w:color w:val="auto"/>
              </w:rPr>
            </w:pPr>
            <w:r>
              <w:rPr>
                <w:rFonts w:ascii="Arial" w:cs="Arial" w:eastAsia="Arial" w:hAnsi="Arial"/>
                <w:sz w:val="18"/>
                <w:szCs w:val="18"/>
                <w:color w:val="auto"/>
              </w:rPr>
              <w:t>46</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As of June 30, 2019 and December 31, 2018, Westar Energy had income taxes payable to Evergy of $1.3 million and taxes receivable from Evergy of $42.7 million, respectively. As of June 30, 2019 and December 31, 2018, KCP&amp;L had income taxes payable to Evergy of $25.7 million and $2.0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KCP&amp;L leases certain transmission equipment from Westar Energy. This lease was entered into prior to the merger in an arms-length transaction and is accounted for as an operating lease. As of June 30, 2019, KCP&amp;L had a right-of-use asset of $29.8 million recorded within other long-term assets, $0.6 million of lease liability recorded in other current liabilities and $29.2 million of lease liability recorded in other long-term liabilities on its consolidated balance sheet related to this lease. The assets and liabilities related to this lease between Westar Energy and KCP&amp;L are eliminated at consolidated Evergy.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SHAREHOLDERS'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 Program</w:t>
      </w:r>
    </w:p>
    <w:p>
      <w:pPr>
        <w:spacing w:after="0" w:line="22"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In July 2018, the Evergy Board authorized the repurchase of up to 60 million shares of Evergy's common stock. Although this repurchase authorization has no expiration date, Evergy expects to repurchase approximately 60 million shares by mid-2020. Evergy is utilizing and plans to continue to utilize various methods to effectuate the share repurchase program, including but not limited to, a series of transactions that may include accelerated share repurchases (ASRs), open market transactions or other means, subject to market conditions and applicable legal requirements. The repurchase program may be suspended, discontinued or resumed at any time. Year to date June 30, 2019, Evergy had total repurchases of common stock of $1,128.7 million and had repurchased 20.0 million shares under the repurchase program. Since its inception, Evergy has made total repurchases of common stock of approximately $2.2 billion and has repurchased 36.3 million shares under the repurchase program. These repurchase totals include shares repurchased under ASR agreements, one of which had not reached final settlement as of June 30, 2019, and are discussed further below.</w:t>
      </w:r>
    </w:p>
    <w:p>
      <w:pPr>
        <w:spacing w:after="0" w:line="185"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In November 2018, Evergy entered into an ASR agreement with a financial institution to purchase $475.0 million of Evergy common stock. In December 2018, the financial institution delivered to Evergy 6.4 million shares of common stock, representing a partial settlement of the contract, based on then-current market prices and Evergy paid a total of $475.0 million. The ASR agreement reached final settlement in February 2019 and resulted in the delivery of an additional 1.9 million shares to Evergy based on the average daily volume weighted-average price of Evergy common stock during the term of the ASR agreement, less a negotiated discount.</w:t>
      </w:r>
    </w:p>
    <w:p>
      <w:pPr>
        <w:spacing w:after="0" w:line="181"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In March 2019, Evergy entered into an ASR agreement with a financial institution to purchase $450.0 million of Evergy common stock. In March 2019, the financial institution delivered to Evergy 6.3 million shares of common stock, representing a partial settlement of the contract, based on then-current market prices and Evergy paid a total of $450.0 million. The ASR agreement reached final settlement in June 2019 and resulted in the delivery of an additional 1.5 million shares to Evergy based on the average daily volume weighted-average price of Evergy common stock during the term of the ASR agreement, less a negotiated discount.</w:t>
      </w:r>
    </w:p>
    <w:p>
      <w:pPr>
        <w:spacing w:after="0" w:line="181"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In June 2019, Evergy entered into an ASR agreement with a financial institution to purchase $500.0 million of Evergy common stock. In June 2019, the financial institution delivered to Evergy 7.1 million shares of common stock, representing a partial settlement of the contract, based on then-current market prices and Evergy paid a total of $500.0 million. The final number of shares of Evergy common stock that Evergy may receive or be required to remit upon settlement of the ASR agreement will be based on the average daily volume weighted-average price of Evergy common stock during the term of the ASR agreement, less a negotiated discount. Final settlement of the ASR agreement will occur by September 2019, but may occur earlier at the option of the financial institution. Evergy expects that the final settlement of the ASR agreement will result in the delivery of additional shares of common stock to Evergy at no additional cost.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Evergy reflects ASRs as a repurchase of common stock in the period the shares are delivered for purposes of calculating earnings per share and as forward contracts indexed to its own common stock. Evergy's ASRs have met all of the applicable criteria for equity classification and therefore are not accounted for as derivative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Restrictions</w:t>
      </w:r>
    </w:p>
    <w:p>
      <w:pPr>
        <w:spacing w:after="0" w:line="2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Evergy depends on its subsidiaries to pay dividends on its common stock. The Evergy Companies have certain restrictions stemming from statutory requirements, corporate organizational documents, covenants and other conditions that could affect dividend levels or the ability to pay dividends.</w:t>
      </w:r>
    </w:p>
    <w:p>
      <w:pPr>
        <w:spacing w:after="0" w:line="196" w:lineRule="exact"/>
        <w:rPr>
          <w:sz w:val="20"/>
          <w:szCs w:val="20"/>
          <w:color w:val="auto"/>
        </w:rPr>
      </w:pPr>
    </w:p>
    <w:p>
      <w:pPr>
        <w:ind w:right="980"/>
        <w:spacing w:after="0" w:line="260" w:lineRule="auto"/>
        <w:rPr>
          <w:sz w:val="20"/>
          <w:szCs w:val="20"/>
          <w:color w:val="auto"/>
        </w:rPr>
      </w:pPr>
      <w:r>
        <w:rPr>
          <w:rFonts w:ascii="Arial" w:cs="Arial" w:eastAsia="Arial" w:hAnsi="Arial"/>
          <w:sz w:val="20"/>
          <w:szCs w:val="20"/>
          <w:color w:val="auto"/>
        </w:rPr>
        <w:t>The KCC order authorizing the merger transaction requires Evergy to maintain consolidated common equity of at least 35% of total consolidated capitalization.</w:t>
      </w:r>
    </w:p>
    <w:p>
      <w:pPr>
        <w:spacing w:after="0" w:line="177"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Under the Federal Power Act, Westar Energy, KCP&amp;L and GMO generally can pay dividends only out of retained earnings. Certain conditions in the MPSC and KCC orders authorizing the merger transaction also require Westar Energy and KCP&amp;L to maintain consolidated common equity of at least 40% of total capitalization. Other conditions in the MPSC and KCC merger orders require Westar Energy, KCP&amp;L and GMO to maintain credit ratings of at least investment grade. If Westar Energy's, KCP&amp;L's or GMO's credit ratings are downgraded below the investment grade level as a result of their affiliation with Evergy or any of Evergy's affiliates, the impacted utility shall not pay a dividend to Evergy without KCC or MPSC approval or until the impacted utility's investment grade credit rating has been restored.</w:t>
      </w:r>
    </w:p>
    <w:p>
      <w:pPr>
        <w:spacing w:after="0" w:line="16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master credit facility of Evergy, Westar Energy, KCP&amp;L and GMO, the term loan agreement of Evergy and the note purchase agreements for certain GMO senior notes contain covenants requiring the respective company to maintain a consolidated indebtedness to consolidated total capitalization ratio of not more than 0.65 to 1.00 at all times.</w:t>
      </w:r>
    </w:p>
    <w:p>
      <w:pPr>
        <w:spacing w:after="0" w:line="18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June 30, 2019, all of Evergy's and Westar Energy's retained earnings and net income were free of restrictions and KCP&amp;L had a retained earnings restriction of $207.0 million. Evergy's subsidiaries had restricted net assets of approximately $5.2 billion as of June 30, 2019. These restrictions are not expected to affect the Evergy Companies' ability to pay dividends at the current level for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TAXES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to Date</w:t>
            </w:r>
          </w:p>
        </w:tc>
        <w:tc>
          <w:tcPr>
            <w:tcW w:w="94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3"/>
                <w:szCs w:val="23"/>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20.6</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State</w:t>
            </w:r>
          </w:p>
        </w:tc>
        <w:tc>
          <w:tcPr>
            <w:tcW w:w="92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0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19.8</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State</w:t>
            </w:r>
          </w:p>
        </w:tc>
        <w:tc>
          <w:tcPr>
            <w:tcW w:w="920" w:type="dxa"/>
            <w:vAlign w:val="bottom"/>
          </w:tcPr>
          <w:p>
            <w:pPr>
              <w:spacing w:after="0"/>
              <w:rPr>
                <w:sz w:val="21"/>
                <w:szCs w:val="21"/>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(62.7)</w:t>
            </w:r>
          </w:p>
        </w:tc>
        <w:tc>
          <w:tcPr>
            <w:tcW w:w="4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13.5</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7"/>
        </w:trPr>
        <w:tc>
          <w:tcPr>
            <w:tcW w:w="5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17.0</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(53.2)</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Investment tax credit amortization</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6"/>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24.4</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(45.0)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33.7</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567"/>
        </w:trPr>
        <w:tc>
          <w:tcPr>
            <w:tcW w:w="55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48</w:t>
            </w: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Westar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1"/>
              </w:rPr>
              <w:t>Year to Date</w:t>
            </w:r>
          </w:p>
        </w:tc>
        <w:tc>
          <w:tcPr>
            <w:tcW w:w="94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June 30</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June 30</w:t>
            </w:r>
          </w:p>
        </w:tc>
        <w:tc>
          <w:tcPr>
            <w:tcW w:w="94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3"/>
                <w:szCs w:val="23"/>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27.9</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0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26.7</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(10.7)</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9"/>
              </w:rPr>
              <w:t>(63.3)</w:t>
            </w:r>
          </w:p>
        </w:tc>
        <w:tc>
          <w:tcPr>
            <w:tcW w:w="4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(66.1)</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Investment tax credit amortization</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(0.8)</w:t>
            </w: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6"/>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(53.6)</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20.4</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520"/>
        </w:trPr>
        <w:tc>
          <w:tcPr>
            <w:tcW w:w="5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KCP&amp;L</w:t>
            </w:r>
            <w:r>
              <w:rPr>
                <w:rFonts w:ascii="Arial" w:cs="Arial" w:eastAsia="Arial" w:hAnsi="Arial"/>
                <w:sz w:val="25"/>
                <w:szCs w:val="25"/>
                <w:b w:val="1"/>
                <w:bCs w:val="1"/>
                <w:color w:val="auto"/>
                <w:vertAlign w:val="superscript"/>
              </w:rPr>
              <w:t>(a)</w:t>
            </w:r>
          </w:p>
        </w:tc>
        <w:tc>
          <w:tcPr>
            <w:tcW w:w="8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r>
      <w:tr>
        <w:trPr>
          <w:trHeight w:val="225"/>
        </w:trPr>
        <w:tc>
          <w:tcPr>
            <w:tcW w:w="5500" w:type="dxa"/>
            <w:vAlign w:val="bottom"/>
          </w:tcPr>
          <w:p>
            <w:pPr>
              <w:spacing w:after="0"/>
              <w:rPr>
                <w:sz w:val="19"/>
                <w:szCs w:val="19"/>
                <w:color w:val="auto"/>
              </w:rPr>
            </w:pPr>
          </w:p>
        </w:tc>
        <w:tc>
          <w:tcPr>
            <w:tcW w:w="24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1"/>
              </w:rPr>
              <w:t>Year to Date</w:t>
            </w:r>
          </w:p>
        </w:tc>
        <w:tc>
          <w:tcPr>
            <w:tcW w:w="940" w:type="dxa"/>
            <w:vAlign w:val="bottom"/>
          </w:tcPr>
          <w:p>
            <w:pPr>
              <w:spacing w:after="0"/>
              <w:rPr>
                <w:sz w:val="19"/>
                <w:szCs w:val="19"/>
                <w:color w:val="auto"/>
              </w:rPr>
            </w:pPr>
          </w:p>
        </w:tc>
      </w:tr>
      <w:tr>
        <w:trPr>
          <w:trHeight w:val="234"/>
        </w:trPr>
        <w:tc>
          <w:tcPr>
            <w:tcW w:w="5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9"/>
              </w:rPr>
              <w:t>June 30</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June 30</w:t>
            </w:r>
          </w:p>
        </w:tc>
        <w:tc>
          <w:tcPr>
            <w:tcW w:w="94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3"/>
                <w:szCs w:val="23"/>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26.4</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34.3</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10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31.0</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39.7</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(19.7)</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(25.1)</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4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(22.7)</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37"/>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Investment tax credit amortization</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(0.5)</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11.7</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55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KCP&amp;L amounts are included in consolidated Evergy from June 4, 2018, the date of the closing of the merger, and thereafter.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7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to Date</w:t>
            </w:r>
          </w:p>
        </w:tc>
        <w:tc>
          <w:tcPr>
            <w:tcW w:w="98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0"/>
        </w:trPr>
        <w:tc>
          <w:tcPr>
            <w:tcW w:w="4880" w:type="dxa"/>
            <w:vAlign w:val="bottom"/>
          </w:tcPr>
          <w:p>
            <w:pPr>
              <w:spacing w:after="0"/>
              <w:rPr>
                <w:sz w:val="23"/>
                <w:szCs w:val="23"/>
                <w:color w:val="auto"/>
              </w:rPr>
            </w:pPr>
          </w:p>
        </w:tc>
        <w:tc>
          <w:tcPr>
            <w:tcW w:w="238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2019</w:t>
            </w:r>
          </w:p>
        </w:tc>
        <w:tc>
          <w:tcPr>
            <w:tcW w:w="13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86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23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21.0 %</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21.0 %</w:t>
            </w:r>
          </w:p>
        </w:tc>
        <w:tc>
          <w:tcPr>
            <w:tcW w:w="18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Effect of:</w:t>
            </w:r>
          </w:p>
        </w:tc>
        <w:tc>
          <w:tcPr>
            <w:tcW w:w="2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COLI policies</w:t>
            </w:r>
          </w:p>
        </w:tc>
        <w:tc>
          <w:tcPr>
            <w:tcW w:w="23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(1.8)</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(1.9)</w:t>
            </w:r>
          </w:p>
        </w:tc>
        <w:tc>
          <w:tcPr>
            <w:tcW w:w="18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(1.8)</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2380" w:type="dxa"/>
            <w:vAlign w:val="bottom"/>
          </w:tcPr>
          <w:p>
            <w:pPr>
              <w:jc w:val="right"/>
              <w:ind w:right="730"/>
              <w:spacing w:after="0"/>
              <w:rPr>
                <w:sz w:val="20"/>
                <w:szCs w:val="20"/>
                <w:color w:val="auto"/>
              </w:rPr>
            </w:pPr>
            <w:r>
              <w:rPr>
                <w:rFonts w:ascii="Arial" w:cs="Arial" w:eastAsia="Arial" w:hAnsi="Arial"/>
                <w:sz w:val="18"/>
                <w:szCs w:val="18"/>
                <w:color w:val="auto"/>
              </w:rPr>
              <w:t>2.9</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6.2</w:t>
            </w:r>
          </w:p>
        </w:tc>
        <w:tc>
          <w:tcPr>
            <w:tcW w:w="1860" w:type="dxa"/>
            <w:vAlign w:val="bottom"/>
          </w:tcPr>
          <w:p>
            <w:pPr>
              <w:jc w:val="right"/>
              <w:ind w:right="830"/>
              <w:spacing w:after="0"/>
              <w:rPr>
                <w:sz w:val="20"/>
                <w:szCs w:val="20"/>
                <w:color w:val="auto"/>
              </w:rPr>
            </w:pPr>
            <w:r>
              <w:rPr>
                <w:rFonts w:ascii="Arial" w:cs="Arial" w:eastAsia="Arial" w:hAnsi="Arial"/>
                <w:sz w:val="18"/>
                <w:szCs w:val="18"/>
                <w:color w:val="auto"/>
              </w:rPr>
              <w:t>3.6</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5.1</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through depreciation for plant-related differences</w:t>
            </w:r>
          </w:p>
        </w:tc>
        <w:tc>
          <w:tcPr>
            <w:tcW w:w="23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(2.7)</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(5.5)</w:t>
            </w:r>
          </w:p>
        </w:tc>
        <w:tc>
          <w:tcPr>
            <w:tcW w:w="18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(3.4)</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Federal tax credits</w:t>
            </w:r>
          </w:p>
        </w:tc>
        <w:tc>
          <w:tcPr>
            <w:tcW w:w="2380" w:type="dxa"/>
            <w:vAlign w:val="bottom"/>
          </w:tcPr>
          <w:p>
            <w:pPr>
              <w:jc w:val="right"/>
              <w:ind w:right="670"/>
              <w:spacing w:after="0"/>
              <w:rPr>
                <w:sz w:val="20"/>
                <w:szCs w:val="20"/>
                <w:color w:val="auto"/>
              </w:rPr>
            </w:pPr>
            <w:r>
              <w:rPr>
                <w:rFonts w:ascii="Arial" w:cs="Arial" w:eastAsia="Arial" w:hAnsi="Arial"/>
                <w:sz w:val="18"/>
                <w:szCs w:val="18"/>
                <w:color w:val="auto"/>
              </w:rPr>
              <w:t>(4.0)</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(5.5)</w:t>
            </w:r>
          </w:p>
        </w:tc>
        <w:tc>
          <w:tcPr>
            <w:tcW w:w="1860" w:type="dxa"/>
            <w:vAlign w:val="bottom"/>
          </w:tcPr>
          <w:p>
            <w:pPr>
              <w:jc w:val="right"/>
              <w:ind w:right="770"/>
              <w:spacing w:after="0"/>
              <w:rPr>
                <w:sz w:val="20"/>
                <w:szCs w:val="20"/>
                <w:color w:val="auto"/>
              </w:rPr>
            </w:pPr>
            <w:r>
              <w:rPr>
                <w:rFonts w:ascii="Arial" w:cs="Arial" w:eastAsia="Arial" w:hAnsi="Arial"/>
                <w:sz w:val="18"/>
                <w:szCs w:val="18"/>
                <w:color w:val="auto"/>
              </w:rPr>
              <w:t>(3.9)</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(7.7)</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3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(0.5)</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(0.3)</w:t>
            </w:r>
          </w:p>
        </w:tc>
        <w:tc>
          <w:tcPr>
            <w:tcW w:w="18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(0.4)</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AFUDC equity</w:t>
            </w:r>
          </w:p>
        </w:tc>
        <w:tc>
          <w:tcPr>
            <w:tcW w:w="2380" w:type="dxa"/>
            <w:vAlign w:val="bottom"/>
          </w:tcPr>
          <w:p>
            <w:pPr>
              <w:jc w:val="right"/>
              <w:ind w:right="670"/>
              <w:spacing w:after="0"/>
              <w:rPr>
                <w:sz w:val="20"/>
                <w:szCs w:val="20"/>
                <w:color w:val="auto"/>
              </w:rPr>
            </w:pPr>
            <w:r>
              <w:rPr>
                <w:rFonts w:ascii="Arial" w:cs="Arial" w:eastAsia="Arial" w:hAnsi="Arial"/>
                <w:sz w:val="18"/>
                <w:szCs w:val="18"/>
                <w:color w:val="auto"/>
              </w:rPr>
              <w:t>(0.1)</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0.1</w:t>
            </w:r>
          </w:p>
        </w:tc>
        <w:tc>
          <w:tcPr>
            <w:tcW w:w="18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federal investment tax credits</w:t>
            </w:r>
          </w:p>
        </w:tc>
        <w:tc>
          <w:tcPr>
            <w:tcW w:w="23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(0.5)</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(0.6)</w:t>
            </w:r>
          </w:p>
        </w:tc>
        <w:tc>
          <w:tcPr>
            <w:tcW w:w="18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(0.5)</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State tax rate change</w:t>
            </w:r>
          </w:p>
        </w:tc>
        <w:tc>
          <w:tcPr>
            <w:tcW w:w="238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(89.1)</w:t>
            </w:r>
          </w:p>
        </w:tc>
        <w:tc>
          <w:tcPr>
            <w:tcW w:w="18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(40.3)</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3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1.1</w:t>
            </w:r>
          </w:p>
        </w:tc>
        <w:tc>
          <w:tcPr>
            <w:tcW w:w="18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(2.8)</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2380" w:type="dxa"/>
            <w:vAlign w:val="bottom"/>
          </w:tcPr>
          <w:p>
            <w:pPr>
              <w:jc w:val="right"/>
              <w:ind w:right="670"/>
              <w:spacing w:after="0"/>
              <w:rPr>
                <w:sz w:val="20"/>
                <w:szCs w:val="20"/>
                <w:color w:val="auto"/>
              </w:rPr>
            </w:pPr>
            <w:r>
              <w:rPr>
                <w:rFonts w:ascii="Arial" w:cs="Arial" w:eastAsia="Arial" w:hAnsi="Arial"/>
                <w:sz w:val="18"/>
                <w:szCs w:val="18"/>
                <w:color w:val="auto"/>
              </w:rPr>
              <w:t>(0.3)</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(2.9)</w:t>
            </w:r>
          </w:p>
        </w:tc>
        <w:tc>
          <w:tcPr>
            <w:tcW w:w="1860" w:type="dxa"/>
            <w:vAlign w:val="bottom"/>
          </w:tcPr>
          <w:p>
            <w:pPr>
              <w:jc w:val="right"/>
              <w:ind w:right="770"/>
              <w:spacing w:after="0"/>
              <w:rPr>
                <w:sz w:val="20"/>
                <w:szCs w:val="20"/>
                <w:color w:val="auto"/>
              </w:rPr>
            </w:pPr>
            <w:r>
              <w:rPr>
                <w:rFonts w:ascii="Arial" w:cs="Arial" w:eastAsia="Arial" w:hAnsi="Arial"/>
                <w:sz w:val="18"/>
                <w:szCs w:val="18"/>
                <w:color w:val="auto"/>
              </w:rPr>
              <w:t>(0.1)</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compensation limitation</w:t>
            </w:r>
          </w:p>
        </w:tc>
        <w:tc>
          <w:tcPr>
            <w:tcW w:w="23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0.1</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Other</w:t>
            </w:r>
          </w:p>
        </w:tc>
        <w:tc>
          <w:tcPr>
            <w:tcW w:w="2380" w:type="dxa"/>
            <w:vAlign w:val="bottom"/>
          </w:tcPr>
          <w:p>
            <w:pPr>
              <w:jc w:val="right"/>
              <w:ind w:right="730"/>
              <w:spacing w:after="0"/>
              <w:rPr>
                <w:sz w:val="20"/>
                <w:szCs w:val="20"/>
                <w:color w:val="auto"/>
              </w:rPr>
            </w:pPr>
            <w:r>
              <w:rPr>
                <w:rFonts w:ascii="Arial" w:cs="Arial" w:eastAsia="Arial" w:hAnsi="Arial"/>
                <w:sz w:val="18"/>
                <w:szCs w:val="18"/>
                <w:color w:val="auto"/>
              </w:rPr>
              <w:t>0.4</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1.8</w:t>
            </w:r>
          </w:p>
        </w:tc>
        <w:tc>
          <w:tcPr>
            <w:tcW w:w="1860" w:type="dxa"/>
            <w:vAlign w:val="bottom"/>
          </w:tcPr>
          <w:p>
            <w:pPr>
              <w:jc w:val="right"/>
              <w:ind w:right="830"/>
              <w:spacing w:after="0"/>
              <w:rPr>
                <w:sz w:val="20"/>
                <w:szCs w:val="20"/>
                <w:color w:val="auto"/>
              </w:rPr>
            </w:pPr>
            <w:r>
              <w:rPr>
                <w:rFonts w:ascii="Arial" w:cs="Arial" w:eastAsia="Arial" w:hAnsi="Arial"/>
                <w:sz w:val="18"/>
                <w:szCs w:val="18"/>
                <w:color w:val="auto"/>
              </w:rPr>
              <w:t>0.2</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4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income tax rate</w:t>
            </w:r>
          </w:p>
        </w:tc>
        <w:tc>
          <w:tcPr>
            <w:tcW w:w="23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14.5 %</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(75.6)%</w:t>
            </w:r>
          </w:p>
        </w:tc>
        <w:tc>
          <w:tcPr>
            <w:tcW w:w="18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12.0 %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4880" w:type="dxa"/>
            <w:vAlign w:val="bottom"/>
            <w:shd w:val="clear" w:color="auto" w:fill="000000"/>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440"/>
        <w:spacing w:after="0" w:line="287" w:lineRule="auto"/>
        <w:rPr>
          <w:sz w:val="20"/>
          <w:szCs w:val="20"/>
          <w:color w:val="auto"/>
        </w:rPr>
      </w:pPr>
      <w:r>
        <w:rPr>
          <w:rFonts w:ascii="Arial" w:cs="Arial" w:eastAsia="Arial" w:hAnsi="Arial"/>
          <w:sz w:val="19"/>
          <w:szCs w:val="19"/>
          <w:color w:val="auto"/>
        </w:rPr>
        <w:t>Evergy's state tax rate change for the three months ended and year to date, June 30, 2018, is due to the revaluation of Westar Energy's state deferred income tax assets and liabilities based on the Evergy composite tax rate as a result of the merger.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Westar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7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to Date</w:t>
            </w:r>
          </w:p>
        </w:tc>
        <w:tc>
          <w:tcPr>
            <w:tcW w:w="980" w:type="dxa"/>
            <w:vAlign w:val="bottom"/>
          </w:tcPr>
          <w:p>
            <w:pPr>
              <w:spacing w:after="0"/>
              <w:rPr>
                <w:sz w:val="18"/>
                <w:szCs w:val="18"/>
                <w:color w:val="auto"/>
              </w:rPr>
            </w:pPr>
          </w:p>
        </w:tc>
      </w:tr>
      <w:tr>
        <w:trPr>
          <w:trHeight w:val="234"/>
        </w:trPr>
        <w:tc>
          <w:tcPr>
            <w:tcW w:w="4880" w:type="dxa"/>
            <w:vAlign w:val="bottom"/>
          </w:tcPr>
          <w:p>
            <w:pPr>
              <w:spacing w:after="0"/>
              <w:rPr>
                <w:sz w:val="20"/>
                <w:szCs w:val="20"/>
                <w:color w:val="auto"/>
              </w:rPr>
            </w:pPr>
          </w:p>
        </w:tc>
        <w:tc>
          <w:tcPr>
            <w:tcW w:w="238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0"/>
        </w:trPr>
        <w:tc>
          <w:tcPr>
            <w:tcW w:w="4880" w:type="dxa"/>
            <w:vAlign w:val="bottom"/>
          </w:tcPr>
          <w:p>
            <w:pPr>
              <w:spacing w:after="0"/>
              <w:rPr>
                <w:sz w:val="23"/>
                <w:szCs w:val="23"/>
                <w:color w:val="auto"/>
              </w:rPr>
            </w:pPr>
          </w:p>
        </w:tc>
        <w:tc>
          <w:tcPr>
            <w:tcW w:w="238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2019</w:t>
            </w:r>
          </w:p>
        </w:tc>
        <w:tc>
          <w:tcPr>
            <w:tcW w:w="13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86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2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21.0 %</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21.0 %</w:t>
            </w:r>
          </w:p>
        </w:tc>
        <w:tc>
          <w:tcPr>
            <w:tcW w:w="18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Effect of:</w:t>
            </w:r>
          </w:p>
        </w:tc>
        <w:tc>
          <w:tcPr>
            <w:tcW w:w="2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COLI policies</w:t>
            </w:r>
          </w:p>
        </w:tc>
        <w:tc>
          <w:tcPr>
            <w:tcW w:w="23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(3.3)</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(6.9)</w:t>
            </w:r>
          </w:p>
        </w:tc>
        <w:tc>
          <w:tcPr>
            <w:tcW w:w="18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(3.3)</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2380" w:type="dxa"/>
            <w:vAlign w:val="bottom"/>
          </w:tcPr>
          <w:p>
            <w:pPr>
              <w:jc w:val="right"/>
              <w:ind w:right="750"/>
              <w:spacing w:after="0"/>
              <w:rPr>
                <w:sz w:val="20"/>
                <w:szCs w:val="20"/>
                <w:color w:val="auto"/>
              </w:rPr>
            </w:pPr>
            <w:r>
              <w:rPr>
                <w:rFonts w:ascii="Arial" w:cs="Arial" w:eastAsia="Arial" w:hAnsi="Arial"/>
                <w:sz w:val="18"/>
                <w:szCs w:val="18"/>
                <w:color w:val="auto"/>
              </w:rPr>
              <w:t>3.0</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18.8</w:t>
            </w:r>
          </w:p>
        </w:tc>
        <w:tc>
          <w:tcPr>
            <w:tcW w:w="1860" w:type="dxa"/>
            <w:vAlign w:val="bottom"/>
          </w:tcPr>
          <w:p>
            <w:pPr>
              <w:jc w:val="right"/>
              <w:ind w:right="830"/>
              <w:spacing w:after="0"/>
              <w:rPr>
                <w:sz w:val="20"/>
                <w:szCs w:val="20"/>
                <w:color w:val="auto"/>
              </w:rPr>
            </w:pPr>
            <w:r>
              <w:rPr>
                <w:rFonts w:ascii="Arial" w:cs="Arial" w:eastAsia="Arial" w:hAnsi="Arial"/>
                <w:sz w:val="18"/>
                <w:szCs w:val="18"/>
                <w:color w:val="auto"/>
              </w:rPr>
              <w:t>4.0</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7.8</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through depreciation for plant-related differences</w:t>
            </w:r>
          </w:p>
        </w:tc>
        <w:tc>
          <w:tcPr>
            <w:tcW w:w="23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0.3</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(11.2)</w:t>
            </w:r>
          </w:p>
        </w:tc>
        <w:tc>
          <w:tcPr>
            <w:tcW w:w="18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Federal tax credits</w:t>
            </w:r>
          </w:p>
        </w:tc>
        <w:tc>
          <w:tcPr>
            <w:tcW w:w="2380" w:type="dxa"/>
            <w:vAlign w:val="bottom"/>
          </w:tcPr>
          <w:p>
            <w:pPr>
              <w:jc w:val="right"/>
              <w:ind w:right="690"/>
              <w:spacing w:after="0"/>
              <w:rPr>
                <w:sz w:val="20"/>
                <w:szCs w:val="20"/>
                <w:color w:val="auto"/>
              </w:rPr>
            </w:pPr>
            <w:r>
              <w:rPr>
                <w:rFonts w:ascii="Arial" w:cs="Arial" w:eastAsia="Arial" w:hAnsi="Arial"/>
                <w:sz w:val="18"/>
                <w:szCs w:val="18"/>
                <w:color w:val="auto"/>
              </w:rPr>
              <w:t>(6.1)</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(18.1)</w:t>
            </w:r>
          </w:p>
        </w:tc>
        <w:tc>
          <w:tcPr>
            <w:tcW w:w="1860" w:type="dxa"/>
            <w:vAlign w:val="bottom"/>
          </w:tcPr>
          <w:p>
            <w:pPr>
              <w:jc w:val="right"/>
              <w:ind w:right="770"/>
              <w:spacing w:after="0"/>
              <w:rPr>
                <w:sz w:val="20"/>
                <w:szCs w:val="20"/>
                <w:color w:val="auto"/>
              </w:rPr>
            </w:pPr>
            <w:r>
              <w:rPr>
                <w:rFonts w:ascii="Arial" w:cs="Arial" w:eastAsia="Arial" w:hAnsi="Arial"/>
                <w:sz w:val="18"/>
                <w:szCs w:val="18"/>
                <w:color w:val="auto"/>
              </w:rPr>
              <w:t>(6.1)</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(11.6)</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3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w:t>
            </w:r>
          </w:p>
        </w:tc>
        <w:tc>
          <w:tcPr>
            <w:tcW w:w="18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(0.8)</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AFUDC equity</w:t>
            </w:r>
          </w:p>
        </w:tc>
        <w:tc>
          <w:tcPr>
            <w:tcW w:w="2380" w:type="dxa"/>
            <w:vAlign w:val="bottom"/>
          </w:tcPr>
          <w:p>
            <w:pPr>
              <w:jc w:val="right"/>
              <w:ind w:right="690"/>
              <w:spacing w:after="0"/>
              <w:rPr>
                <w:sz w:val="20"/>
                <w:szCs w:val="20"/>
                <w:color w:val="auto"/>
              </w:rPr>
            </w:pPr>
            <w:r>
              <w:rPr>
                <w:rFonts w:ascii="Arial" w:cs="Arial" w:eastAsia="Arial" w:hAnsi="Arial"/>
                <w:sz w:val="18"/>
                <w:szCs w:val="18"/>
                <w:color w:val="auto"/>
              </w:rPr>
              <w:t>(0.1)</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770"/>
              <w:spacing w:after="0"/>
              <w:rPr>
                <w:sz w:val="20"/>
                <w:szCs w:val="20"/>
                <w:color w:val="auto"/>
              </w:rPr>
            </w:pPr>
            <w:r>
              <w:rPr>
                <w:rFonts w:ascii="Arial" w:cs="Arial" w:eastAsia="Arial" w:hAnsi="Arial"/>
                <w:sz w:val="18"/>
                <w:szCs w:val="18"/>
                <w:color w:val="auto"/>
              </w:rPr>
              <w:t>(0.1)</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federal investment tax credits</w:t>
            </w:r>
          </w:p>
        </w:tc>
        <w:tc>
          <w:tcPr>
            <w:tcW w:w="23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(0.7)</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w:t>
            </w:r>
          </w:p>
        </w:tc>
        <w:tc>
          <w:tcPr>
            <w:tcW w:w="18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(0.7)</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State tax rate change</w:t>
            </w:r>
          </w:p>
        </w:tc>
        <w:tc>
          <w:tcPr>
            <w:tcW w:w="238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(219.6)</w:t>
            </w:r>
          </w:p>
        </w:tc>
        <w:tc>
          <w:tcPr>
            <w:tcW w:w="18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(54.8)</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3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0.6</w:t>
            </w:r>
          </w:p>
        </w:tc>
        <w:tc>
          <w:tcPr>
            <w:tcW w:w="18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(1.0)</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2380" w:type="dxa"/>
            <w:vAlign w:val="bottom"/>
          </w:tcPr>
          <w:p>
            <w:pPr>
              <w:jc w:val="right"/>
              <w:ind w:right="690"/>
              <w:spacing w:after="0"/>
              <w:rPr>
                <w:sz w:val="20"/>
                <w:szCs w:val="20"/>
                <w:color w:val="auto"/>
              </w:rPr>
            </w:pPr>
            <w:r>
              <w:rPr>
                <w:rFonts w:ascii="Arial" w:cs="Arial" w:eastAsia="Arial" w:hAnsi="Arial"/>
                <w:sz w:val="18"/>
                <w:szCs w:val="18"/>
                <w:color w:val="auto"/>
              </w:rPr>
              <w:t>(0.5)</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(7.2)</w:t>
            </w:r>
          </w:p>
        </w:tc>
        <w:tc>
          <w:tcPr>
            <w:tcW w:w="1860" w:type="dxa"/>
            <w:vAlign w:val="bottom"/>
          </w:tcPr>
          <w:p>
            <w:pPr>
              <w:jc w:val="right"/>
              <w:ind w:right="770"/>
              <w:spacing w:after="0"/>
              <w:rPr>
                <w:sz w:val="20"/>
                <w:szCs w:val="20"/>
                <w:color w:val="auto"/>
              </w:rPr>
            </w:pPr>
            <w:r>
              <w:rPr>
                <w:rFonts w:ascii="Arial" w:cs="Arial" w:eastAsia="Arial" w:hAnsi="Arial"/>
                <w:sz w:val="18"/>
                <w:szCs w:val="18"/>
                <w:color w:val="auto"/>
              </w:rPr>
              <w:t>(0.3)</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(2.6)</w:t>
            </w:r>
          </w:p>
        </w:tc>
      </w:tr>
      <w:tr>
        <w:trPr>
          <w:trHeight w:val="27"/>
        </w:trPr>
        <w:tc>
          <w:tcPr>
            <w:tcW w:w="4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0.3</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w:t>
            </w:r>
          </w:p>
        </w:tc>
        <w:tc>
          <w:tcPr>
            <w:tcW w:w="18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37"/>
        </w:trPr>
        <w:tc>
          <w:tcPr>
            <w:tcW w:w="48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Effective income tax rate</w:t>
            </w:r>
          </w:p>
        </w:tc>
        <w:tc>
          <w:tcPr>
            <w:tcW w:w="23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12.9 %</w:t>
            </w:r>
          </w:p>
        </w:tc>
        <w:tc>
          <w:tcPr>
            <w:tcW w:w="13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(223.8)%</w:t>
            </w:r>
          </w:p>
        </w:tc>
        <w:tc>
          <w:tcPr>
            <w:tcW w:w="18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13.1 %</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r>
      <w:tr>
        <w:trPr>
          <w:trHeight w:val="34"/>
        </w:trPr>
        <w:tc>
          <w:tcPr>
            <w:tcW w:w="4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Westar Energy's state tax rate change for the three months ended and year to date, June 30, 2018, is due to the revaluation of Westar Energy's state deferred income tax assets and liabilities based on the Evergy composite tax rate as a result of the merger.</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KCP&amp;L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7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Year to Date</w:t>
            </w:r>
          </w:p>
        </w:tc>
        <w:tc>
          <w:tcPr>
            <w:tcW w:w="980" w:type="dxa"/>
            <w:vAlign w:val="bottom"/>
          </w:tcPr>
          <w:p>
            <w:pPr>
              <w:spacing w:after="0"/>
              <w:rPr>
                <w:sz w:val="18"/>
                <w:szCs w:val="18"/>
                <w:color w:val="auto"/>
              </w:rPr>
            </w:pPr>
          </w:p>
        </w:tc>
      </w:tr>
      <w:tr>
        <w:trPr>
          <w:trHeight w:val="234"/>
        </w:trPr>
        <w:tc>
          <w:tcPr>
            <w:tcW w:w="4900" w:type="dxa"/>
            <w:vAlign w:val="bottom"/>
          </w:tcPr>
          <w:p>
            <w:pPr>
              <w:spacing w:after="0"/>
              <w:rPr>
                <w:sz w:val="20"/>
                <w:szCs w:val="20"/>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spacing w:after="0"/>
              <w:rPr>
                <w:sz w:val="20"/>
                <w:szCs w:val="20"/>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0"/>
        </w:trPr>
        <w:tc>
          <w:tcPr>
            <w:tcW w:w="4900" w:type="dxa"/>
            <w:vAlign w:val="bottom"/>
          </w:tcPr>
          <w:p>
            <w:pPr>
              <w:spacing w:after="0"/>
              <w:rPr>
                <w:sz w:val="23"/>
                <w:szCs w:val="23"/>
                <w:color w:val="auto"/>
              </w:rPr>
            </w:pPr>
          </w:p>
        </w:tc>
        <w:tc>
          <w:tcPr>
            <w:tcW w:w="238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2019</w:t>
            </w:r>
          </w:p>
        </w:tc>
        <w:tc>
          <w:tcPr>
            <w:tcW w:w="13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840" w:type="dxa"/>
            <w:vAlign w:val="bottom"/>
          </w:tcPr>
          <w:p>
            <w:pPr>
              <w:jc w:val="right"/>
              <w:ind w:right="111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9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23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21.0 %</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21.0 %</w:t>
            </w:r>
          </w:p>
        </w:tc>
        <w:tc>
          <w:tcPr>
            <w:tcW w:w="18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Effect of:</w:t>
            </w:r>
          </w:p>
        </w:tc>
        <w:tc>
          <w:tcPr>
            <w:tcW w:w="2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COLI policies</w:t>
            </w:r>
          </w:p>
        </w:tc>
        <w:tc>
          <w:tcPr>
            <w:tcW w:w="23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(0.1)</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18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2380" w:type="dxa"/>
            <w:vAlign w:val="bottom"/>
          </w:tcPr>
          <w:p>
            <w:pPr>
              <w:jc w:val="right"/>
              <w:ind w:right="730"/>
              <w:spacing w:after="0"/>
              <w:rPr>
                <w:sz w:val="20"/>
                <w:szCs w:val="20"/>
                <w:color w:val="auto"/>
              </w:rPr>
            </w:pPr>
            <w:r>
              <w:rPr>
                <w:rFonts w:ascii="Arial" w:cs="Arial" w:eastAsia="Arial" w:hAnsi="Arial"/>
                <w:sz w:val="18"/>
                <w:szCs w:val="18"/>
                <w:color w:val="auto"/>
              </w:rPr>
              <w:t>1.8</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5.4</w:t>
            </w:r>
          </w:p>
        </w:tc>
        <w:tc>
          <w:tcPr>
            <w:tcW w:w="1840" w:type="dxa"/>
            <w:vAlign w:val="bottom"/>
          </w:tcPr>
          <w:p>
            <w:pPr>
              <w:jc w:val="right"/>
              <w:ind w:right="810"/>
              <w:spacing w:after="0"/>
              <w:rPr>
                <w:sz w:val="20"/>
                <w:szCs w:val="20"/>
                <w:color w:val="auto"/>
              </w:rPr>
            </w:pPr>
            <w:r>
              <w:rPr>
                <w:rFonts w:ascii="Arial" w:cs="Arial" w:eastAsia="Arial" w:hAnsi="Arial"/>
                <w:sz w:val="18"/>
                <w:szCs w:val="18"/>
                <w:color w:val="auto"/>
              </w:rPr>
              <w:t>2.5</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5.3</w:t>
            </w:r>
          </w:p>
        </w:tc>
      </w:tr>
      <w:tr>
        <w:trPr>
          <w:trHeight w:val="27"/>
        </w:trPr>
        <w:tc>
          <w:tcPr>
            <w:tcW w:w="49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through depreciation for plant-related differences</w:t>
            </w:r>
          </w:p>
        </w:tc>
        <w:tc>
          <w:tcPr>
            <w:tcW w:w="23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(5.7)</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w:t>
            </w:r>
          </w:p>
        </w:tc>
        <w:tc>
          <w:tcPr>
            <w:tcW w:w="18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(6.0)</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Federal tax credits</w:t>
            </w:r>
          </w:p>
        </w:tc>
        <w:tc>
          <w:tcPr>
            <w:tcW w:w="2380" w:type="dxa"/>
            <w:vAlign w:val="bottom"/>
          </w:tcPr>
          <w:p>
            <w:pPr>
              <w:jc w:val="right"/>
              <w:ind w:right="670"/>
              <w:spacing w:after="0"/>
              <w:rPr>
                <w:sz w:val="20"/>
                <w:szCs w:val="20"/>
                <w:color w:val="auto"/>
              </w:rPr>
            </w:pPr>
            <w:r>
              <w:rPr>
                <w:rFonts w:ascii="Arial" w:cs="Arial" w:eastAsia="Arial" w:hAnsi="Arial"/>
                <w:sz w:val="18"/>
                <w:szCs w:val="18"/>
                <w:color w:val="auto"/>
              </w:rPr>
              <w:t>(1.5)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(1.5)</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49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 equity</w:t>
            </w:r>
          </w:p>
        </w:tc>
        <w:tc>
          <w:tcPr>
            <w:tcW w:w="23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18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Amortization of federal investment tax credits</w:t>
            </w:r>
          </w:p>
        </w:tc>
        <w:tc>
          <w:tcPr>
            <w:tcW w:w="2380" w:type="dxa"/>
            <w:vAlign w:val="bottom"/>
          </w:tcPr>
          <w:p>
            <w:pPr>
              <w:jc w:val="right"/>
              <w:ind w:right="670"/>
              <w:spacing w:after="0"/>
              <w:rPr>
                <w:sz w:val="20"/>
                <w:szCs w:val="20"/>
                <w:color w:val="auto"/>
              </w:rPr>
            </w:pPr>
            <w:r>
              <w:rPr>
                <w:rFonts w:ascii="Arial" w:cs="Arial" w:eastAsia="Arial" w:hAnsi="Arial"/>
                <w:sz w:val="18"/>
                <w:szCs w:val="18"/>
                <w:color w:val="auto"/>
              </w:rPr>
              <w:t>(0.3)</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(0.3)</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49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 rate change</w:t>
            </w:r>
          </w:p>
        </w:tc>
        <w:tc>
          <w:tcPr>
            <w:tcW w:w="23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48.5</w:t>
            </w:r>
          </w:p>
        </w:tc>
        <w:tc>
          <w:tcPr>
            <w:tcW w:w="18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36.6</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2380" w:type="dxa"/>
            <w:vAlign w:val="bottom"/>
          </w:tcPr>
          <w:p>
            <w:pPr>
              <w:jc w:val="right"/>
              <w:ind w:right="670"/>
              <w:spacing w:after="0"/>
              <w:rPr>
                <w:sz w:val="20"/>
                <w:szCs w:val="20"/>
                <w:color w:val="auto"/>
              </w:rPr>
            </w:pPr>
            <w:r>
              <w:rPr>
                <w:rFonts w:ascii="Arial" w:cs="Arial" w:eastAsia="Arial" w:hAnsi="Arial"/>
                <w:sz w:val="18"/>
                <w:szCs w:val="18"/>
                <w:color w:val="auto"/>
              </w:rPr>
              <w:t>(0.2)</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810"/>
              <w:spacing w:after="0"/>
              <w:rPr>
                <w:sz w:val="20"/>
                <w:szCs w:val="20"/>
                <w:color w:val="auto"/>
              </w:rPr>
            </w:pPr>
            <w:r>
              <w:rPr>
                <w:rFonts w:ascii="Arial" w:cs="Arial" w:eastAsia="Arial" w:hAnsi="Arial"/>
                <w:sz w:val="18"/>
                <w:szCs w:val="18"/>
                <w:color w:val="auto"/>
              </w:rPr>
              <w:t>0.1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compensation limitation</w:t>
            </w:r>
          </w:p>
        </w:tc>
        <w:tc>
          <w:tcPr>
            <w:tcW w:w="23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0.3</w:t>
            </w:r>
          </w:p>
        </w:tc>
        <w:tc>
          <w:tcPr>
            <w:tcW w:w="13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w:t>
            </w:r>
          </w:p>
        </w:tc>
        <w:tc>
          <w:tcPr>
            <w:tcW w:w="2380" w:type="dxa"/>
            <w:vAlign w:val="bottom"/>
          </w:tcPr>
          <w:p>
            <w:pPr>
              <w:jc w:val="right"/>
              <w:ind w:right="670"/>
              <w:spacing w:after="0"/>
              <w:rPr>
                <w:sz w:val="20"/>
                <w:szCs w:val="20"/>
                <w:color w:val="auto"/>
              </w:rPr>
            </w:pPr>
            <w:r>
              <w:rPr>
                <w:rFonts w:ascii="Arial" w:cs="Arial" w:eastAsia="Arial" w:hAnsi="Arial"/>
                <w:sz w:val="18"/>
                <w:szCs w:val="18"/>
                <w:color w:val="auto"/>
              </w:rPr>
              <w:t>(3.3)</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(2.5)</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(1.6)</w:t>
            </w:r>
          </w:p>
        </w:tc>
      </w:tr>
      <w:tr>
        <w:trPr>
          <w:trHeight w:val="27"/>
        </w:trPr>
        <w:tc>
          <w:tcPr>
            <w:tcW w:w="49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income tax rate</w:t>
            </w:r>
          </w:p>
        </w:tc>
        <w:tc>
          <w:tcPr>
            <w:tcW w:w="23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12.0 %</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66.4 %</w:t>
            </w:r>
          </w:p>
        </w:tc>
        <w:tc>
          <w:tcPr>
            <w:tcW w:w="18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13.5 %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r>
      <w:tr>
        <w:trPr>
          <w:trHeight w:val="27"/>
        </w:trPr>
        <w:tc>
          <w:tcPr>
            <w:tcW w:w="4900" w:type="dxa"/>
            <w:vAlign w:val="bottom"/>
            <w:shd w:val="clear" w:color="auto" w:fill="000000"/>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right="140"/>
        <w:spacing w:after="0" w:line="291" w:lineRule="auto"/>
        <w:rPr>
          <w:sz w:val="20"/>
          <w:szCs w:val="20"/>
          <w:color w:val="auto"/>
        </w:rPr>
      </w:pPr>
      <w:r>
        <w:rPr>
          <w:rFonts w:ascii="Arial" w:cs="Arial" w:eastAsia="Arial" w:hAnsi="Arial"/>
          <w:sz w:val="18"/>
          <w:szCs w:val="18"/>
          <w:color w:val="auto"/>
        </w:rPr>
        <w:t>KCP&amp;L's state tax rate change for the three months ended and year to date, June 30, 2018, is due to the revaluation of KCP&amp;L's state deferred income tax assets and liabilities based on the Evergy composite tax rate as a result of the merger, partially offset by a revaluation of KCP&amp;L's state deferred income tax assets and liabilities as a result of the enactment of Missouri state income tax reform in June 2018.</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LEASES</w:t>
      </w:r>
    </w:p>
    <w:p>
      <w:pPr>
        <w:spacing w:after="0" w:line="114"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Evergy Companies lease office buildings, computer equipment, vehicles, rail cars, generating plant and other property and equipment, including rail cars to serve jointly-owned generating units where Westar Energy or KCP&amp;L is the managing partner and is reimbursed by other joint-owners for its proportionate share of the costs.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Under GAAP, a contract is or contains a lease if the contract conveys the right to control the use of identified property, plant or equipment for a period of time in exchange for consideration. The Evergy Companies assess a contract as being or containing a lease if the contract identifies property, plant and equipment, provides the lessee the right to obtain substantially all of the economic benefits from use of the property, plant and equipment and provides the lessee the right to direct the use of the property, plant and equipment.</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The Evergy Companies have entered several agreements to purchase energy through renewable purchase power agreements accounted for as leases that commenced prior to the application of Topic 842. Due to the intermittent nature of renewable generation, these leases have significant variable lease payments not included in the initial and subsequent measurement of the lease liability. Variable lease payments are expensed as incurred. In addition, certain other contracts contain payment for activity that transfers a separate good or service such as utilities or common area maintenance. The Evergy Companies have elected a practical expedient permitted by GAAP to not separate such components of the lease from other lease components for all leases.</w:t>
      </w:r>
    </w:p>
    <w:p>
      <w:pPr>
        <w:spacing w:after="0" w:line="17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Evergy, Westar Energy and KCP&amp;L leases have remaining terms ranging from 1 to 20 years, 1 to 20 years and 2 to 27 years, respectively. Leases that have original lease terms of twelve months or less are not recognized on the Evergy Companies’ balance sheets. Some leases have options to renew the lease or terminate early at the election of the Evergy Companies. Judgment is applied at lease commencement to determine the reasonably certain lease term based on then-current assumptions about use of the leased asset, market conditions and terms in the contract. The judgment applied to determine the lease term can significantly impact the measurement of the lease liability and right-of-use asset and lease classification.</w:t>
      </w:r>
    </w:p>
    <w:p>
      <w:pPr>
        <w:spacing w:after="0" w:line="197" w:lineRule="exact"/>
        <w:rPr>
          <w:sz w:val="20"/>
          <w:szCs w:val="20"/>
          <w:color w:val="auto"/>
        </w:rPr>
      </w:pPr>
    </w:p>
    <w:p>
      <w:pPr>
        <w:ind w:right="320"/>
        <w:spacing w:after="0" w:line="291" w:lineRule="auto"/>
        <w:rPr>
          <w:sz w:val="20"/>
          <w:szCs w:val="20"/>
          <w:color w:val="auto"/>
        </w:rPr>
      </w:pPr>
      <w:r>
        <w:rPr>
          <w:rFonts w:ascii="Arial" w:cs="Arial" w:eastAsia="Arial" w:hAnsi="Arial"/>
          <w:sz w:val="18"/>
          <w:szCs w:val="18"/>
          <w:color w:val="auto"/>
        </w:rPr>
        <w:t>The Evergy Companies typically discount lease payments over the term of the lease using their incremental borrowing rates at lease commencement to measure its initial and subsequent lease liability. For leases that existed at the initial application of Topic 842, the Evergy Companies used the incremental borrowing rates that corresponded to the remaining lease term as of January 1, 2019.</w:t>
      </w:r>
    </w:p>
    <w:p>
      <w:pPr>
        <w:spacing w:after="0" w:line="152"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Leases may be classified as either operating leases or finance leases. The lease classification is based on assumptions of the lease term and discount rate, as discussed above, and the fair market value and economic life of the leased asset. Operating leases recognize a consistent expense each period over the lease term, while finance leases will result in the separate presentation of interest expense on the lease liability and amortization of the right-of-use asset. Finance leases are treated as operating leases for rate-making purposes and as such, the Evergy Companies defer to a regulatory asset or liability any material differences between expense recognition and the timing of payments in order to match what is being recovered in customer rates.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lease expense is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3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Evergy</w:t>
            </w:r>
          </w:p>
        </w:tc>
        <w:tc>
          <w:tcPr>
            <w:tcW w:w="22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b w:val="1"/>
                <w:bCs w:val="1"/>
                <w:color w:val="auto"/>
                <w:w w:val="91"/>
              </w:rPr>
              <w:t>Westar Energy</w:t>
            </w:r>
          </w:p>
        </w:tc>
        <w:tc>
          <w:tcPr>
            <w:tcW w:w="3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KCP&amp;L</w:t>
            </w:r>
          </w:p>
        </w:tc>
      </w:tr>
      <w:tr>
        <w:trPr>
          <w:trHeight w:val="27"/>
        </w:trPr>
        <w:tc>
          <w:tcPr>
            <w:tcW w:w="6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Finance lease costs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5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Short-term lease costs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costs for renewable purchase power agreements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37"/>
        </w:trPr>
        <w:tc>
          <w:tcPr>
            <w:tcW w:w="6760" w:type="dxa"/>
            <w:vAlign w:val="bottom"/>
          </w:tcPr>
          <w:p>
            <w:pPr>
              <w:ind w:left="280"/>
              <w:spacing w:after="0"/>
              <w:rPr>
                <w:sz w:val="20"/>
                <w:szCs w:val="20"/>
                <w:color w:val="auto"/>
              </w:rPr>
            </w:pPr>
            <w:r>
              <w:rPr>
                <w:rFonts w:ascii="Arial" w:cs="Arial" w:eastAsia="Arial" w:hAnsi="Arial"/>
                <w:sz w:val="18"/>
                <w:szCs w:val="18"/>
                <w:color w:val="auto"/>
              </w:rPr>
              <w:t>Total lease costs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37.2</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r>
      <w:tr>
        <w:trPr>
          <w:trHeight w:val="34"/>
        </w:trPr>
        <w:tc>
          <w:tcPr>
            <w:tcW w:w="6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 2019</w:t>
            </w:r>
          </w:p>
        </w:tc>
        <w:tc>
          <w:tcPr>
            <w:tcW w:w="3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Evergy</w:t>
            </w:r>
          </w:p>
        </w:tc>
        <w:tc>
          <w:tcPr>
            <w:tcW w:w="22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b w:val="1"/>
                <w:bCs w:val="1"/>
                <w:color w:val="auto"/>
                <w:w w:val="91"/>
              </w:rPr>
              <w:t>Westar Energy</w:t>
            </w:r>
          </w:p>
        </w:tc>
        <w:tc>
          <w:tcPr>
            <w:tcW w:w="3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KCP&amp;L</w:t>
            </w:r>
          </w:p>
        </w:tc>
      </w:tr>
      <w:tr>
        <w:trPr>
          <w:trHeight w:val="27"/>
        </w:trPr>
        <w:tc>
          <w:tcPr>
            <w:tcW w:w="6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Finance lease costs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5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Short-term lease costs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costs for renewable purchase power agreements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r>
      <w:tr>
        <w:trPr>
          <w:trHeight w:val="237"/>
        </w:trPr>
        <w:tc>
          <w:tcPr>
            <w:tcW w:w="6760" w:type="dxa"/>
            <w:vAlign w:val="bottom"/>
          </w:tcPr>
          <w:p>
            <w:pPr>
              <w:ind w:left="280"/>
              <w:spacing w:after="0"/>
              <w:rPr>
                <w:sz w:val="20"/>
                <w:szCs w:val="20"/>
                <w:color w:val="auto"/>
              </w:rPr>
            </w:pPr>
            <w:r>
              <w:rPr>
                <w:rFonts w:ascii="Arial" w:cs="Arial" w:eastAsia="Arial" w:hAnsi="Arial"/>
                <w:sz w:val="18"/>
                <w:szCs w:val="18"/>
                <w:color w:val="auto"/>
              </w:rPr>
              <w:t>Total lease costs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74.9</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w:t>
            </w:r>
          </w:p>
        </w:tc>
      </w:tr>
      <w:tr>
        <w:trPr>
          <w:trHeight w:val="34"/>
        </w:trPr>
        <w:tc>
          <w:tcPr>
            <w:tcW w:w="986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50"/>
        </w:trPr>
        <w:tc>
          <w:tcPr>
            <w:tcW w:w="9860" w:type="dxa"/>
            <w:vAlign w:val="bottom"/>
            <w:gridSpan w:val="5"/>
          </w:tcPr>
          <w:p>
            <w:pPr>
              <w:spacing w:after="0"/>
              <w:rPr>
                <w:sz w:val="20"/>
                <w:szCs w:val="20"/>
                <w:color w:val="auto"/>
              </w:rPr>
            </w:pPr>
            <w:r>
              <w:rPr>
                <w:rFonts w:ascii="Arial" w:cs="Arial" w:eastAsia="Arial" w:hAnsi="Arial"/>
                <w:sz w:val="20"/>
                <w:szCs w:val="20"/>
                <w:color w:val="auto"/>
              </w:rPr>
              <w:t>Supplemental cash flow information related to the Evergy Companies' leases is detailed in the following table.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 2019</w:t>
            </w:r>
          </w:p>
        </w:tc>
        <w:tc>
          <w:tcPr>
            <w:tcW w:w="19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Evergy</w:t>
            </w:r>
          </w:p>
        </w:tc>
        <w:tc>
          <w:tcPr>
            <w:tcW w:w="150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Westar Energy</w:t>
            </w:r>
          </w:p>
        </w:tc>
        <w:tc>
          <w:tcPr>
            <w:tcW w:w="34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KCP&amp;L</w:t>
            </w:r>
          </w:p>
        </w:tc>
      </w:tr>
      <w:tr>
        <w:trPr>
          <w:trHeight w:val="27"/>
        </w:trPr>
        <w:tc>
          <w:tcPr>
            <w:tcW w:w="55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1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12.9</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Operating cash flows from finance leases</w:t>
            </w:r>
          </w:p>
        </w:tc>
        <w:tc>
          <w:tcPr>
            <w:tcW w:w="19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cash flows from finance leases</w:t>
            </w:r>
          </w:p>
        </w:tc>
        <w:tc>
          <w:tcPr>
            <w:tcW w:w="1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19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2"/>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Right-of-use assets obtained in exchange for new finance lease liabilities</w:t>
            </w:r>
          </w:p>
        </w:tc>
        <w:tc>
          <w:tcPr>
            <w:tcW w:w="19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891"/>
        </w:trPr>
        <w:tc>
          <w:tcPr>
            <w:tcW w:w="55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jc w:val="right"/>
              <w:ind w:right="1550"/>
              <w:spacing w:after="0"/>
              <w:rPr>
                <w:sz w:val="20"/>
                <w:szCs w:val="20"/>
                <w:color w:val="auto"/>
              </w:rPr>
            </w:pPr>
            <w:r>
              <w:rPr>
                <w:rFonts w:ascii="Arial" w:cs="Arial" w:eastAsia="Arial" w:hAnsi="Arial"/>
                <w:sz w:val="18"/>
                <w:szCs w:val="18"/>
                <w:color w:val="auto"/>
              </w:rPr>
              <w:t>53</w:t>
            </w:r>
          </w:p>
        </w:tc>
        <w:tc>
          <w:tcPr>
            <w:tcW w:w="1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Finance Leases</w:t>
      </w:r>
    </w:p>
    <w:p>
      <w:pPr>
        <w:spacing w:after="0" w:line="2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Right-of-use assets for finance leases are included in property, plant and equipment on the Evergy Companies’ balance sheets. Lease liabilities for finance leases are included in other current and other long-term liabilities. Payments for finance leases as of June 30, 2019,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Evergy</w:t>
            </w:r>
          </w:p>
        </w:tc>
        <w:tc>
          <w:tcPr>
            <w:tcW w:w="20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b w:val="1"/>
                <w:bCs w:val="1"/>
                <w:color w:val="auto"/>
                <w:w w:val="93"/>
              </w:rPr>
              <w:t>Westar Energy</w:t>
            </w:r>
          </w:p>
        </w:tc>
        <w:tc>
          <w:tcPr>
            <w:tcW w:w="34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KCP&amp;L</w:t>
            </w:r>
          </w:p>
        </w:tc>
      </w:tr>
      <w:tr>
        <w:trPr>
          <w:trHeight w:val="27"/>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91"/>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2019 through December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After 2023</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46.4</w:t>
            </w:r>
          </w:p>
        </w:tc>
        <w:tc>
          <w:tcPr>
            <w:tcW w:w="3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finance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75.9</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71.9</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Amounts representing imputed interest</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49.4</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46.5</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obligations under finance leases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42.0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318"/>
        </w:trPr>
        <w:tc>
          <w:tcPr>
            <w:tcW w:w="65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15.6</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4"/>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commitments under finance leases as of December 31, 2018,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p>
      <w:pPr>
        <w:ind w:left="7240"/>
        <w:spacing w:after="0"/>
        <w:tabs>
          <w:tab w:leader="none" w:pos="8500" w:val="left"/>
          <w:tab w:leader="none" w:pos="10340" w:val="left"/>
        </w:tabs>
        <w:rPr>
          <w:sz w:val="20"/>
          <w:szCs w:val="20"/>
          <w:color w:val="auto"/>
        </w:rPr>
      </w:pPr>
      <w:r>
        <w:rPr>
          <w:rFonts w:ascii="Arial" w:cs="Arial" w:eastAsia="Arial" w:hAnsi="Arial"/>
          <w:sz w:val="18"/>
          <w:szCs w:val="18"/>
          <w:b w:val="1"/>
          <w:bCs w:val="1"/>
          <w:color w:val="auto"/>
        </w:rPr>
        <w:t>Evergy</w:t>
      </w:r>
      <w:r>
        <w:rPr>
          <w:sz w:val="20"/>
          <w:szCs w:val="20"/>
          <w:color w:val="auto"/>
        </w:rPr>
        <w:tab/>
      </w:r>
      <w:r>
        <w:rPr>
          <w:rFonts w:ascii="Arial" w:cs="Arial" w:eastAsia="Arial" w:hAnsi="Arial"/>
          <w:sz w:val="18"/>
          <w:szCs w:val="18"/>
          <w:b w:val="1"/>
          <w:bCs w:val="1"/>
          <w:color w:val="auto"/>
        </w:rPr>
        <w:t>Westar Energy</w:t>
      </w:r>
      <w:r>
        <w:rPr>
          <w:sz w:val="20"/>
          <w:szCs w:val="20"/>
          <w:color w:val="auto"/>
        </w:rPr>
        <w:tab/>
      </w:r>
      <w:r>
        <w:rPr>
          <w:rFonts w:ascii="Arial" w:cs="Arial" w:eastAsia="Arial" w:hAnsi="Arial"/>
          <w:sz w:val="18"/>
          <w:szCs w:val="18"/>
          <w:b w:val="1"/>
          <w:bCs w:val="1"/>
          <w:color w:val="auto"/>
        </w:rPr>
        <w:t>KCP&amp;L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p>
      <w:pPr>
        <w:ind w:left="8780"/>
        <w:spacing w:after="0"/>
        <w:rPr>
          <w:sz w:val="20"/>
          <w:szCs w:val="20"/>
          <w:color w:val="auto"/>
        </w:rPr>
      </w:pPr>
      <w:r>
        <w:rPr>
          <w:rFonts w:ascii="Arial" w:cs="Arial" w:eastAsia="Arial" w:hAnsi="Arial"/>
          <w:sz w:val="16"/>
          <w:szCs w:val="16"/>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After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finance lease 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representing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right="1200"/>
        <w:spacing w:after="0" w:line="321" w:lineRule="auto"/>
        <w:rPr>
          <w:sz w:val="20"/>
          <w:szCs w:val="20"/>
          <w:color w:val="auto"/>
        </w:rPr>
      </w:pPr>
      <w:r>
        <w:rPr>
          <w:rFonts w:ascii="Arial" w:cs="Arial" w:eastAsia="Arial" w:hAnsi="Arial"/>
          <w:sz w:val="18"/>
          <w:szCs w:val="18"/>
          <w:color w:val="auto"/>
        </w:rPr>
        <w:t>Present value of net minimum lease payments under finance leases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long-term obligations under finance leases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48.6</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46.4</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74.8</w:t>
            </w:r>
          </w:p>
        </w:tc>
        <w:tc>
          <w:tcPr>
            <w:tcW w:w="6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70.6</w:t>
            </w:r>
          </w:p>
        </w:tc>
        <w:tc>
          <w:tcPr>
            <w:tcW w:w="6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0"/>
        </w:trPr>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6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49.0</w:t>
            </w:r>
          </w:p>
        </w:tc>
        <w:tc>
          <w:tcPr>
            <w:tcW w:w="6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46.0</w:t>
            </w:r>
          </w:p>
        </w:tc>
        <w:tc>
          <w:tcPr>
            <w:tcW w:w="6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45.1</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42.3</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ectPr>
          <w:pgSz w:w="11900" w:h="16838" w:orient="portrait"/>
          <w:cols w:equalWidth="0" w:num="2">
            <w:col w:w="6040" w:space="720"/>
            <w:col w:w="466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Leases</w:t>
      </w:r>
    </w:p>
    <w:p>
      <w:pPr>
        <w:spacing w:after="0" w:line="2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Right-of-use assets for operating leases are included in other long-term assets on the Evergy Companies’ balance sheets. Lease liabilities for operating leases are included in other current and other long-term liabilities. Lease payments for operating leases as of June 30, 2019,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Evergy</w:t>
            </w:r>
          </w:p>
        </w:tc>
        <w:tc>
          <w:tcPr>
            <w:tcW w:w="20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b w:val="1"/>
                <w:bCs w:val="1"/>
                <w:color w:val="auto"/>
                <w:w w:val="93"/>
              </w:rPr>
              <w:t>Westar Energy</w:t>
            </w:r>
          </w:p>
        </w:tc>
        <w:tc>
          <w:tcPr>
            <w:tcW w:w="34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KCP&amp;L</w:t>
            </w:r>
          </w:p>
        </w:tc>
      </w:tr>
      <w:tr>
        <w:trPr>
          <w:trHeight w:val="27"/>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91"/>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2019 through December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10.6</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7.3</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9.3</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After 2023</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91.3</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117.1</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32.8</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Amounts representing imputed interest</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(37.4)</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96.7</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30.0</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obligations under operating leases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91.3</w:t>
            </w:r>
          </w:p>
        </w:tc>
      </w:tr>
      <w:tr>
        <w:trPr>
          <w:trHeight w:val="318"/>
        </w:trPr>
        <w:tc>
          <w:tcPr>
            <w:tcW w:w="65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4"/>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commitments under operating leases as of December 31, 2018,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Evergy</w:t>
            </w:r>
          </w:p>
        </w:tc>
        <w:tc>
          <w:tcPr>
            <w:tcW w:w="220" w:type="dxa"/>
            <w:vAlign w:val="bottom"/>
          </w:tcPr>
          <w:p>
            <w:pPr>
              <w:spacing w:after="0"/>
              <w:rPr>
                <w:sz w:val="20"/>
                <w:szCs w:val="20"/>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b w:val="1"/>
                <w:bCs w:val="1"/>
                <w:color w:val="auto"/>
                <w:w w:val="91"/>
              </w:rPr>
              <w:t>Westar Energy</w:t>
            </w:r>
          </w:p>
        </w:tc>
        <w:tc>
          <w:tcPr>
            <w:tcW w:w="3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KCP&amp;L</w:t>
            </w:r>
          </w:p>
        </w:tc>
      </w:tr>
      <w:tr>
        <w:trPr>
          <w:trHeight w:val="27"/>
        </w:trPr>
        <w:tc>
          <w:tcPr>
            <w:tcW w:w="6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5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After 2023</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7"/>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r>
      <w:tr>
        <w:trPr>
          <w:trHeight w:val="27"/>
        </w:trPr>
        <w:tc>
          <w:tcPr>
            <w:tcW w:w="6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5"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2018 Form 10-K. None of the registrants make any representation as to information related solely to Evergy, Westar Energy or KCP&amp;L other than itself.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Evergy, Inc. is a public utility holding company incorporated in 2017 and headquartered in Kansas City, Missouri. Evergy operates primarily through the following wholly-owned direct subsidiaries:</w:t>
      </w:r>
    </w:p>
    <w:p>
      <w:pPr>
        <w:spacing w:after="0" w:line="177" w:lineRule="exact"/>
        <w:rPr>
          <w:sz w:val="20"/>
          <w:szCs w:val="20"/>
          <w:color w:val="auto"/>
        </w:rPr>
      </w:pPr>
    </w:p>
    <w:p>
      <w:pPr>
        <w:ind w:left="660" w:right="40" w:hanging="328"/>
        <w:spacing w:after="0" w:line="26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Westar Energy is an integrated, regulated electric utility that provides electricity to customers in the state of Kansas. Westar Energy has one active wholly-owned subsidiary with significant operations, KGE.</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KCP&amp;L is an integrated, regulated electric utility that provides electricity to customers in the states of Missouri and Kansas.</w:t>
      </w:r>
    </w:p>
    <w:p>
      <w:pPr>
        <w:spacing w:after="0" w:line="119" w:lineRule="exact"/>
        <w:rPr>
          <w:rFonts w:ascii="Arial" w:cs="Arial" w:eastAsia="Arial" w:hAnsi="Arial"/>
          <w:sz w:val="19"/>
          <w:szCs w:val="19"/>
          <w:color w:val="auto"/>
        </w:rPr>
      </w:pPr>
    </w:p>
    <w:p>
      <w:pPr>
        <w:ind w:left="660" w:hanging="328"/>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GMO is an integrated, regulated electric utility that provides electricity to customers in the state of Missouri.</w:t>
      </w:r>
    </w:p>
    <w:p>
      <w:pPr>
        <w:spacing w:after="0" w:line="107" w:lineRule="exact"/>
        <w:rPr>
          <w:rFonts w:ascii="Arial" w:cs="Arial" w:eastAsia="Arial" w:hAnsi="Arial"/>
          <w:sz w:val="20"/>
          <w:szCs w:val="20"/>
          <w:color w:val="auto"/>
        </w:rPr>
      </w:pPr>
    </w:p>
    <w:p>
      <w:pPr>
        <w:jc w:val="both"/>
        <w:ind w:left="660" w:right="100" w:hanging="328"/>
        <w:spacing w:after="0" w:line="25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GPETHC owns 13.5% of Transource with the remaining 86.5% owned by AEP Transmission Holding Company, LLC, a subsidiary of AEP. Transource is focused on the development of competitive electric transmission projects. GPETHC accounts for its investment in Transource under the equity method.</w:t>
      </w:r>
    </w:p>
    <w:p>
      <w:pPr>
        <w:spacing w:after="0" w:line="186"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Westar Energy also owns a 50% interest in Prairie Wind, which is a joint venture between Westar Energy and affiliates of AEP and Berkshire Hathaway Energy Company. Prairie Wind owns a 108-mile, 345 kV double-circuit transmission line that provides transmission service in the SPP. Westar Energy accounts for its investment in Prairie Wind under the equity method.</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Westar Energy and KGE conduct business in their respective service territories using the name Westar Energy. KCP&amp;L and GMO conduct business in their respective service territories using the name KCP&amp;L. Collectively, the Evergy Companies have approximately 14,500 MWs of owned generating capacity and renewable purchased power agreements and engage in the generation, transmission, distribution and sale of electricity to approximately 1.6 million customers in the states of Kansas and Missouri. The Evergy Companies assess financial performance and allocate resources on a consolidated basis (i.e., operate in one segment).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Great Plains Energy and Westar Energy Merger</w:t>
      </w:r>
    </w:p>
    <w:p>
      <w:pPr>
        <w:spacing w:after="0" w:line="22"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Evergy was incorporated in 2017 as Monarch Energy, a wholly-owned subsidiary of Great Plains Energy. Prior to the closing of the merger transactions, Monarch Energy changed its name to Evergy and did not conduct any business activities other than those required for its formation and matters contemplated by the Amended Merger Agreement. On June 4, 2018, in accordance with the Amended Merger Agreement, Great Plains Energy merged into Evergy, with Evergy surviving the merger and King Energy merged into Westar Energy, with Westar Energy surviving the merger. These merger transactions resulted in Evergy becoming the parent entity of Westar Energy and the direct subsidiaries of Great Plains Energy, including KCP&amp;L and GMO. As a result of the closing of the merger transactions, each outstanding share of Great Plains Energy common stock was converted into 0.5981 shares of Evergy common stock, resulting in the issuance of 128.9 million shares. Additionally, each outstanding share of Westar Energy common stock was converted into 1 share of Evergy common stock.</w:t>
      </w:r>
    </w:p>
    <w:p>
      <w:pPr>
        <w:spacing w:after="0" w:line="17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Westar Energy was determined to be the accounting acquirer and thus, the predecessor of Evergy. Evergy had separate operations for the period beginning with the quarter ended June 30, 2018, and references to amounts for periods after the closing of the merger relate to Evergy. The results of Great Plains Energy's direct subsidiaries have been included in Evergy's results of operations from June 4, 2018, the date of the closing of the merger, and thereafter.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 Program</w:t>
      </w:r>
    </w:p>
    <w:p>
      <w:pPr>
        <w:spacing w:after="0" w:line="22"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In July 2018, the Evergy Board authorized the repurchase of up to 60 million shares of Evergy's common stock. Although this repurchase authorization has no expiration date, Evergy expects to repurchase approximately 60 million shares by mid-2020. Evergy is utilizing and plans to continue to utilize various methods to effectuate the share repurchase program, including but not limited to a series of transactions that may include ASRs, open market</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color w:val="auto"/>
        </w:rPr>
        <w:t>transactions or other means, subject to market conditions and applicable legal requirements. The repurchase program may be suspended, discontinued or resumed at any time. Year to date June 30, 2019, Evergy had total repurchases of common stock of $1,128.7 million and had repurchased 20.0 million shares under the repurchase program. Since its inception, Evergy has made total repurchases of common stock of approximately $2.2 billion and has repurchased 36.3 million shares under the repurchase program. These repurchase totals include shares repurchased under ASR agreements, one of which had not reached final settlement as of June 30, 2019.</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See Note 13 to the consolidated financial statements for more information regarding Evergy's common stock repurchase program.</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Regulatory Proceedings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color w:val="auto"/>
        </w:rPr>
        <w:t>See Note 5 to the consolidated financial statements for information regarding regulatory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154940</wp:posOffset>
            </wp:positionV>
            <wp:extent cx="72123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Year to Date</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June 30</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June 30</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3"/>
                <w:szCs w:val="23"/>
                <w:color w:val="auto"/>
              </w:rPr>
            </w:pPr>
          </w:p>
        </w:tc>
        <w:tc>
          <w:tcPr>
            <w:tcW w:w="118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Change</w:t>
            </w:r>
          </w:p>
        </w:tc>
        <w:tc>
          <w:tcPr>
            <w:tcW w:w="400" w:type="dxa"/>
            <w:vAlign w:val="bottom"/>
          </w:tcPr>
          <w:p>
            <w:pPr>
              <w:spacing w:after="0"/>
              <w:rPr>
                <w:sz w:val="23"/>
                <w:szCs w:val="23"/>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3"/>
                <w:szCs w:val="23"/>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Change</w:t>
            </w:r>
          </w:p>
        </w:tc>
      </w:tr>
      <w:tr>
        <w:trPr>
          <w:trHeight w:val="27"/>
        </w:trPr>
        <w:tc>
          <w:tcPr>
            <w:tcW w:w="3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40" w:type="dxa"/>
            <w:vAlign w:val="bottom"/>
            <w:gridSpan w:val="4"/>
          </w:tcPr>
          <w:p>
            <w:pPr>
              <w:ind w:left="20"/>
              <w:spacing w:after="0"/>
              <w:rPr>
                <w:sz w:val="20"/>
                <w:szCs w:val="20"/>
                <w:color w:val="auto"/>
              </w:rPr>
            </w:pPr>
            <w:r>
              <w:rPr>
                <w:rFonts w:ascii="Arial" w:cs="Arial" w:eastAsia="Arial" w:hAnsi="Arial"/>
                <w:sz w:val="16"/>
                <w:szCs w:val="16"/>
                <w:color w:val="auto"/>
                <w:w w:val="96"/>
              </w:rPr>
              <w:t>(millions, except per share amounts)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101.8</w:t>
            </w: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Earnings per common share, diluted</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0.57</w:t>
            </w:r>
          </w:p>
        </w:tc>
        <w:tc>
          <w:tcPr>
            <w:tcW w:w="500" w:type="dxa"/>
            <w:vAlign w:val="bottom"/>
          </w:tcPr>
          <w:p>
            <w:pPr>
              <w:spacing w:after="0"/>
              <w:rPr>
                <w:sz w:val="21"/>
                <w:szCs w:val="21"/>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0.96</w:t>
            </w:r>
          </w:p>
        </w:tc>
        <w:tc>
          <w:tcPr>
            <w:tcW w:w="3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34"/>
        </w:trPr>
        <w:tc>
          <w:tcPr>
            <w:tcW w:w="3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ind w:left="60" w:right="280"/>
        <w:spacing w:after="0" w:line="246" w:lineRule="auto"/>
        <w:rPr>
          <w:sz w:val="20"/>
          <w:szCs w:val="20"/>
          <w:color w:val="auto"/>
        </w:rPr>
      </w:pPr>
      <w:r>
        <w:rPr>
          <w:rFonts w:ascii="Arial" w:cs="Arial" w:eastAsia="Arial" w:hAnsi="Arial"/>
          <w:sz w:val="20"/>
          <w:szCs w:val="20"/>
          <w:color w:val="auto"/>
        </w:rPr>
        <w:t>Net income attributable to Evergy, Inc. increased for the three months ended June 30, 2019, compared to the same period in 2018, primarily due to the inclusion of KCP&amp;L's and GMO's earnings in April and May of 2019 and merger-related costs and reductions of revenue for customer bill credits incurred in June 2018 following the consummation of the merger, partially offset by lower Westar Energy retail sales driven by unfavorable weather.</w:t>
      </w:r>
    </w:p>
    <w:p>
      <w:pPr>
        <w:spacing w:after="0" w:line="192" w:lineRule="exact"/>
        <w:rPr>
          <w:sz w:val="20"/>
          <w:szCs w:val="20"/>
          <w:color w:val="auto"/>
        </w:rPr>
      </w:pPr>
    </w:p>
    <w:p>
      <w:pPr>
        <w:ind w:left="60" w:right="40"/>
        <w:spacing w:after="0" w:line="260" w:lineRule="auto"/>
        <w:rPr>
          <w:sz w:val="20"/>
          <w:szCs w:val="20"/>
          <w:color w:val="auto"/>
        </w:rPr>
      </w:pPr>
      <w:r>
        <w:rPr>
          <w:rFonts w:ascii="Arial" w:cs="Arial" w:eastAsia="Arial" w:hAnsi="Arial"/>
          <w:sz w:val="19"/>
          <w:szCs w:val="19"/>
          <w:color w:val="auto"/>
        </w:rPr>
        <w:t>Diluted EPS increased for the three months ended June 30, 2019, compared to the same period in 2018, primarily due to the increase in net income attributable to Evergy, Inc. discussed above, largely offset by a higher number of diluted weighted average common shares outstanding in 2019, which diluted EPS by $0.20 for the three months ended June 30, 2019. The higher number of diluted weighted average common shares in 2019 was due to the issuance of common shares to shareholders as a result of the merger in June 2018, partially offset by shares repurchased under Evergy's common stock repurchase program.</w:t>
      </w:r>
    </w:p>
    <w:p>
      <w:pPr>
        <w:spacing w:after="0" w:line="181" w:lineRule="exact"/>
        <w:rPr>
          <w:sz w:val="20"/>
          <w:szCs w:val="20"/>
          <w:color w:val="auto"/>
        </w:rPr>
      </w:pPr>
    </w:p>
    <w:p>
      <w:pPr>
        <w:ind w:left="60" w:right="260"/>
        <w:spacing w:after="0" w:line="246" w:lineRule="auto"/>
        <w:rPr>
          <w:sz w:val="20"/>
          <w:szCs w:val="20"/>
          <w:color w:val="auto"/>
        </w:rPr>
      </w:pPr>
      <w:r>
        <w:rPr>
          <w:rFonts w:ascii="Arial" w:cs="Arial" w:eastAsia="Arial" w:hAnsi="Arial"/>
          <w:sz w:val="20"/>
          <w:szCs w:val="20"/>
          <w:color w:val="auto"/>
        </w:rPr>
        <w:t>Net income attributable to Evergy, Inc. increased for year to date June 30, 2019, compared to the same period in 2018, primarily due to the inclusion of KCP&amp;L's and GMO's earnings in the first five months of 2019 and merger-related costs and reductions of revenue for customer bill credits incurred in June 2018 following the consummation of the merger, partially offset by lower Westar Energy retail sales driven by unfavorable weather.</w:t>
      </w:r>
    </w:p>
    <w:p>
      <w:pPr>
        <w:spacing w:after="0" w:line="192" w:lineRule="exact"/>
        <w:rPr>
          <w:sz w:val="20"/>
          <w:szCs w:val="20"/>
          <w:color w:val="auto"/>
        </w:rPr>
      </w:pPr>
    </w:p>
    <w:p>
      <w:pPr>
        <w:ind w:left="60" w:right="180"/>
        <w:spacing w:after="0" w:line="244" w:lineRule="auto"/>
        <w:rPr>
          <w:sz w:val="20"/>
          <w:szCs w:val="20"/>
          <w:color w:val="auto"/>
        </w:rPr>
      </w:pPr>
      <w:r>
        <w:rPr>
          <w:rFonts w:ascii="Arial" w:cs="Arial" w:eastAsia="Arial" w:hAnsi="Arial"/>
          <w:sz w:val="20"/>
          <w:szCs w:val="20"/>
          <w:color w:val="auto"/>
        </w:rPr>
        <w:t>Diluted EPS decreased for year to date June 30, 2019, compared to the same period in 2018, primarily due to a higher number of diluted weighted average common shares outstanding in 2019, which diluted EPS by $0.51 for year to date June 30, 2019, partially offset by the increase to net income attributable to Evergy, Inc. discussed above. The higher number of diluted weighted average common shares in 2019 was due to the issuance of common shares to shareholders as a result of the merger in June 2018, partially offset by shares repurchased under Evergy's common stock repurchase program.</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Adjusted Earnings (non-GAAP) and Adjusted Earnings Per Share (non-GAAP)</w:t>
      </w:r>
    </w:p>
    <w:p>
      <w:pPr>
        <w:spacing w:after="0" w:line="22" w:lineRule="exact"/>
        <w:rPr>
          <w:sz w:val="20"/>
          <w:szCs w:val="20"/>
          <w:color w:val="auto"/>
        </w:rPr>
      </w:pPr>
    </w:p>
    <w:p>
      <w:pPr>
        <w:ind w:left="60" w:right="360"/>
        <w:spacing w:after="0" w:line="244" w:lineRule="auto"/>
        <w:rPr>
          <w:sz w:val="20"/>
          <w:szCs w:val="20"/>
          <w:color w:val="auto"/>
        </w:rPr>
      </w:pPr>
      <w:r>
        <w:rPr>
          <w:rFonts w:ascii="Arial" w:cs="Arial" w:eastAsia="Arial" w:hAnsi="Arial"/>
          <w:sz w:val="20"/>
          <w:szCs w:val="20"/>
          <w:color w:val="auto"/>
        </w:rPr>
        <w:t>Evergy's adjusted earnings (non-GAAP) and adjusted earnings per share (non-GAAP) for the three months ended and year to date June 30, 2019, were $140.3 million or $0.58 per share and $251.4 million or $1.01 per share,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0" w:right="320"/>
        <w:spacing w:after="0" w:line="276" w:lineRule="auto"/>
        <w:rPr>
          <w:sz w:val="20"/>
          <w:szCs w:val="20"/>
          <w:color w:val="auto"/>
        </w:rPr>
      </w:pPr>
      <w:r>
        <w:rPr>
          <w:rFonts w:ascii="Arial" w:cs="Arial" w:eastAsia="Arial" w:hAnsi="Arial"/>
          <w:sz w:val="18"/>
          <w:szCs w:val="18"/>
          <w:color w:val="auto"/>
        </w:rPr>
        <w:t>respectively. For the three months ended and year to date June 30, 2018, Evergy's adjusted earnings (non-GAAP) and adjusted earnings per share (non-GAAP) were $179.1 million and $0.67 per share and $271.0 million or $1.00 per share, respectively. In addition to net income attributable to Evergy, Inc., diluted earnings per common share, pro forma net income attributable to Evergy, Inc. and pro forma diluted earnings per common share as prepared in accordance with GAAP, Evergy's management uses adjusted earnings (non-GAAP) and adjusted earnings per share (non-GAAP) to evaluate earnings and earnings per share without the non-recurring costs and/or benefits resulting from rebranding, voluntary severance and significant items related to the Great Plains Energy and Westar Energy merger.</w:t>
      </w:r>
    </w:p>
    <w:p>
      <w:pPr>
        <w:spacing w:after="0" w:line="165" w:lineRule="exact"/>
        <w:rPr>
          <w:sz w:val="20"/>
          <w:szCs w:val="20"/>
          <w:color w:val="auto"/>
        </w:rPr>
      </w:pPr>
    </w:p>
    <w:p>
      <w:pPr>
        <w:ind w:left="60" w:right="160"/>
        <w:spacing w:after="0" w:line="276" w:lineRule="auto"/>
        <w:rPr>
          <w:sz w:val="20"/>
          <w:szCs w:val="20"/>
          <w:color w:val="auto"/>
        </w:rPr>
      </w:pPr>
      <w:r>
        <w:rPr>
          <w:rFonts w:ascii="Arial" w:cs="Arial" w:eastAsia="Arial" w:hAnsi="Arial"/>
          <w:sz w:val="18"/>
          <w:szCs w:val="18"/>
          <w:color w:val="auto"/>
        </w:rPr>
        <w:t>Adjusted earnings (non-GAAP) and adjusted earnings per share (non-GAAP) exclude certain costs and/or benefits resulting from rebranding, voluntary severance and the Great Plains Energy and Westar Energy merger. This information is intended to enhance an investor's overall understanding of results. Adjusted earnings (non-GAAP) and adjusted earnings per share (non-GAAP) are used internally to measure performance against budget and in reports for management and the Evergy Board. Adjusted earnings (non-GAAP) and adjusted earnings per share (non-GAAP) are financial measures that are not calculated in accordance with GAAP and may not be comparable to other companies' presentations or more useful than the GAAP information provided elsewhere in this report.</w:t>
      </w:r>
    </w:p>
    <w:p>
      <w:pPr>
        <w:spacing w:after="0" w:line="165" w:lineRule="exact"/>
        <w:rPr>
          <w:sz w:val="20"/>
          <w:szCs w:val="20"/>
          <w:color w:val="auto"/>
        </w:rPr>
      </w:pPr>
    </w:p>
    <w:p>
      <w:pPr>
        <w:ind w:left="60" w:right="240"/>
        <w:spacing w:after="0" w:line="250" w:lineRule="auto"/>
        <w:rPr>
          <w:sz w:val="20"/>
          <w:szCs w:val="20"/>
          <w:color w:val="auto"/>
        </w:rPr>
      </w:pPr>
      <w:r>
        <w:rPr>
          <w:rFonts w:ascii="Arial" w:cs="Arial" w:eastAsia="Arial" w:hAnsi="Arial"/>
          <w:sz w:val="20"/>
          <w:szCs w:val="20"/>
          <w:color w:val="auto"/>
        </w:rPr>
        <w:t>The following tables provide a reconciliation between net income attributable to Evergy, Inc., diluted earnings per common share, pro forma net income attributable to Evergy, Inc. and pro forma diluted earnings per common share as determined in accordance with GAAP and adjusted earnings (non-GAAP) and adjusted earnings per share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214630</wp:posOffset>
            </wp:positionV>
            <wp:extent cx="72123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Earnings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5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Earnings</w:t>
            </w:r>
          </w:p>
        </w:tc>
        <w:tc>
          <w:tcPr>
            <w:tcW w:w="2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(Loss) per</w:t>
            </w:r>
          </w:p>
        </w:tc>
      </w:tr>
      <w:tr>
        <w:trPr>
          <w:trHeight w:val="234"/>
        </w:trPr>
        <w:tc>
          <w:tcPr>
            <w:tcW w:w="5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(Loss)</w:t>
            </w: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Diluted Share</w:t>
            </w:r>
          </w:p>
        </w:tc>
        <w:tc>
          <w:tcPr>
            <w:tcW w:w="2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Diluted Share</w:t>
            </w:r>
          </w:p>
        </w:tc>
      </w:tr>
      <w:tr>
        <w:trPr>
          <w:trHeight w:val="27"/>
        </w:trPr>
        <w:tc>
          <w:tcPr>
            <w:tcW w:w="5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spacing w:after="0"/>
              <w:rPr>
                <w:sz w:val="20"/>
                <w:szCs w:val="20"/>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20" w:type="dxa"/>
            <w:vAlign w:val="bottom"/>
            <w:gridSpan w:val="4"/>
          </w:tcPr>
          <w:p>
            <w:pPr>
              <w:ind w:left="100"/>
              <w:spacing w:after="0"/>
              <w:rPr>
                <w:sz w:val="20"/>
                <w:szCs w:val="20"/>
                <w:color w:val="auto"/>
              </w:rPr>
            </w:pPr>
            <w:r>
              <w:rPr>
                <w:rFonts w:ascii="Arial" w:cs="Arial" w:eastAsia="Arial" w:hAnsi="Arial"/>
                <w:sz w:val="16"/>
                <w:szCs w:val="16"/>
                <w:color w:val="auto"/>
                <w:w w:val="93"/>
              </w:rPr>
              <w:t>(millions, except per share amounts)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139.7</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r>
      <w:tr>
        <w:trPr>
          <w:trHeight w:val="270"/>
        </w:trPr>
        <w:tc>
          <w:tcPr>
            <w:tcW w:w="5000" w:type="dxa"/>
            <w:vAlign w:val="bottom"/>
          </w:tcPr>
          <w:p>
            <w:pPr>
              <w:ind w:left="20"/>
              <w:spacing w:after="0" w:line="270" w:lineRule="exact"/>
              <w:rPr>
                <w:sz w:val="20"/>
                <w:szCs w:val="20"/>
                <w:color w:val="auto"/>
              </w:rPr>
            </w:pPr>
            <w:r>
              <w:rPr>
                <w:rFonts w:ascii="Arial" w:cs="Arial" w:eastAsia="Arial" w:hAnsi="Arial"/>
                <w:sz w:val="18"/>
                <w:szCs w:val="18"/>
                <w:color w:val="auto"/>
              </w:rPr>
              <w:t>Pro forma adjustments</w:t>
            </w:r>
            <w:r>
              <w:rPr>
                <w:rFonts w:ascii="Arial" w:cs="Arial" w:eastAsia="Arial" w:hAnsi="Arial"/>
                <w:sz w:val="25"/>
                <w:szCs w:val="25"/>
                <w:color w:val="auto"/>
                <w:vertAlign w:val="superscript"/>
              </w:rPr>
              <w:t>(a)</w:t>
            </w:r>
            <w:r>
              <w:rPr>
                <w:rFonts w:ascii="Arial" w:cs="Arial" w:eastAsia="Arial" w:hAnsi="Arial"/>
                <w:sz w:val="18"/>
                <w:szCs w:val="18"/>
                <w:color w:val="auto"/>
              </w:rPr>
              <w:t>:</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Great Plains Energy earnings prior to merger</w:t>
            </w: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59.4</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43"/>
        </w:trPr>
        <w:tc>
          <w:tcPr>
            <w:tcW w:w="5000" w:type="dxa"/>
            <w:vAlign w:val="bottom"/>
          </w:tcPr>
          <w:p>
            <w:pPr>
              <w:ind w:left="380"/>
              <w:spacing w:after="0"/>
              <w:rPr>
                <w:sz w:val="20"/>
                <w:szCs w:val="20"/>
                <w:color w:val="auto"/>
              </w:rPr>
            </w:pPr>
            <w:r>
              <w:rPr>
                <w:rFonts w:ascii="Arial" w:cs="Arial" w:eastAsia="Arial" w:hAnsi="Arial"/>
                <w:sz w:val="18"/>
                <w:szCs w:val="18"/>
                <w:color w:val="auto"/>
              </w:rPr>
              <w:t>Great Plains Energy shares prior to merger</w:t>
            </w: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merger costs and other</w:t>
            </w:r>
          </w:p>
        </w:tc>
        <w:tc>
          <w:tcPr>
            <w:tcW w:w="1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82.5</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Pro forma net income attributable to Evergy, Inc.</w:t>
            </w:r>
          </w:p>
        </w:tc>
        <w:tc>
          <w:tcPr>
            <w:tcW w:w="14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139.7</w:t>
            </w:r>
          </w:p>
        </w:tc>
        <w:tc>
          <w:tcPr>
            <w:tcW w:w="2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0.57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243.7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0.90</w:t>
            </w:r>
          </w:p>
        </w:tc>
      </w:tr>
      <w:tr>
        <w:trPr>
          <w:trHeight w:val="27"/>
        </w:trPr>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reconciling items:</w:t>
            </w:r>
          </w:p>
        </w:tc>
        <w:tc>
          <w:tcPr>
            <w:tcW w:w="1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5000" w:type="dxa"/>
            <w:vAlign w:val="bottom"/>
          </w:tcPr>
          <w:p>
            <w:pPr>
              <w:ind w:left="360"/>
              <w:spacing w:after="0" w:line="270" w:lineRule="exact"/>
              <w:rPr>
                <w:sz w:val="20"/>
                <w:szCs w:val="20"/>
                <w:color w:val="auto"/>
              </w:rPr>
            </w:pPr>
            <w:r>
              <w:rPr>
                <w:rFonts w:ascii="Arial" w:cs="Arial" w:eastAsia="Arial" w:hAnsi="Arial"/>
                <w:sz w:val="18"/>
                <w:szCs w:val="18"/>
                <w:color w:val="auto"/>
              </w:rPr>
              <w:t>Rebranding costs, pre-tax</w:t>
            </w:r>
            <w:r>
              <w:rPr>
                <w:rFonts w:ascii="Arial" w:cs="Arial" w:eastAsia="Arial" w:hAnsi="Arial"/>
                <w:sz w:val="25"/>
                <w:szCs w:val="25"/>
                <w:color w:val="auto"/>
                <w:vertAlign w:val="superscript"/>
              </w:rPr>
              <w:t>(b)</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0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Voluntary severance costs, pre tax</w:t>
            </w:r>
            <w:r>
              <w:rPr>
                <w:rFonts w:ascii="Arial" w:cs="Arial" w:eastAsia="Arial" w:hAnsi="Arial"/>
                <w:sz w:val="25"/>
                <w:szCs w:val="25"/>
                <w:color w:val="auto"/>
                <w:vertAlign w:val="superscript"/>
              </w:rPr>
              <w:t>(c)</w:t>
            </w:r>
          </w:p>
        </w:tc>
        <w:tc>
          <w:tcPr>
            <w:tcW w:w="1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000" w:type="dxa"/>
            <w:vAlign w:val="bottom"/>
          </w:tcPr>
          <w:p>
            <w:pPr>
              <w:ind w:left="360"/>
              <w:spacing w:after="0" w:line="270" w:lineRule="exact"/>
              <w:rPr>
                <w:sz w:val="20"/>
                <w:szCs w:val="20"/>
                <w:color w:val="auto"/>
              </w:rPr>
            </w:pPr>
            <w:r>
              <w:rPr>
                <w:rFonts w:ascii="Arial" w:cs="Arial" w:eastAsia="Arial" w:hAnsi="Arial"/>
                <w:sz w:val="18"/>
                <w:szCs w:val="18"/>
                <w:color w:val="auto"/>
              </w:rPr>
              <w:t>Composite tax rate change</w:t>
            </w:r>
            <w:r>
              <w:rPr>
                <w:rFonts w:ascii="Arial" w:cs="Arial" w:eastAsia="Arial" w:hAnsi="Arial"/>
                <w:sz w:val="25"/>
                <w:szCs w:val="25"/>
                <w:color w:val="auto"/>
                <w:vertAlign w:val="superscript"/>
              </w:rPr>
              <w:t>(d)</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0"/>
        </w:trPr>
        <w:tc>
          <w:tcPr>
            <w:tcW w:w="50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Deferral of merger transition costs, pre-tax</w:t>
            </w:r>
            <w:r>
              <w:rPr>
                <w:rFonts w:ascii="Arial" w:cs="Arial" w:eastAsia="Arial" w:hAnsi="Arial"/>
                <w:sz w:val="25"/>
                <w:szCs w:val="25"/>
                <w:color w:val="auto"/>
                <w:vertAlign w:val="superscript"/>
              </w:rPr>
              <w:t>(e)</w:t>
            </w:r>
          </w:p>
        </w:tc>
        <w:tc>
          <w:tcPr>
            <w:tcW w:w="1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70"/>
        </w:trPr>
        <w:tc>
          <w:tcPr>
            <w:tcW w:w="5000" w:type="dxa"/>
            <w:vAlign w:val="bottom"/>
          </w:tcPr>
          <w:p>
            <w:pPr>
              <w:ind w:left="380"/>
              <w:spacing w:after="0" w:line="270" w:lineRule="exact"/>
              <w:rPr>
                <w:sz w:val="20"/>
                <w:szCs w:val="20"/>
                <w:color w:val="auto"/>
              </w:rPr>
            </w:pPr>
            <w:r>
              <w:rPr>
                <w:rFonts w:ascii="Arial" w:cs="Arial" w:eastAsia="Arial" w:hAnsi="Arial"/>
                <w:sz w:val="18"/>
                <w:szCs w:val="18"/>
                <w:color w:val="auto"/>
              </w:rPr>
              <w:t>Inventory write-off at retiring generating units, pre-tax</w:t>
            </w:r>
            <w:r>
              <w:rPr>
                <w:rFonts w:ascii="Arial" w:cs="Arial" w:eastAsia="Arial" w:hAnsi="Arial"/>
                <w:sz w:val="25"/>
                <w:szCs w:val="25"/>
                <w:color w:val="auto"/>
                <w:vertAlign w:val="superscript"/>
              </w:rPr>
              <w:t>(f)</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5000" w:type="dxa"/>
            <w:vAlign w:val="bottom"/>
            <w:tcBorders>
              <w:bottom w:val="single" w:sz="8" w:color="auto"/>
            </w:tcBorders>
            <w:shd w:val="clear" w:color="auto" w:fill="CCEEFF"/>
          </w:tcPr>
          <w:p>
            <w:pPr>
              <w:ind w:left="360"/>
              <w:spacing w:after="0" w:line="27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5"/>
                <w:szCs w:val="25"/>
                <w:color w:val="auto"/>
                <w:vertAlign w:val="superscript"/>
              </w:rPr>
              <w:t>(g)</w:t>
            </w:r>
          </w:p>
        </w:tc>
        <w:tc>
          <w:tcPr>
            <w:tcW w:w="148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Adjusted earnings (non-GAAP)</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140.3</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0.67</w:t>
            </w:r>
          </w:p>
        </w:tc>
      </w:tr>
      <w:tr>
        <w:trPr>
          <w:trHeight w:val="34"/>
        </w:trPr>
        <w:tc>
          <w:tcPr>
            <w:tcW w:w="5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864"/>
        </w:trPr>
        <w:tc>
          <w:tcPr>
            <w:tcW w:w="5000" w:type="dxa"/>
            <w:vAlign w:val="bottom"/>
          </w:tcPr>
          <w:p>
            <w:pPr>
              <w:spacing w:after="0"/>
              <w:rPr>
                <w:sz w:val="24"/>
                <w:szCs w:val="24"/>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396875</wp:posOffset>
            </wp:positionV>
            <wp:extent cx="72123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(Loss) per</w:t>
            </w:r>
          </w:p>
        </w:tc>
        <w:tc>
          <w:tcPr>
            <w:tcW w:w="20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Earnings</w:t>
            </w:r>
          </w:p>
        </w:tc>
        <w:tc>
          <w:tcPr>
            <w:tcW w:w="22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(Loss) per</w:t>
            </w:r>
          </w:p>
        </w:tc>
      </w:tr>
      <w:tr>
        <w:trPr>
          <w:trHeight w:val="234"/>
        </w:trPr>
        <w:tc>
          <w:tcPr>
            <w:tcW w:w="62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Earnings (Loss)</w:t>
            </w: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Diluted Share</w:t>
            </w:r>
          </w:p>
        </w:tc>
        <w:tc>
          <w:tcPr>
            <w:tcW w:w="20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(Loss)</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Diluted Share</w:t>
            </w:r>
          </w:p>
        </w:tc>
      </w:tr>
      <w:tr>
        <w:trPr>
          <w:trHeight w:val="27"/>
        </w:trPr>
        <w:tc>
          <w:tcPr>
            <w:tcW w:w="6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20" w:type="dxa"/>
            <w:vAlign w:val="bottom"/>
            <w:gridSpan w:val="4"/>
          </w:tcPr>
          <w:p>
            <w:pPr>
              <w:jc w:val="center"/>
              <w:spacing w:after="0"/>
              <w:rPr>
                <w:sz w:val="20"/>
                <w:szCs w:val="20"/>
                <w:color w:val="auto"/>
              </w:rPr>
            </w:pPr>
            <w:r>
              <w:rPr>
                <w:rFonts w:ascii="Arial" w:cs="Arial" w:eastAsia="Arial" w:hAnsi="Arial"/>
                <w:sz w:val="16"/>
                <w:szCs w:val="16"/>
                <w:color w:val="auto"/>
                <w:w w:val="91"/>
              </w:rPr>
              <w:t>(millions, except per share amounts)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239.2</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6260" w:type="dxa"/>
            <w:vAlign w:val="bottom"/>
          </w:tcPr>
          <w:p>
            <w:pPr>
              <w:ind w:left="20"/>
              <w:spacing w:after="0" w:line="270" w:lineRule="exact"/>
              <w:rPr>
                <w:sz w:val="20"/>
                <w:szCs w:val="20"/>
                <w:color w:val="auto"/>
              </w:rPr>
            </w:pPr>
            <w:r>
              <w:rPr>
                <w:rFonts w:ascii="Arial" w:cs="Arial" w:eastAsia="Arial" w:hAnsi="Arial"/>
                <w:sz w:val="18"/>
                <w:szCs w:val="18"/>
                <w:color w:val="auto"/>
              </w:rPr>
              <w:t>Pro forma adjustments</w:t>
            </w:r>
            <w:r>
              <w:rPr>
                <w:rFonts w:ascii="Arial" w:cs="Arial" w:eastAsia="Arial" w:hAnsi="Arial"/>
                <w:sz w:val="25"/>
                <w:szCs w:val="25"/>
                <w:color w:val="auto"/>
                <w:vertAlign w:val="superscript"/>
              </w:rPr>
              <w:t>(a)</w:t>
            </w: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Great Plains Energy earnings prior to merger</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Great Plains Energy shares prior to merger</w:t>
            </w:r>
          </w:p>
        </w:tc>
        <w:tc>
          <w:tcPr>
            <w:tcW w:w="4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7"/>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merger costs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78.9</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Pro forma net income attributable to Evergy, Inc.</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239.2</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0.96</w:t>
            </w: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335.6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reconciling items:</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6260" w:type="dxa"/>
            <w:vAlign w:val="bottom"/>
          </w:tcPr>
          <w:p>
            <w:pPr>
              <w:ind w:left="360"/>
              <w:spacing w:after="0" w:line="270" w:lineRule="exact"/>
              <w:rPr>
                <w:sz w:val="20"/>
                <w:szCs w:val="20"/>
                <w:color w:val="auto"/>
              </w:rPr>
            </w:pPr>
            <w:r>
              <w:rPr>
                <w:rFonts w:ascii="Arial" w:cs="Arial" w:eastAsia="Arial" w:hAnsi="Arial"/>
                <w:sz w:val="18"/>
                <w:szCs w:val="18"/>
                <w:color w:val="auto"/>
              </w:rPr>
              <w:t>Rebranding costs, pre-tax</w:t>
            </w:r>
            <w:r>
              <w:rPr>
                <w:rFonts w:ascii="Arial" w:cs="Arial" w:eastAsia="Arial" w:hAnsi="Arial"/>
                <w:sz w:val="25"/>
                <w:szCs w:val="25"/>
                <w:color w:val="auto"/>
                <w:vertAlign w:val="superscript"/>
              </w:rPr>
              <w:t>(b)</w:t>
            </w:r>
          </w:p>
        </w:tc>
        <w:tc>
          <w:tcPr>
            <w:tcW w:w="4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Voluntary severance costs, pre tax</w:t>
            </w:r>
            <w:r>
              <w:rPr>
                <w:rFonts w:ascii="Arial" w:cs="Arial" w:eastAsia="Arial" w:hAnsi="Arial"/>
                <w:sz w:val="25"/>
                <w:szCs w:val="25"/>
                <w:color w:val="auto"/>
                <w:vertAlign w:val="superscript"/>
              </w:rPr>
              <w:t>(c)</w:t>
            </w: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tcPr>
          <w:p>
            <w:pPr>
              <w:ind w:left="360"/>
              <w:spacing w:after="0" w:line="270" w:lineRule="exact"/>
              <w:rPr>
                <w:sz w:val="20"/>
                <w:szCs w:val="20"/>
                <w:color w:val="auto"/>
              </w:rPr>
            </w:pPr>
            <w:r>
              <w:rPr>
                <w:rFonts w:ascii="Arial" w:cs="Arial" w:eastAsia="Arial" w:hAnsi="Arial"/>
                <w:sz w:val="18"/>
                <w:szCs w:val="18"/>
                <w:color w:val="auto"/>
              </w:rPr>
              <w:t>Composite tax rate change</w:t>
            </w:r>
            <w:r>
              <w:rPr>
                <w:rFonts w:ascii="Arial" w:cs="Arial" w:eastAsia="Arial" w:hAnsi="Arial"/>
                <w:sz w:val="25"/>
                <w:szCs w:val="25"/>
                <w:color w:val="auto"/>
                <w:vertAlign w:val="superscript"/>
              </w:rPr>
              <w:t>(d)</w:t>
            </w:r>
          </w:p>
        </w:tc>
        <w:tc>
          <w:tcPr>
            <w:tcW w:w="4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0"/>
        </w:trPr>
        <w:tc>
          <w:tcPr>
            <w:tcW w:w="62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Deferral of merger transition costs, pre-tax</w:t>
            </w:r>
            <w:r>
              <w:rPr>
                <w:rFonts w:ascii="Arial" w:cs="Arial" w:eastAsia="Arial" w:hAnsi="Arial"/>
                <w:sz w:val="25"/>
                <w:szCs w:val="25"/>
                <w:color w:val="auto"/>
                <w:vertAlign w:val="superscript"/>
              </w:rPr>
              <w:t>(e)</w:t>
            </w: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70"/>
        </w:trPr>
        <w:tc>
          <w:tcPr>
            <w:tcW w:w="6260" w:type="dxa"/>
            <w:vAlign w:val="bottom"/>
          </w:tcPr>
          <w:p>
            <w:pPr>
              <w:ind w:left="380"/>
              <w:spacing w:after="0" w:line="270" w:lineRule="exact"/>
              <w:rPr>
                <w:sz w:val="20"/>
                <w:szCs w:val="20"/>
                <w:color w:val="auto"/>
              </w:rPr>
            </w:pPr>
            <w:r>
              <w:rPr>
                <w:rFonts w:ascii="Arial" w:cs="Arial" w:eastAsia="Arial" w:hAnsi="Arial"/>
                <w:sz w:val="18"/>
                <w:szCs w:val="18"/>
                <w:color w:val="auto"/>
              </w:rPr>
              <w:t>Inventory write-off at retiring generating units, pre-tax</w:t>
            </w:r>
            <w:r>
              <w:rPr>
                <w:rFonts w:ascii="Arial" w:cs="Arial" w:eastAsia="Arial" w:hAnsi="Arial"/>
                <w:sz w:val="25"/>
                <w:szCs w:val="25"/>
                <w:color w:val="auto"/>
                <w:vertAlign w:val="superscript"/>
              </w:rPr>
              <w:t>(f)</w:t>
            </w:r>
          </w:p>
        </w:tc>
        <w:tc>
          <w:tcPr>
            <w:tcW w:w="4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6260" w:type="dxa"/>
            <w:vAlign w:val="bottom"/>
            <w:tcBorders>
              <w:bottom w:val="single" w:sz="8" w:color="auto"/>
            </w:tcBorders>
            <w:shd w:val="clear" w:color="auto" w:fill="CCEEFF"/>
          </w:tcPr>
          <w:p>
            <w:pPr>
              <w:ind w:left="360"/>
              <w:spacing w:after="0" w:line="27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5"/>
                <w:szCs w:val="25"/>
                <w:color w:val="auto"/>
                <w:vertAlign w:val="superscript"/>
              </w:rPr>
              <w:t>(g)</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Adjusted earnings (non-GAAP)</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251.4</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271.0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34"/>
        </w:trPr>
        <w:tc>
          <w:tcPr>
            <w:tcW w:w="6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180" w:right="340" w:hanging="172"/>
        <w:spacing w:after="0" w:line="237"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 xml:space="preserve">Reflects pro forma adjustments made in accordance with Article 11 of Regulation S-X and Accounting Standards Codification (ASC) 805 - </w:t>
      </w:r>
      <w:r>
        <w:rPr>
          <w:rFonts w:ascii="Arial" w:cs="Arial" w:eastAsia="Arial" w:hAnsi="Arial"/>
          <w:sz w:val="15"/>
          <w:szCs w:val="15"/>
          <w:i w:val="1"/>
          <w:iCs w:val="1"/>
          <w:color w:val="auto"/>
        </w:rPr>
        <w:t>Business Combinations</w:t>
      </w:r>
      <w:r>
        <w:rPr>
          <w:rFonts w:ascii="Arial" w:cs="Arial" w:eastAsia="Arial" w:hAnsi="Arial"/>
          <w:sz w:val="15"/>
          <w:szCs w:val="15"/>
          <w:color w:val="auto"/>
        </w:rPr>
        <w:t>. See Note 2 to the consolidated financial statements in the Evergy Companies' Quarterly Report on Form 10-Q for the quarterly period ended June 30, 2018 for further information regarding these adjustments.</w:t>
      </w:r>
    </w:p>
    <w:p>
      <w:pPr>
        <w:spacing w:after="0" w:line="2" w:lineRule="exact"/>
        <w:rPr>
          <w:rFonts w:ascii="Arial" w:cs="Arial" w:eastAsia="Arial" w:hAnsi="Arial"/>
          <w:sz w:val="21"/>
          <w:szCs w:val="21"/>
          <w:color w:val="auto"/>
          <w:vertAlign w:val="superscript"/>
        </w:rPr>
      </w:pPr>
    </w:p>
    <w:p>
      <w:pPr>
        <w:ind w:left="180" w:right="300" w:hanging="172"/>
        <w:spacing w:after="0" w:line="219"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Reflects external costs incurred to rebrand the legacy Westar Energy and KCP&amp;L utility brands to Evergy and are included in operating and maintenance expense on the consolidated statements of comprehensive income.</w:t>
      </w:r>
    </w:p>
    <w:p>
      <w:pPr>
        <w:ind w:left="180" w:right="80" w:hanging="172"/>
        <w:spacing w:after="0" w:line="207" w:lineRule="auto"/>
        <w:tabs>
          <w:tab w:leader="none" w:pos="18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Reflects voluntary severance costs incurred associated with certain severance programs at the Evergy Companies and are included in operating and maintenance expense on the consolidated statements of comprehensive income.</w:t>
      </w:r>
    </w:p>
    <w:p>
      <w:pPr>
        <w:spacing w:after="0" w:line="1" w:lineRule="exact"/>
        <w:rPr>
          <w:rFonts w:ascii="Arial" w:cs="Arial" w:eastAsia="Arial" w:hAnsi="Arial"/>
          <w:sz w:val="22"/>
          <w:szCs w:val="22"/>
          <w:color w:val="auto"/>
          <w:vertAlign w:val="superscript"/>
        </w:rPr>
      </w:pPr>
    </w:p>
    <w:p>
      <w:pPr>
        <w:ind w:left="180" w:right="200" w:hanging="172"/>
        <w:spacing w:after="0" w:line="219"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Reflects the revaluation of Westar Energy's deferred income tax assets and liabilities based on the Evergy composite tax rate as a result of the merger in June 2018 and are included in income tax expense on the consolidated statements of comprehensive income.</w:t>
      </w:r>
    </w:p>
    <w:p>
      <w:pPr>
        <w:ind w:left="180" w:right="280" w:hanging="172"/>
        <w:spacing w:after="0" w:line="232"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Reflects the portion of the $47.8 million deferral of merger transition costs to a regulatory asset in June 2018 that related to costs incurred prior to 2018. The remaining merger transition costs included within the $47.8 million deferral were both incurred and deferred in 2018 and did not impact earnings. This item is included in operating and maintenance expense on the consolidated statements of comprehensive income.</w:t>
      </w:r>
    </w:p>
    <w:p>
      <w:pPr>
        <w:ind w:left="180" w:right="20" w:hanging="172"/>
        <w:spacing w:after="0" w:line="219" w:lineRule="auto"/>
        <w:tabs>
          <w:tab w:leader="none" w:pos="18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Reflects obsolete inventory write-offs for Westar Energy's Unit 7 at Tecumseh Energy Center, Units 3 and 4 at Murray Gill Energy Center and Units 1 and 2 at Gordon Evans Energy Center, which were committed to be retired upon the consummation of the merger, and are included in operating and maintenance expense on the consolidated statements of comprehensive income.</w:t>
      </w:r>
    </w:p>
    <w:p>
      <w:pPr>
        <w:ind w:left="180" w:hanging="172"/>
        <w:spacing w:after="0" w:line="191"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Reflects an income tax effect calculated at a 26.1% statutory rate, with the exception of certain non-deductible items.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Wolf Creek Refueling Outage</w:t>
      </w:r>
    </w:p>
    <w:p>
      <w:pPr>
        <w:spacing w:after="0" w:line="22" w:lineRule="exact"/>
        <w:rPr>
          <w:sz w:val="20"/>
          <w:szCs w:val="20"/>
          <w:color w:val="auto"/>
        </w:rPr>
      </w:pPr>
    </w:p>
    <w:p>
      <w:pPr>
        <w:ind w:left="60" w:right="440"/>
        <w:spacing w:after="0" w:line="244" w:lineRule="auto"/>
        <w:rPr>
          <w:sz w:val="20"/>
          <w:szCs w:val="20"/>
          <w:color w:val="auto"/>
        </w:rPr>
      </w:pPr>
      <w:r>
        <w:rPr>
          <w:rFonts w:ascii="Arial" w:cs="Arial" w:eastAsia="Arial" w:hAnsi="Arial"/>
          <w:sz w:val="20"/>
          <w:szCs w:val="20"/>
          <w:color w:val="auto"/>
        </w:rPr>
        <w:t>Wolf Creek's most recent refueling outage began in March 2018 and the unit returned to service in May 2018. Wolf Creek's next refueling outage is planned to begin in the third quarter of 2019.</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11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12 to the consolidated financial statements for information regarding related party transactions.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3"/>
              </w:rPr>
              <w:t>Three Months Ended</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Year to Date</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June 30</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Change</w:t>
            </w:r>
          </w:p>
        </w:tc>
        <w:tc>
          <w:tcPr>
            <w:tcW w:w="380" w:type="dxa"/>
            <w:vAlign w:val="bottom"/>
          </w:tcPr>
          <w:p>
            <w:pPr>
              <w:spacing w:after="0"/>
              <w:rPr>
                <w:sz w:val="23"/>
                <w:szCs w:val="23"/>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3"/>
                <w:szCs w:val="23"/>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3"/>
                <w:szCs w:val="23"/>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1,221.7</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328.3</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893.4</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2,438.6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945.0</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291.6</w:t>
            </w:r>
          </w:p>
        </w:tc>
        <w:tc>
          <w:tcPr>
            <w:tcW w:w="4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61.9</w:t>
            </w:r>
          </w:p>
        </w:tc>
        <w:tc>
          <w:tcPr>
            <w:tcW w:w="38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229.7</w:t>
            </w:r>
          </w:p>
        </w:tc>
        <w:tc>
          <w:tcPr>
            <w:tcW w:w="44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621.6</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256.4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365.2</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SPP network transmission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68.4</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126.3</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380.2</w:t>
            </w:r>
          </w:p>
        </w:tc>
        <w:tc>
          <w:tcPr>
            <w:tcW w:w="4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39.8</w:t>
            </w:r>
          </w:p>
        </w:tc>
        <w:tc>
          <w:tcPr>
            <w:tcW w:w="38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340.4</w:t>
            </w:r>
          </w:p>
        </w:tc>
        <w:tc>
          <w:tcPr>
            <w:tcW w:w="44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780.4</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256.1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524.3</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87.4</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128.0</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429.0</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w:t>
            </w:r>
          </w:p>
        </w:tc>
      </w:tr>
      <w:tr>
        <w:trPr>
          <w:trHeight w:val="237"/>
        </w:trPr>
        <w:tc>
          <w:tcPr>
            <w:tcW w:w="354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271.7</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144.8</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126.9</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481.3</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230.9</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250.4</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4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37.0</w:t>
            </w:r>
          </w:p>
        </w:tc>
        <w:tc>
          <w:tcPr>
            <w:tcW w:w="38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58.4</w:t>
            </w:r>
          </w:p>
        </w:tc>
        <w:tc>
          <w:tcPr>
            <w:tcW w:w="44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186.5</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84.3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102.2</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33.7</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4"/>
              </w:rPr>
              <w:t>Equity in earnings of equity method investees,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net of income taxes</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104.4</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248.0</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3"/>
              </w:rPr>
              <w:t>Less: Net income attributable to noncontrolling</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Evergy,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37.9</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101.8</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r>
      <w:tr>
        <w:trPr>
          <w:trHeight w:val="27"/>
        </w:trPr>
        <w:tc>
          <w:tcPr>
            <w:tcW w:w="3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Utility Gross Margin and MWh Sales</w:t>
      </w:r>
    </w:p>
    <w:p>
      <w:pPr>
        <w:spacing w:after="0" w:line="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Utility gross margin is a financial measure that is not calculated in accordance with GAAP. Utility gross margin,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Regional Transmission Organization (RTO). As with fuel and purchased power costs, changes in SPP network transmission costs are mostly reflected in the prices charged to customers with minimal impact on net income.</w:t>
      </w:r>
    </w:p>
    <w:p>
      <w:pPr>
        <w:spacing w:after="0" w:line="182" w:lineRule="exact"/>
        <w:rPr>
          <w:sz w:val="20"/>
          <w:szCs w:val="20"/>
          <w:color w:val="auto"/>
        </w:rPr>
      </w:pPr>
    </w:p>
    <w:p>
      <w:pPr>
        <w:ind w:right="380"/>
        <w:spacing w:after="0" w:line="263" w:lineRule="auto"/>
        <w:rPr>
          <w:sz w:val="20"/>
          <w:szCs w:val="20"/>
          <w:color w:val="auto"/>
        </w:rPr>
      </w:pPr>
      <w:r>
        <w:rPr>
          <w:rFonts w:ascii="Arial" w:cs="Arial" w:eastAsia="Arial" w:hAnsi="Arial"/>
          <w:sz w:val="19"/>
          <w:szCs w:val="19"/>
          <w:color w:val="auto"/>
        </w:rPr>
        <w:t>Management believes that utility gross margin provides a meaningful basis for evaluating the Evergy Companies' operations across periods compared with operating revenues because utility gross margin excludes the revenue effect of fluctuations in these expenses. Utility gross margin is used internally to measure performance against budget and in reports for management and the Evergy Board. The Evergy Companies' definition of utility gross margin may differ from similar terms used by other companies.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Evergy's utility gross margin and MWhs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6"/>
              </w:rPr>
              <w:t>Revenues and Expenses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MWhs Sold</w:t>
            </w:r>
          </w:p>
        </w:tc>
        <w:tc>
          <w:tcPr>
            <w:tcW w:w="82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3"/>
                <w:szCs w:val="23"/>
                <w:color w:val="auto"/>
              </w:rPr>
            </w:pPr>
          </w:p>
        </w:tc>
        <w:tc>
          <w:tcPr>
            <w:tcW w:w="840" w:type="dxa"/>
            <w:vAlign w:val="bottom"/>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center"/>
              <w:ind w:right="11"/>
              <w:spacing w:after="0"/>
              <w:rPr>
                <w:sz w:val="20"/>
                <w:szCs w:val="20"/>
                <w:color w:val="auto"/>
              </w:rPr>
            </w:pPr>
            <w:r>
              <w:rPr>
                <w:rFonts w:ascii="Arial" w:cs="Arial" w:eastAsia="Arial" w:hAnsi="Arial"/>
                <w:sz w:val="18"/>
                <w:szCs w:val="18"/>
                <w:b w:val="1"/>
                <w:bCs w:val="1"/>
                <w:color w:val="auto"/>
                <w:w w:val="87"/>
              </w:rPr>
              <w:t>Change</w:t>
            </w: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center"/>
              <w:ind w:right="111"/>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7"/>
              </w:rPr>
              <w:t>(thousands)</w:t>
            </w:r>
          </w:p>
        </w:tc>
        <w:tc>
          <w:tcPr>
            <w:tcW w:w="8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3,262</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(64)</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438.6</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179.5</w:t>
            </w:r>
          </w:p>
        </w:tc>
        <w:tc>
          <w:tcPr>
            <w:tcW w:w="3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259.1</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4,334</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639</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3,695</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156.6</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48.0</w:t>
            </w: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293</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1,036.3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320.2</w:t>
            </w: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716.1</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9,776</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874</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89.7</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3,159</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155</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3,004</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Transmission revenues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24.2</w:t>
            </w:r>
          </w:p>
        </w:tc>
        <w:tc>
          <w:tcPr>
            <w:tcW w:w="3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N/A</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1,221.7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328.3</w:t>
            </w: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893.4</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12,935</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1,029</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(291.6)</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3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(229.7)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316"/>
        </w:trPr>
        <w:tc>
          <w:tcPr>
            <w:tcW w:w="5380" w:type="dxa"/>
            <w:vAlign w:val="bottom"/>
          </w:tcPr>
          <w:p>
            <w:pPr>
              <w:ind w:left="40"/>
              <w:spacing w:after="0"/>
              <w:rPr>
                <w:sz w:val="20"/>
                <w:szCs w:val="20"/>
                <w:color w:val="auto"/>
              </w:rPr>
            </w:pPr>
            <w:r>
              <w:rPr>
                <w:rFonts w:ascii="Arial" w:cs="Arial" w:eastAsia="Arial" w:hAnsi="Arial"/>
                <w:sz w:val="18"/>
                <w:szCs w:val="18"/>
                <w:color w:val="auto"/>
              </w:rPr>
              <w:t xml:space="preserve">Utility gross margin </w:t>
            </w:r>
            <w:r>
              <w:rPr>
                <w:rFonts w:ascii="Arial" w:cs="Arial" w:eastAsia="Arial" w:hAnsi="Arial"/>
                <w:sz w:val="25"/>
                <w:szCs w:val="25"/>
                <w:color w:val="auto"/>
                <w:vertAlign w:val="superscript"/>
              </w:rPr>
              <w:t>(a)</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867.3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272.0</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80" w:hanging="164"/>
        <w:spacing w:after="0" w:line="217" w:lineRule="auto"/>
        <w:tabs>
          <w:tab w:leader="none" w:pos="28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Utility gross margin is a non-GAAP financial measure. See explanation of utility gross margin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MWhs Sold</w:t>
            </w:r>
          </w:p>
        </w:tc>
        <w:tc>
          <w:tcPr>
            <w:tcW w:w="82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w:t>
            </w:r>
          </w:p>
        </w:tc>
        <w:tc>
          <w:tcPr>
            <w:tcW w:w="20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3"/>
                <w:szCs w:val="23"/>
                <w:color w:val="auto"/>
              </w:rPr>
            </w:pPr>
          </w:p>
        </w:tc>
        <w:tc>
          <w:tcPr>
            <w:tcW w:w="840" w:type="dxa"/>
            <w:vAlign w:val="bottom"/>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24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center"/>
              <w:ind w:right="11"/>
              <w:spacing w:after="0"/>
              <w:rPr>
                <w:sz w:val="20"/>
                <w:szCs w:val="20"/>
                <w:color w:val="auto"/>
              </w:rPr>
            </w:pPr>
            <w:r>
              <w:rPr>
                <w:rFonts w:ascii="Arial" w:cs="Arial" w:eastAsia="Arial" w:hAnsi="Arial"/>
                <w:sz w:val="18"/>
                <w:szCs w:val="18"/>
                <w:b w:val="1"/>
                <w:bCs w:val="1"/>
                <w:color w:val="auto"/>
                <w:w w:val="87"/>
              </w:rPr>
              <w:t>Change</w:t>
            </w: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center"/>
              <w:ind w:right="111"/>
              <w:spacing w:after="0"/>
              <w:rPr>
                <w:sz w:val="20"/>
                <w:szCs w:val="20"/>
                <w:color w:val="auto"/>
              </w:rPr>
            </w:pPr>
            <w:r>
              <w:rPr>
                <w:rFonts w:ascii="Arial" w:cs="Arial" w:eastAsia="Arial" w:hAnsi="Arial"/>
                <w:sz w:val="16"/>
                <w:szCs w:val="16"/>
                <w:color w:val="auto"/>
                <w:w w:val="99"/>
              </w:rPr>
              <w:t>(millions)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7"/>
              </w:rPr>
              <w:t>(thousands)</w:t>
            </w:r>
          </w:p>
        </w:tc>
        <w:tc>
          <w:tcPr>
            <w:tcW w:w="8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522.3</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7,226</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2,428</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4,798</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852.1</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437.6</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414.5</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8,758</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3,366</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5,392</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303.6</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101.5</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4,156</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945</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71</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28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2,058.3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908.8</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1,149.5</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20,211</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6,767</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183.9</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7,188</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1,283</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5,905</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Transmission revenues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1200" w:type="dxa"/>
            <w:vAlign w:val="bottom"/>
          </w:tcPr>
          <w:p>
            <w:pPr>
              <w:jc w:val="right"/>
              <w:ind w:right="211"/>
              <w:spacing w:after="0"/>
              <w:rPr>
                <w:sz w:val="20"/>
                <w:szCs w:val="20"/>
                <w:color w:val="auto"/>
              </w:rPr>
            </w:pPr>
            <w:r>
              <w:rPr>
                <w:rFonts w:ascii="Arial" w:cs="Arial" w:eastAsia="Arial" w:hAnsi="Arial"/>
                <w:sz w:val="18"/>
                <w:szCs w:val="18"/>
                <w:color w:val="auto"/>
              </w:rPr>
              <w:t>N/A</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2,438.6</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945.0</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1,493.6</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27,399</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8,050</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(621.6)</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(256.4)</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316"/>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Utility gross margin </w:t>
            </w:r>
            <w:r>
              <w:rPr>
                <w:rFonts w:ascii="Arial" w:cs="Arial" w:eastAsia="Arial" w:hAnsi="Arial"/>
                <w:sz w:val="25"/>
                <w:szCs w:val="25"/>
                <w:color w:val="auto"/>
                <w:vertAlign w:val="superscript"/>
              </w:rPr>
              <w:t>(a)</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1,690.7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698.3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60" w:hanging="144"/>
        <w:spacing w:after="0"/>
        <w:tabs>
          <w:tab w:leader="none" w:pos="26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Utility gross margin is a non-GAAP financial measure. See explanation of utility gross margin above.</w:t>
      </w:r>
    </w:p>
    <w:p>
      <w:pPr>
        <w:spacing w:after="0" w:line="23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Evergy's utility gross margin increased $272.0 million for the three months ended June 30, 2019, compared to the same period in 2018 driven by:</w:t>
      </w:r>
    </w:p>
    <w:p>
      <w:pPr>
        <w:spacing w:after="0" w:line="6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$261.6 million increase due to the inclusion of KCP&amp;L's and GMO's utility gross margin in April and May of 2019;</w:t>
      </w:r>
    </w:p>
    <w:p>
      <w:pPr>
        <w:spacing w:after="0" w:line="107" w:lineRule="exact"/>
        <w:rPr>
          <w:rFonts w:ascii="Arial" w:cs="Arial" w:eastAsia="Arial" w:hAnsi="Arial"/>
          <w:sz w:val="20"/>
          <w:szCs w:val="20"/>
          <w:color w:val="auto"/>
        </w:rPr>
      </w:pPr>
    </w:p>
    <w:p>
      <w:pPr>
        <w:ind w:left="660" w:right="160" w:hanging="328"/>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$60.0 million increase in revenue primarily due to one-time bill credits recorded by Westar Energy, KCP&amp;L and GMO in June 2018 as a result of conditions in the KCC and MPSC merger orders; and</w:t>
      </w:r>
    </w:p>
    <w:p>
      <w:pPr>
        <w:spacing w:after="0" w:line="68" w:lineRule="exact"/>
        <w:rPr>
          <w:rFonts w:ascii="Arial" w:cs="Arial" w:eastAsia="Arial" w:hAnsi="Arial"/>
          <w:sz w:val="20"/>
          <w:szCs w:val="20"/>
          <w:color w:val="auto"/>
        </w:rPr>
      </w:pPr>
    </w:p>
    <w:p>
      <w:pPr>
        <w:ind w:left="660" w:right="120" w:hanging="328"/>
        <w:spacing w:after="0" w:line="25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$8.5 million increase from new Westar Energy retail rates effective in September 2018, net of a $19.1 million provision for rate refund recorded at Westar Energy in the second quarter of 2018 for the change in the corporate income tax rate caused by the Tax Cuts and Jobs Act (TCJA); partially offset by</w:t>
      </w:r>
    </w:p>
    <w:p>
      <w:pPr>
        <w:spacing w:after="0" w:line="78" w:lineRule="exact"/>
        <w:rPr>
          <w:rFonts w:ascii="Arial" w:cs="Arial" w:eastAsia="Arial" w:hAnsi="Arial"/>
          <w:sz w:val="20"/>
          <w:szCs w:val="20"/>
          <w:color w:val="auto"/>
        </w:rPr>
      </w:pPr>
    </w:p>
    <w:p>
      <w:pPr>
        <w:ind w:left="660" w:right="620" w:hanging="328"/>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$58.1 million decrease primarily due to lower Westar Energy retail sales driven by cooler weather. For the three months ended June 30, 2019, compared to the same period in 2018, cooling degree days decreased 45%.</w:t>
      </w:r>
    </w:p>
    <w:p>
      <w:pPr>
        <w:sectPr>
          <w:pgSz w:w="11900" w:h="16838" w:orient="portrait"/>
          <w:cols w:equalWidth="0" w:num="1">
            <w:col w:w="11420"/>
          </w:cols>
          <w:pgMar w:left="240" w:top="12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Evergy's utility gross margin increased $698.3 million year to date June 30, 2019, compared to the same period in 2018 driven by:</w:t>
      </w:r>
    </w:p>
    <w:p>
      <w:pPr>
        <w:spacing w:after="0" w:line="11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$674.4 million increase due to the inclusion of KCP&amp;L's and GMO's utility gross margin in the first five months of 2019;</w:t>
      </w:r>
    </w:p>
    <w:p>
      <w:pPr>
        <w:spacing w:after="0" w:line="107" w:lineRule="exact"/>
        <w:rPr>
          <w:rFonts w:ascii="Arial" w:cs="Arial" w:eastAsia="Arial" w:hAnsi="Arial"/>
          <w:sz w:val="20"/>
          <w:szCs w:val="20"/>
          <w:color w:val="auto"/>
        </w:rPr>
      </w:pPr>
    </w:p>
    <w:p>
      <w:pPr>
        <w:ind w:left="660" w:right="120" w:hanging="328"/>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$60.0 million increase in revenue primarily due to one-time bill credits recorded by Westar Energy, KCP&amp;L and GMO in June 2018 as a result of conditions in the KCC and MPSC merger orders; and</w:t>
      </w:r>
    </w:p>
    <w:p>
      <w:pPr>
        <w:spacing w:after="0" w:line="68" w:lineRule="exact"/>
        <w:rPr>
          <w:rFonts w:ascii="Arial" w:cs="Arial" w:eastAsia="Arial" w:hAnsi="Arial"/>
          <w:sz w:val="20"/>
          <w:szCs w:val="20"/>
          <w:color w:val="auto"/>
        </w:rPr>
      </w:pPr>
    </w:p>
    <w:p>
      <w:pPr>
        <w:ind w:left="660" w:right="200" w:hanging="328"/>
        <w:spacing w:after="0" w:line="25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$12.4 million increase from new Westar Energy retail rates effective in September 2018, net of a $38.2 million provision for rate refund recorded at Westar Energy for year to date June 30, 2018 for the change in the corporate income tax rate caused by the TCJA; partially offset by</w:t>
      </w:r>
    </w:p>
    <w:p>
      <w:pPr>
        <w:spacing w:after="0" w:line="78"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$48.5 million decrease primarily due to lower Westar Energy retail sales driven by cooler weather in the second quarter of 2019. Year to date June 30, 2019, compared to the same period in 2018, cooling degree days decreased 45%.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Other Operating Expenses </w:t>
      </w:r>
      <w:r>
        <w:rPr>
          <w:rFonts w:ascii="Arial" w:cs="Arial" w:eastAsia="Arial" w:hAnsi="Arial"/>
          <w:sz w:val="20"/>
          <w:szCs w:val="20"/>
          <w:b w:val="1"/>
          <w:bCs w:val="1"/>
          <w:i w:val="1"/>
          <w:iCs w:val="1"/>
          <w:color w:val="auto"/>
        </w:rPr>
        <w:t>(including operating and maintenance expense and taxes other than income tax)</w:t>
      </w:r>
    </w:p>
    <w:p>
      <w:pPr>
        <w:spacing w:after="0" w:line="22"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color w:val="auto"/>
        </w:rPr>
        <w:t>Evergy's other operating expenses increased $39.8 million for the three months ended June 30, 2019, compared to the same period in 2018 primarily driven by:</w:t>
      </w:r>
    </w:p>
    <w:p>
      <w:pPr>
        <w:spacing w:after="0" w:line="84" w:lineRule="exact"/>
        <w:rPr>
          <w:sz w:val="20"/>
          <w:szCs w:val="20"/>
          <w:color w:val="auto"/>
        </w:rPr>
      </w:pPr>
    </w:p>
    <w:p>
      <w:pPr>
        <w:ind w:left="660" w:right="920" w:hanging="328"/>
        <w:spacing w:after="0" w:line="26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$104.6 million increase in operating and maintenance expense due to the inclusion of KCP&amp;L's and GMO's operating and maintenance expenses in April and May of 2019;</w:t>
      </w:r>
    </w:p>
    <w:p>
      <w:pPr>
        <w:spacing w:after="0" w:line="68"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$30.4 million increase in taxes other than income taxes due to the inclusion of KCP&amp;L and GMO amounts in April and May of 2019;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$6.8 million increase in Westar Energy taxes other than income taxes primarily due to increased property taxes; partially offset by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$57.5 million of merger-related costs incurred in June 2018, consisting of:</w:t>
      </w:r>
    </w:p>
    <w:p>
      <w:pPr>
        <w:spacing w:after="0" w:line="107" w:lineRule="exact"/>
        <w:rPr>
          <w:rFonts w:ascii="Arial" w:cs="Arial" w:eastAsia="Arial" w:hAnsi="Arial"/>
          <w:sz w:val="20"/>
          <w:szCs w:val="20"/>
          <w:color w:val="auto"/>
        </w:rPr>
      </w:pPr>
    </w:p>
    <w:p>
      <w:pPr>
        <w:ind w:left="1800" w:right="660" w:hanging="820"/>
        <w:spacing w:after="0" w:line="260" w:lineRule="auto"/>
        <w:tabs>
          <w:tab w:leader="none" w:pos="1314" w:val="left"/>
        </w:tabs>
        <w:numPr>
          <w:ilvl w:val="1"/>
          <w:numId w:val="21"/>
        </w:numPr>
        <w:rPr>
          <w:rFonts w:ascii="Arial" w:cs="Arial" w:eastAsia="Arial" w:hAnsi="Arial"/>
          <w:sz w:val="20"/>
          <w:szCs w:val="20"/>
          <w:color w:val="auto"/>
        </w:rPr>
      </w:pPr>
      <w:r>
        <w:rPr>
          <w:rFonts w:ascii="Arial" w:cs="Arial" w:eastAsia="Arial" w:hAnsi="Arial"/>
          <w:sz w:val="20"/>
          <w:szCs w:val="20"/>
          <w:color w:val="auto"/>
        </w:rPr>
        <w:t>$24.7 million of unconditional charitable contributions and community support recorded by Evergy in accordance with conditions in the KCC and MPSC merger orders;</w:t>
      </w:r>
    </w:p>
    <w:p>
      <w:pPr>
        <w:spacing w:after="0" w:line="68" w:lineRule="exact"/>
        <w:rPr>
          <w:rFonts w:ascii="Arial" w:cs="Arial" w:eastAsia="Arial" w:hAnsi="Arial"/>
          <w:sz w:val="20"/>
          <w:szCs w:val="20"/>
          <w:color w:val="auto"/>
        </w:rPr>
      </w:pPr>
    </w:p>
    <w:p>
      <w:pPr>
        <w:ind w:left="1800" w:right="360" w:hanging="820"/>
        <w:spacing w:after="0" w:line="269" w:lineRule="auto"/>
        <w:tabs>
          <w:tab w:leader="none" w:pos="1314" w:val="left"/>
        </w:tabs>
        <w:numPr>
          <w:ilvl w:val="1"/>
          <w:numId w:val="21"/>
        </w:numPr>
        <w:rPr>
          <w:rFonts w:ascii="Arial" w:cs="Arial" w:eastAsia="Arial" w:hAnsi="Arial"/>
          <w:sz w:val="19"/>
          <w:szCs w:val="19"/>
          <w:color w:val="auto"/>
        </w:rPr>
      </w:pPr>
      <w:r>
        <w:rPr>
          <w:rFonts w:ascii="Arial" w:cs="Arial" w:eastAsia="Arial" w:hAnsi="Arial"/>
          <w:sz w:val="19"/>
          <w:szCs w:val="19"/>
          <w:color w:val="auto"/>
        </w:rPr>
        <w:t>$39.9 million of Westar Energy change in control payments, voluntary severance and the recording of unrecognized equity compensation costs and the incremental fair value associated with the vesting of outstanding Westar Energy equity compensation awards in accordance with the Amended Merger Agreement; and</w:t>
      </w:r>
    </w:p>
    <w:p>
      <w:pPr>
        <w:spacing w:after="0" w:line="62" w:lineRule="exact"/>
        <w:rPr>
          <w:rFonts w:ascii="Arial" w:cs="Arial" w:eastAsia="Arial" w:hAnsi="Arial"/>
          <w:sz w:val="19"/>
          <w:szCs w:val="19"/>
          <w:color w:val="auto"/>
        </w:rPr>
      </w:pPr>
    </w:p>
    <w:p>
      <w:pPr>
        <w:ind w:left="1800" w:right="340" w:hanging="820"/>
        <w:spacing w:after="0" w:line="260" w:lineRule="auto"/>
        <w:tabs>
          <w:tab w:leader="none" w:pos="1314" w:val="left"/>
        </w:tabs>
        <w:numPr>
          <w:ilvl w:val="1"/>
          <w:numId w:val="21"/>
        </w:numPr>
        <w:rPr>
          <w:rFonts w:ascii="Arial" w:cs="Arial" w:eastAsia="Arial" w:hAnsi="Arial"/>
          <w:sz w:val="20"/>
          <w:szCs w:val="20"/>
          <w:color w:val="auto"/>
        </w:rPr>
      </w:pPr>
      <w:r>
        <w:rPr>
          <w:rFonts w:ascii="Arial" w:cs="Arial" w:eastAsia="Arial" w:hAnsi="Arial"/>
          <w:sz w:val="20"/>
          <w:szCs w:val="20"/>
          <w:color w:val="auto"/>
        </w:rPr>
        <w:t>$40.7 million of merger consulting fees and fees for other outside services incurred, primarily consisting of merger success fees; partially offset by</w:t>
      </w:r>
    </w:p>
    <w:p>
      <w:pPr>
        <w:spacing w:after="0" w:line="68" w:lineRule="exact"/>
        <w:rPr>
          <w:rFonts w:ascii="Arial" w:cs="Arial" w:eastAsia="Arial" w:hAnsi="Arial"/>
          <w:sz w:val="20"/>
          <w:szCs w:val="20"/>
          <w:color w:val="auto"/>
        </w:rPr>
      </w:pPr>
    </w:p>
    <w:p>
      <w:pPr>
        <w:ind w:left="1800" w:right="300" w:hanging="820"/>
        <w:spacing w:after="0" w:line="250" w:lineRule="auto"/>
        <w:tabs>
          <w:tab w:leader="none" w:pos="1314" w:val="left"/>
        </w:tabs>
        <w:numPr>
          <w:ilvl w:val="1"/>
          <w:numId w:val="21"/>
        </w:numPr>
        <w:rPr>
          <w:rFonts w:ascii="Arial" w:cs="Arial" w:eastAsia="Arial" w:hAnsi="Arial"/>
          <w:sz w:val="20"/>
          <w:szCs w:val="20"/>
          <w:color w:val="auto"/>
        </w:rPr>
      </w:pPr>
      <w:r>
        <w:rPr>
          <w:rFonts w:ascii="Arial" w:cs="Arial" w:eastAsia="Arial" w:hAnsi="Arial"/>
          <w:sz w:val="20"/>
          <w:szCs w:val="20"/>
          <w:color w:val="auto"/>
        </w:rPr>
        <w:t>a $47.8 million decrease in operating and maintenance expense due to the deferral of merger transition costs to a regulatory asset in June 2018 for future recovery by Westar Energy, KCP&amp;L and GMO in accordance with the KCC and MPSC merger orders;</w:t>
      </w:r>
    </w:p>
    <w:p>
      <w:pPr>
        <w:spacing w:after="0" w:line="78" w:lineRule="exact"/>
        <w:rPr>
          <w:rFonts w:ascii="Arial" w:cs="Arial" w:eastAsia="Arial" w:hAnsi="Arial"/>
          <w:sz w:val="20"/>
          <w:szCs w:val="20"/>
          <w:color w:val="auto"/>
        </w:rPr>
      </w:pPr>
    </w:p>
    <w:p>
      <w:pPr>
        <w:ind w:left="660" w:right="200" w:hanging="328"/>
        <w:spacing w:after="0" w:line="26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$19.9 million decrease in Westar Energy plant operating and maintenance expense primarily due to obsolete inventory write-offs at retiring coal-fired units in June 2018; and</w:t>
      </w:r>
    </w:p>
    <w:p>
      <w:pPr>
        <w:spacing w:after="0" w:line="68"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$10.6 million decrease in Westar Energy transmission and distribution operating and maintenance expense primarily due to a higher level of vegetation management activity in 2018.</w:t>
      </w:r>
    </w:p>
    <w:p>
      <w:pPr>
        <w:spacing w:after="0" w:line="17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Evergy's other operating expenses increased $256.1 million year to date June 30, 2019, compared to the same period in 2018 primarily driven by:</w:t>
      </w:r>
    </w:p>
    <w:p>
      <w:pPr>
        <w:spacing w:after="0" w:line="69" w:lineRule="exact"/>
        <w:rPr>
          <w:sz w:val="20"/>
          <w:szCs w:val="20"/>
          <w:color w:val="auto"/>
        </w:rPr>
      </w:pPr>
    </w:p>
    <w:p>
      <w:pPr>
        <w:ind w:left="660" w:right="920" w:hanging="328"/>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$279.9 million increase in operating and maintenance expense due to the inclusion of KCP&amp;L's and GMO's operating and maintenance expenses in the first five months of 2019;</w:t>
      </w:r>
    </w:p>
    <w:p>
      <w:pPr>
        <w:spacing w:after="0" w:line="68"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$75.7 million increase in taxes other than income taxes due to the inclusion of KCP&amp;L and GMO amounts in the first five months of 2019;</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2" w:right="279" w:bottom="1440" w:gutter="0" w:footer="0" w:header="0"/>
        </w:sectPr>
      </w:pPr>
    </w:p>
    <w:bookmarkStart w:id="65" w:name="page66"/>
    <w:bookmarkEnd w:id="65"/>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$10.7 million increase in Westar Energy taxes other than income taxes primarily due to increased property taxes;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$7.4 million of Westar Energy voluntary severance expenses incurred in the first quarter of 2019; partially offset by</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$57.5 million of merger-related costs incurred in June 2018, consisting of:</w:t>
      </w:r>
    </w:p>
    <w:p>
      <w:pPr>
        <w:spacing w:after="0" w:line="107" w:lineRule="exact"/>
        <w:rPr>
          <w:rFonts w:ascii="Arial" w:cs="Arial" w:eastAsia="Arial" w:hAnsi="Arial"/>
          <w:sz w:val="20"/>
          <w:szCs w:val="20"/>
          <w:color w:val="auto"/>
        </w:rPr>
      </w:pPr>
    </w:p>
    <w:p>
      <w:pPr>
        <w:ind w:left="1800" w:right="640" w:hanging="820"/>
        <w:spacing w:after="0" w:line="260" w:lineRule="auto"/>
        <w:tabs>
          <w:tab w:leader="none" w:pos="1314" w:val="left"/>
        </w:tabs>
        <w:numPr>
          <w:ilvl w:val="1"/>
          <w:numId w:val="23"/>
        </w:numPr>
        <w:rPr>
          <w:rFonts w:ascii="Arial" w:cs="Arial" w:eastAsia="Arial" w:hAnsi="Arial"/>
          <w:sz w:val="20"/>
          <w:szCs w:val="20"/>
          <w:color w:val="auto"/>
        </w:rPr>
      </w:pPr>
      <w:r>
        <w:rPr>
          <w:rFonts w:ascii="Arial" w:cs="Arial" w:eastAsia="Arial" w:hAnsi="Arial"/>
          <w:sz w:val="20"/>
          <w:szCs w:val="20"/>
          <w:color w:val="auto"/>
        </w:rPr>
        <w:t>$24.7 million of unconditional charitable contributions and community support recorded by Evergy in accordance with conditions in the KCC and MPSC merger orders;</w:t>
      </w:r>
    </w:p>
    <w:p>
      <w:pPr>
        <w:spacing w:after="0" w:line="68" w:lineRule="exact"/>
        <w:rPr>
          <w:rFonts w:ascii="Arial" w:cs="Arial" w:eastAsia="Arial" w:hAnsi="Arial"/>
          <w:sz w:val="20"/>
          <w:szCs w:val="20"/>
          <w:color w:val="auto"/>
        </w:rPr>
      </w:pPr>
    </w:p>
    <w:p>
      <w:pPr>
        <w:ind w:left="1800" w:right="340" w:hanging="820"/>
        <w:spacing w:after="0" w:line="269" w:lineRule="auto"/>
        <w:tabs>
          <w:tab w:leader="none" w:pos="1314" w:val="left"/>
        </w:tabs>
        <w:numPr>
          <w:ilvl w:val="1"/>
          <w:numId w:val="23"/>
        </w:numPr>
        <w:rPr>
          <w:rFonts w:ascii="Arial" w:cs="Arial" w:eastAsia="Arial" w:hAnsi="Arial"/>
          <w:sz w:val="19"/>
          <w:szCs w:val="19"/>
          <w:color w:val="auto"/>
        </w:rPr>
      </w:pPr>
      <w:r>
        <w:rPr>
          <w:rFonts w:ascii="Arial" w:cs="Arial" w:eastAsia="Arial" w:hAnsi="Arial"/>
          <w:sz w:val="19"/>
          <w:szCs w:val="19"/>
          <w:color w:val="auto"/>
        </w:rPr>
        <w:t>$39.9 million of Westar Energy change in control payments, voluntary severance and the recording of unrecognized equity compensation costs and the incremental fair value associated with the vesting of outstanding Westar Energy equity compensation awards in accordance with the Amended Merger Agreement; and</w:t>
      </w:r>
    </w:p>
    <w:p>
      <w:pPr>
        <w:spacing w:after="0" w:line="62" w:lineRule="exact"/>
        <w:rPr>
          <w:rFonts w:ascii="Arial" w:cs="Arial" w:eastAsia="Arial" w:hAnsi="Arial"/>
          <w:sz w:val="19"/>
          <w:szCs w:val="19"/>
          <w:color w:val="auto"/>
        </w:rPr>
      </w:pPr>
    </w:p>
    <w:p>
      <w:pPr>
        <w:ind w:left="1800" w:right="320" w:hanging="820"/>
        <w:spacing w:after="0" w:line="260" w:lineRule="auto"/>
        <w:tabs>
          <w:tab w:leader="none" w:pos="1314" w:val="left"/>
        </w:tabs>
        <w:numPr>
          <w:ilvl w:val="1"/>
          <w:numId w:val="23"/>
        </w:numPr>
        <w:rPr>
          <w:rFonts w:ascii="Arial" w:cs="Arial" w:eastAsia="Arial" w:hAnsi="Arial"/>
          <w:sz w:val="20"/>
          <w:szCs w:val="20"/>
          <w:color w:val="auto"/>
        </w:rPr>
      </w:pPr>
      <w:r>
        <w:rPr>
          <w:rFonts w:ascii="Arial" w:cs="Arial" w:eastAsia="Arial" w:hAnsi="Arial"/>
          <w:sz w:val="20"/>
          <w:szCs w:val="20"/>
          <w:color w:val="auto"/>
        </w:rPr>
        <w:t>$40.7 million of merger consulting fees and fees for other outside services incurred, primarily consisting of merger success fees; partially offset by</w:t>
      </w:r>
    </w:p>
    <w:p>
      <w:pPr>
        <w:spacing w:after="0" w:line="68" w:lineRule="exact"/>
        <w:rPr>
          <w:rFonts w:ascii="Arial" w:cs="Arial" w:eastAsia="Arial" w:hAnsi="Arial"/>
          <w:sz w:val="20"/>
          <w:szCs w:val="20"/>
          <w:color w:val="auto"/>
        </w:rPr>
      </w:pPr>
    </w:p>
    <w:p>
      <w:pPr>
        <w:ind w:left="1800" w:right="280" w:hanging="820"/>
        <w:spacing w:after="0" w:line="250" w:lineRule="auto"/>
        <w:tabs>
          <w:tab w:leader="none" w:pos="1314"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$47.8 million decrease in operating and maintenance expense due to the deferral of merger transition costs to a regulatory asset in June 2018 for future recovery by Westar Energy, KCP&amp;L and GMO in accordance with the KCC and MPSC merger orders;</w:t>
      </w:r>
    </w:p>
    <w:p>
      <w:pPr>
        <w:spacing w:after="0" w:line="78" w:lineRule="exact"/>
        <w:rPr>
          <w:rFonts w:ascii="Arial" w:cs="Arial" w:eastAsia="Arial" w:hAnsi="Arial"/>
          <w:sz w:val="20"/>
          <w:szCs w:val="20"/>
          <w:color w:val="auto"/>
        </w:rPr>
      </w:pPr>
    </w:p>
    <w:p>
      <w:pPr>
        <w:ind w:left="660" w:right="180" w:hanging="328"/>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$20.6 million decrease in Westar Energy plant operating and maintenance expense primarily due to obsolete inventory write-offs at retiring coal-fired units in June 2018; and</w:t>
      </w:r>
    </w:p>
    <w:p>
      <w:pPr>
        <w:spacing w:after="0" w:line="68" w:lineRule="exact"/>
        <w:rPr>
          <w:rFonts w:ascii="Arial" w:cs="Arial" w:eastAsia="Arial" w:hAnsi="Arial"/>
          <w:sz w:val="20"/>
          <w:szCs w:val="20"/>
          <w:color w:val="auto"/>
        </w:rPr>
      </w:pPr>
    </w:p>
    <w:p>
      <w:pPr>
        <w:ind w:left="660" w:right="120" w:hanging="328"/>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$14.1 million decrease in Westar Energy transmission and distribution operating and maintenance expense primarily due to a higher level of vegetation management activity in 2018.</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Evergy's depreciation and amortization increased $87.4 million for the three months ended June 30, 2019, compared to the same period in 2018 driven by:</w:t>
      </w:r>
    </w:p>
    <w:p>
      <w:pPr>
        <w:spacing w:after="0" w:line="8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$69.6 million increase due to the inclusion of KCP&amp;L's and GMO's depreciation expense in April and May of 2019; and</w:t>
      </w:r>
    </w:p>
    <w:p>
      <w:pPr>
        <w:spacing w:after="0" w:line="107"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$17.8 million increase primarily due to a change in depreciation rates effective in September 2018 for Westar Energy as a result of its 2018 rate case.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Evergy's depreciation and amortization increased $211.3 million year to date June 30, 2019, compared to the same period in 2018 driven by:</w:t>
      </w:r>
    </w:p>
    <w:p>
      <w:pPr>
        <w:spacing w:after="0" w:line="13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$173.4 million increase due to the inclusion of KCP&amp;L's and GMO's depreciation expense in the first five months of 2019; and</w:t>
      </w:r>
    </w:p>
    <w:p>
      <w:pPr>
        <w:spacing w:after="0" w:line="119" w:lineRule="exact"/>
        <w:rPr>
          <w:rFonts w:ascii="Arial" w:cs="Arial" w:eastAsia="Arial" w:hAnsi="Arial"/>
          <w:sz w:val="19"/>
          <w:szCs w:val="19"/>
          <w:color w:val="auto"/>
        </w:rPr>
      </w:pPr>
    </w:p>
    <w:p>
      <w:pPr>
        <w:ind w:left="660" w:hanging="328"/>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$37.9 million increase primarily due to a change in depreciation rates effective in September 2018 for Westar Energy as a result of its 2018 rate case.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 Net</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Evergy's other expense, net decreased $1.1 million for the three months ended June 30, 2019, compared to the same period in 2018, primarily driven by:</w:t>
      </w:r>
    </w:p>
    <w:p>
      <w:pPr>
        <w:spacing w:after="0" w:line="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$2.5 million decrease due to recording higher Westar Energy corporate-owned life insurance (COLI) benefits in 2019; offset by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$3.3 million increase due to the inclusion of KCP&amp;L and GMO amounts in April and May of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Evergy's other expense, net decreased $2.0 million year to date June 30, 2019, compared to the same period in 2018, primarily driven by:</w:t>
      </w:r>
    </w:p>
    <w:p>
      <w:pPr>
        <w:spacing w:after="0" w:line="13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 $8.7 million decrease due to recording higher Westar Energy COLI benefits in 2019; offset by</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$9.5 million increase due to the inclusion of KCP&amp;L and GMO amounts in the first five months of 2019.</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2" w:right="299" w:bottom="1440" w:gutter="0" w:footer="0" w:header="0"/>
        </w:sectPr>
      </w:pPr>
    </w:p>
    <w:bookmarkStart w:id="66" w:name="page67"/>
    <w:bookmarkEnd w:id="6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2"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Evergy's interest expense increased $37.0 million for the three months ended June 30, 2019, compared to the same period in 2018, primarily driven by the inclusion of KCP&amp;L's and GMO's interest expense and Evergy's interest expense associated with the assumption of legacy Great Plains Energy debt in April and May of 2019.</w:t>
      </w:r>
    </w:p>
    <w:p>
      <w:pPr>
        <w:spacing w:after="0" w:line="19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Evergy's interest expense increased $84.3 million year to date June 30, 2019, compared to the same period in 2018, primarily driven by the inclusion of KCP&amp;L's and GMO's interest expense and Evergy's interest expense associated with the assumption of legacy Great Plains Energy debt in the first five months of 2019.</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Evergy's income tax expense increased $69.4 million for the three months ended June 30, 2019, compared to the same period in 2018, primarily driven by:</w:t>
      </w:r>
    </w:p>
    <w:p>
      <w:pPr>
        <w:spacing w:after="0" w:line="84" w:lineRule="exact"/>
        <w:rPr>
          <w:sz w:val="20"/>
          <w:szCs w:val="20"/>
          <w:color w:val="auto"/>
        </w:rPr>
      </w:pPr>
    </w:p>
    <w:p>
      <w:pPr>
        <w:ind w:left="660" w:right="360" w:hanging="328"/>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$52.6 million increase related to the revaluation of Westar Energy's deferred income tax assets and liabilities based on the Evergy composite tax rate as a result of the merger in June 2018;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$14.6 million increase due to higher Westar Energy pre-tax income.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Evergy's income tax expense increased $69.5 million year to date June 30, 2019, compared to the same period in 2018, primarily driven by:</w:t>
      </w:r>
    </w:p>
    <w:p>
      <w:pPr>
        <w:spacing w:after="0" w:line="131" w:lineRule="exact"/>
        <w:rPr>
          <w:sz w:val="20"/>
          <w:szCs w:val="20"/>
          <w:color w:val="auto"/>
        </w:rPr>
      </w:pPr>
    </w:p>
    <w:p>
      <w:pPr>
        <w:ind w:left="660" w:right="36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$52.6 million increase related to the revaluation of Westar Energy's deferred income tax assets and liabilities based on the Evergy composite tax rate as a result of the merger in June 2018;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$16.4 million increase due to higher Westar Energy pre-tax income.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2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Evergy relies primarily upon cash from operations, short-term borrowings, debt issuances and its existing cash and cash equivalents to fund its capital requirements. Evergy's capital requirements primarily consist of capital expenditures, payment of contractual obligations and other commitments, the payment of dividends to shareholders and the repurchase of common shares. See the Evergy Companies' combined 2018 Form 10-K for more information on Evergy's sources and uses of cash.</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As of June 30, 2019, Evergy had $1.2 billion of available borrowing capacity under its master credit facility. The available borrowing capacity under the master credit facility consisted of $349.0 million for Evergy, Inc., $232.7 million for Westar Energy, $373.3 million for KCP&amp;L and $272.6 million for GMO. Westar Energy's, KCP&amp;L's and GMO's borrowing capacity under the master credit facility also supports their issuance of commercial paper. See Note 8 to the consolidated financial statements for more information regarding the master credit facility. Along with cash flows from operations and receivable sales facilities, Evergy generally uses borrowings under its master credit facility and the issuance of commercial paper to meet its day-to-day cash flow requirements. Evergy also has a term loan credit agreement which is discussed further below.</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In March 2019, Evergy entered into a $1.0 billion, 6-month term loan credit agreement with a group of banks to provide short-term financing for its common stock repurchase plan. The agreement allows for two term loans during the 6-month term of the agreement, in an aggregate principal amount not to exceed the credit limit of the agreement. At closing, Evergy borrowed $500.0 million under the agreement, allowing for one additional term loan borrowing in a principal amount up to $500.0 million. In June 2019, Evergy borrowed the remaining $500.0 million allowed under the agreement. At June 30, 2019, Evergy had $1.0 billion of outstanding cash borrowings under the agreement at a weighted-average interest rate of 2.95%. Evergy anticipates repaying borrowings under the term loan credit agreement with proceeds from an expected long-term debt issuance in the third quarter of 2019.</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9 to the consolidated financial statements for information regarding significant debt issuances.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2"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Year to date June 30, 2019, Evergy made pension contributions of $22.1 million. Evergy expects to make additional pension contributions of $107.4 million in 2019 to satisfy ERISA funding requirements and KCC and MPSC rate orders, of which $29.0 million is expected to be paid by Westar Energy and $78.4 million is expected to be paid by KCP&amp;L.</w:t>
      </w:r>
    </w:p>
    <w:p>
      <w:pPr>
        <w:spacing w:after="0" w:line="19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Year to date June 30, 2019, Evergy made post-retirement benefit contributions of $0.6 million. Evergy expects to make additional contributions of $2.1 million to the post-retirement benefit plans in 2019.</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 Program</w:t>
      </w:r>
    </w:p>
    <w:p>
      <w:pPr>
        <w:spacing w:after="0" w:line="22"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In July 2018, the Evergy Board authorized the repurchase of up to 60 million shares of Evergy's common stock. Although this repurchase authorization has no expiration date, Evergy expects to repurchase approximately 60 million shares by mid-2020. Year to date June 30, 2019, Evergy had total repurchases of common stock of $1,128.7 million and had repurchased 20.0 million shares under the repurchase program. Since its inception, Evergy has made total repurchases of common stock of approximately $2.2 billion and has repurchased 36.3 million shares under the repurchase program.</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See Note 13 to the consolidated financial statements for more information regarding Evergy's common stock repurchase program.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2"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color w:val="auto"/>
        </w:rPr>
        <w:t>As of June 30, 2019, Evergy was in compliance with all debt covenants under the master credit facility, the term loan agreement and certain debt instruments that contain restrictions that require the maintenance of certain capitalization and leverage ratios. See Note 8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w:t>
      </w:r>
    </w:p>
    <w:p>
      <w:pPr>
        <w:spacing w:after="0" w:line="2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Evergy's off-balance sheet arrangements were reported in the Evergy Companies' combined 2018 Form 10-K. As of June 30, 2019, there have been no material changes with regards to these off-balance sheet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w:t>
            </w:r>
          </w:p>
        </w:tc>
        <w:tc>
          <w:tcPr>
            <w:tcW w:w="2980" w:type="dxa"/>
            <w:vAlign w:val="bottom"/>
          </w:tcPr>
          <w:p>
            <w:pPr>
              <w:spacing w:after="0"/>
              <w:rPr>
                <w:sz w:val="20"/>
                <w:szCs w:val="20"/>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60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40" w:type="dxa"/>
            <w:vAlign w:val="bottom"/>
          </w:tcPr>
          <w:p>
            <w:pPr>
              <w:spacing w:after="0"/>
              <w:rPr>
                <w:sz w:val="20"/>
                <w:szCs w:val="20"/>
                <w:color w:val="auto"/>
              </w:rPr>
            </w:pPr>
          </w:p>
        </w:tc>
      </w:tr>
      <w:tr>
        <w:trPr>
          <w:trHeight w:val="33"/>
        </w:trPr>
        <w:tc>
          <w:tcPr>
            <w:tcW w:w="6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633.7</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Cash flows from (used in) investing activities</w:t>
            </w:r>
          </w:p>
        </w:tc>
        <w:tc>
          <w:tcPr>
            <w:tcW w:w="29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(529.5)</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846.9</w:t>
            </w:r>
          </w:p>
        </w:tc>
      </w:tr>
      <w:tr>
        <w:trPr>
          <w:trHeight w:val="27"/>
        </w:trPr>
        <w:tc>
          <w:tcPr>
            <w:tcW w:w="6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(used in) financing activities</w:t>
            </w:r>
          </w:p>
        </w:tc>
        <w:tc>
          <w:tcPr>
            <w:tcW w:w="2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6020" w:type="dxa"/>
            <w:vAlign w:val="bottom"/>
            <w:shd w:val="clear" w:color="auto" w:fill="000000"/>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6"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Evergy's cash flows from operating activities increased $236.5 million year to date June 30, 2019, compared to the same period in 2018, primarily driven by a $252.3 million increase due to the inclusion of KCP&amp;L's and GMO's cash flows from operating activities in the first five months of 2019 and $35.6 million of merger success fees paid by Evergy and Westar Energy upon the completion of the merger in June 2018; partially offset by a $53.8 million decrease in cash receipts from Westar Energy retail electric sales.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(used in) Investing Activities</w:t>
      </w:r>
    </w:p>
    <w:p>
      <w:pPr>
        <w:spacing w:after="0" w:line="16" w:lineRule="exact"/>
        <w:rPr>
          <w:sz w:val="20"/>
          <w:szCs w:val="20"/>
          <w:color w:val="auto"/>
        </w:rPr>
      </w:pPr>
    </w:p>
    <w:p>
      <w:pPr>
        <w:ind w:right="280"/>
        <w:spacing w:after="0"/>
        <w:rPr>
          <w:sz w:val="20"/>
          <w:szCs w:val="20"/>
          <w:color w:val="auto"/>
        </w:rPr>
      </w:pPr>
      <w:r>
        <w:rPr>
          <w:rFonts w:ascii="Arial" w:cs="Arial" w:eastAsia="Arial" w:hAnsi="Arial"/>
          <w:sz w:val="20"/>
          <w:szCs w:val="20"/>
          <w:color w:val="auto"/>
        </w:rPr>
        <w:t>Evergy's cash flows used in investing activities increased $1,376.4 million year to date June 30, 2019, compared to the same period in 2018, primarily driven by $1,154.2 million of cash acquired from Great Plains Energy in June 2018; a $243.6 million increase in additions to property, plant and equipment due to the inclusion of KCP&amp;L and GMO activity in the first five months of 2019; $140.6 million in proceeds from the settlement of deal contingent interest rate swaps in June 2018; partially offset by an increase of $63.7 million in proceeds primarily from Westar Energy COLI investments in 2019.</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(used in) Financing Activities</w:t>
      </w:r>
    </w:p>
    <w:p>
      <w:pPr>
        <w:spacing w:after="0" w:line="16"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Evergy's cash flows used in financing activities increased $190.1 million year to date June 30, 2019, compared to the same period in 2018, primarily driven by the repurchase of common stock under repurchase plan of $1,128.7 million as a result of Evergy's share repurchase program in 2019; the repayment of KCP&amp;L's $400.0 million of 7.15% Mortgage Bonds that matured in April 2019 and KGE's $300.0 million of 6.70% First Mortgage Bonds that matured in June 2019; and an increase of $68.0 million in collateralized short-term debt, net primarily due to repayments of $33.0 million and $20.0 million of Westar Energy's and KCP&amp;L's receivable sale facilities in 2019, respectively; partially offset by a $1,257.9 million increase in short-term debt, net primarily due to Evergy's $1.0 billion of borrowings under its term loan credit facility entered into in March 2019; and a $493.3 million increase in net proceeds from long-term debt due to KCP&amp;L's issuance of $400.0 million of 4.125% Mortgage Bonds and GMO's issuance of $100.0 million of 3.74% Senior Notes in March 2019.</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WESTAR ENERGY,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The below results of operations and related discussion for Westar Energy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Westar Energy's comparative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w:t>
            </w: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5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1"/>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1,182.3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(68.8)</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1,251.1</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230.4</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(63.1)</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293.5</w:t>
            </w:r>
          </w:p>
        </w:tc>
      </w:tr>
      <w:tr>
        <w:trPr>
          <w:trHeight w:val="27"/>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SPP network transmission costs</w:t>
            </w:r>
          </w:p>
        </w:tc>
        <w:tc>
          <w:tcPr>
            <w:tcW w:w="2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126.3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353.3</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(83.0)</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436.3</w:t>
            </w:r>
          </w:p>
        </w:tc>
      </w:tr>
      <w:tr>
        <w:trPr>
          <w:trHeight w:val="27"/>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220.4</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34.7</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251.9</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52.3</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199.6</w:t>
            </w:r>
          </w:p>
        </w:tc>
      </w:tr>
      <w:tr>
        <w:trPr>
          <w:trHeight w:val="27"/>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88.2</w:t>
            </w:r>
          </w:p>
        </w:tc>
      </w:tr>
      <w:tr>
        <w:trPr>
          <w:trHeight w:val="27"/>
        </w:trPr>
        <w:tc>
          <w:tcPr>
            <w:tcW w:w="5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64.8</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w w:val="97"/>
              </w:rPr>
              <w:t>Equity in earnings of equity method investees, net of income taxes</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5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135.5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52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Westar Energy, Inc.</w:t>
            </w:r>
          </w:p>
        </w:tc>
        <w:tc>
          <w:tcPr>
            <w:tcW w:w="2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r>
      <w:tr>
        <w:trPr>
          <w:trHeight w:val="675"/>
        </w:trPr>
        <w:tc>
          <w:tcPr>
            <w:tcW w:w="52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jc w:val="right"/>
              <w:ind w:right="2010"/>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Westar Energy Utility Gross Margin and MWh Sales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Westar Energy's utility gross margin and MWhs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Revenues and Expenses</w:t>
            </w: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MWhs Sold</w:t>
            </w:r>
          </w:p>
        </w:tc>
        <w:tc>
          <w:tcPr>
            <w:tcW w:w="98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w:t>
            </w:r>
          </w:p>
        </w:tc>
        <w:tc>
          <w:tcPr>
            <w:tcW w:w="240" w:type="dxa"/>
            <w:vAlign w:val="bottom"/>
          </w:tcPr>
          <w:p>
            <w:pPr>
              <w:spacing w:after="0"/>
              <w:rPr>
                <w:sz w:val="23"/>
                <w:szCs w:val="23"/>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3"/>
                <w:szCs w:val="23"/>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420" w:type="dxa"/>
            <w:vAlign w:val="bottom"/>
          </w:tcPr>
          <w:p>
            <w:pPr>
              <w:spacing w:after="0"/>
              <w:rPr>
                <w:sz w:val="23"/>
                <w:szCs w:val="23"/>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center"/>
              <w:ind w:right="31"/>
              <w:spacing w:after="0"/>
              <w:rPr>
                <w:sz w:val="20"/>
                <w:szCs w:val="20"/>
                <w:color w:val="auto"/>
              </w:rPr>
            </w:pPr>
            <w:r>
              <w:rPr>
                <w:rFonts w:ascii="Arial" w:cs="Arial" w:eastAsia="Arial" w:hAnsi="Arial"/>
                <w:sz w:val="18"/>
                <w:szCs w:val="18"/>
                <w:b w:val="1"/>
                <w:bCs w:val="1"/>
                <w:color w:val="auto"/>
                <w:w w:val="90"/>
              </w:rPr>
              <w:t>Change</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r>
      <w:tr>
        <w:trPr>
          <w:trHeight w:val="27"/>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Retail revenues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Arial" w:cs="Arial" w:eastAsia="Arial" w:hAnsi="Arial"/>
                <w:sz w:val="16"/>
                <w:szCs w:val="16"/>
                <w:color w:val="auto"/>
              </w:rPr>
              <w:t>(millions)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(thousands)</w:t>
            </w:r>
          </w:p>
        </w:tc>
        <w:tc>
          <w:tcPr>
            <w:tcW w:w="98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(29.9)</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401.4</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2,930</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(319)</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3,249</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337.1</w:t>
            </w:r>
          </w:p>
        </w:tc>
        <w:tc>
          <w:tcPr>
            <w:tcW w:w="4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325.4</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3,482</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(85)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3,567</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11.9</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185.3</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2,737</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12</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retail revenues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9.9</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electric retail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922.0</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9,173</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(398)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Wholesale revenues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114.8</w:t>
            </w:r>
          </w:p>
        </w:tc>
        <w:tc>
          <w:tcPr>
            <w:tcW w:w="4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(66.5)</w:t>
            </w:r>
          </w:p>
        </w:tc>
        <w:tc>
          <w:tcPr>
            <w:tcW w:w="42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181.3</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3,571</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(1,906)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5,477</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Transmission revenues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144.1</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4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N/A</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1,182.3</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(68.8)</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1,251.1</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12,744</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(2,304)</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(230.4)</w:t>
            </w:r>
          </w:p>
        </w:tc>
        <w:tc>
          <w:tcPr>
            <w:tcW w:w="4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63.1</w:t>
            </w:r>
          </w:p>
        </w:tc>
        <w:tc>
          <w:tcPr>
            <w:tcW w:w="42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(293.5)</w:t>
            </w:r>
          </w:p>
        </w:tc>
        <w:tc>
          <w:tcPr>
            <w:tcW w:w="1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SPP network transmission costs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(136.0)</w:t>
            </w:r>
          </w:p>
        </w:tc>
        <w:tc>
          <w:tcPr>
            <w:tcW w:w="1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89"/>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Utility gross margin </w:t>
            </w:r>
            <w:r>
              <w:rPr>
                <w:rFonts w:ascii="Arial" w:cs="Arial" w:eastAsia="Arial" w:hAnsi="Arial"/>
                <w:sz w:val="25"/>
                <w:szCs w:val="25"/>
                <w:color w:val="auto"/>
                <w:vertAlign w:val="superscript"/>
              </w:rPr>
              <w:t>(a)</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825.6</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4.0</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821.6</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251"/>
        <w:spacing w:after="0" w:line="188" w:lineRule="auto"/>
        <w:tabs>
          <w:tab w:leader="none" w:pos="34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Utility gross margin is a non-GAAP financial measure. See explanation of utility gross margin under Evergy's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Westar Energy's utility gross margin increased $4.0 million year to date June 30, 2019, compared to the same period in 2018 driven by:</w:t>
      </w:r>
    </w:p>
    <w:p>
      <w:pPr>
        <w:spacing w:after="0" w:line="119" w:lineRule="exact"/>
        <w:rPr>
          <w:sz w:val="20"/>
          <w:szCs w:val="20"/>
          <w:color w:val="auto"/>
        </w:rPr>
      </w:pPr>
    </w:p>
    <w:p>
      <w:pPr>
        <w:ind w:left="660" w:right="340" w:hanging="328"/>
        <w:spacing w:after="0" w:line="260"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$22.3 million increase in revenue primarily due to one-time bill credits recorded in June 2018 as a result of conditions in the KCC merger order; and</w:t>
      </w:r>
    </w:p>
    <w:p>
      <w:pPr>
        <w:spacing w:after="0" w:line="68" w:lineRule="exact"/>
        <w:rPr>
          <w:rFonts w:ascii="Arial" w:cs="Arial" w:eastAsia="Arial" w:hAnsi="Arial"/>
          <w:sz w:val="20"/>
          <w:szCs w:val="20"/>
          <w:color w:val="auto"/>
        </w:rPr>
      </w:pPr>
    </w:p>
    <w:p>
      <w:pPr>
        <w:ind w:left="660" w:right="60" w:hanging="328"/>
        <w:spacing w:after="0" w:line="287"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$12.4 million increase from new retail rates effective in September 2018, net of a $38.2 million provision for rate refund recorded for year to date June 30, 2018 for the change in the corporate income tax rate caused by the TCJA; partially offset by</w:t>
      </w:r>
    </w:p>
    <w:p>
      <w:pPr>
        <w:spacing w:after="0" w:line="44" w:lineRule="exact"/>
        <w:rPr>
          <w:rFonts w:ascii="Arial" w:cs="Arial" w:eastAsia="Arial" w:hAnsi="Arial"/>
          <w:sz w:val="19"/>
          <w:szCs w:val="19"/>
          <w:color w:val="auto"/>
        </w:rPr>
      </w:pPr>
    </w:p>
    <w:p>
      <w:pPr>
        <w:ind w:left="660" w:right="380" w:hanging="328"/>
        <w:spacing w:after="0" w:line="260"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$30.7 million decrease primarily due to lower retail sales driven by cooler weather in the second quarter of 2019. For year to date June 30, 2019, compared to the same period in 2018, cooling degree days decreased 45%.</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Westar Energy Other Operating Expenses (including operating and maintenance expense and taxes other than income tax)</w:t>
      </w:r>
    </w:p>
    <w:p>
      <w:pPr>
        <w:spacing w:after="0" w:line="33"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Westar Energy's other operating expenses decreased $83.0 million year to date June 30, 2019, compared to the same period in 2018 primarily driven by:</w:t>
      </w:r>
    </w:p>
    <w:p>
      <w:pPr>
        <w:spacing w:after="0" w:line="8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$45.1 million of merger-related costs incurred in June 2018, consisting of:</w:t>
      </w:r>
    </w:p>
    <w:p>
      <w:pPr>
        <w:spacing w:after="0" w:line="107" w:lineRule="exact"/>
        <w:rPr>
          <w:rFonts w:ascii="Arial" w:cs="Arial" w:eastAsia="Arial" w:hAnsi="Arial"/>
          <w:sz w:val="20"/>
          <w:szCs w:val="20"/>
          <w:color w:val="auto"/>
        </w:rPr>
      </w:pPr>
    </w:p>
    <w:p>
      <w:pPr>
        <w:ind w:left="1800" w:right="20" w:hanging="820"/>
        <w:spacing w:after="0" w:line="250" w:lineRule="auto"/>
        <w:tabs>
          <w:tab w:leader="none" w:pos="1314" w:val="left"/>
        </w:tabs>
        <w:numPr>
          <w:ilvl w:val="1"/>
          <w:numId w:val="32"/>
        </w:numPr>
        <w:rPr>
          <w:rFonts w:ascii="Arial" w:cs="Arial" w:eastAsia="Arial" w:hAnsi="Arial"/>
          <w:sz w:val="20"/>
          <w:szCs w:val="20"/>
          <w:color w:val="auto"/>
        </w:rPr>
      </w:pPr>
      <w:r>
        <w:rPr>
          <w:rFonts w:ascii="Arial" w:cs="Arial" w:eastAsia="Arial" w:hAnsi="Arial"/>
          <w:sz w:val="20"/>
          <w:szCs w:val="20"/>
          <w:color w:val="auto"/>
        </w:rPr>
        <w:t>$39.9 million of change in control payments, voluntary severance and the recording of unrecognized equity compensation costs and the incremental fair value associated with the vesting of outstanding equity compensation awards in accordance with the Amended Merger Agreement; and</w:t>
      </w:r>
    </w:p>
    <w:p>
      <w:pPr>
        <w:spacing w:after="0" w:line="78" w:lineRule="exact"/>
        <w:rPr>
          <w:rFonts w:ascii="Arial" w:cs="Arial" w:eastAsia="Arial" w:hAnsi="Arial"/>
          <w:sz w:val="20"/>
          <w:szCs w:val="20"/>
          <w:color w:val="auto"/>
        </w:rPr>
      </w:pPr>
    </w:p>
    <w:p>
      <w:pPr>
        <w:ind w:left="1800" w:right="380" w:hanging="820"/>
        <w:spacing w:after="0" w:line="260" w:lineRule="auto"/>
        <w:tabs>
          <w:tab w:leader="none" w:pos="1314" w:val="left"/>
        </w:tabs>
        <w:numPr>
          <w:ilvl w:val="1"/>
          <w:numId w:val="32"/>
        </w:numPr>
        <w:rPr>
          <w:rFonts w:ascii="Arial" w:cs="Arial" w:eastAsia="Arial" w:hAnsi="Arial"/>
          <w:sz w:val="20"/>
          <w:szCs w:val="20"/>
          <w:color w:val="auto"/>
        </w:rPr>
      </w:pPr>
      <w:r>
        <w:rPr>
          <w:rFonts w:ascii="Arial" w:cs="Arial" w:eastAsia="Arial" w:hAnsi="Arial"/>
          <w:sz w:val="20"/>
          <w:szCs w:val="20"/>
          <w:color w:val="auto"/>
        </w:rPr>
        <w:t>$19.0 million of merger consulting fees and fees for other outside services incurred, primarily consisting of merger success fees; partially offset by</w:t>
      </w:r>
    </w:p>
    <w:p>
      <w:pPr>
        <w:spacing w:after="0" w:line="68" w:lineRule="exact"/>
        <w:rPr>
          <w:rFonts w:ascii="Arial" w:cs="Arial" w:eastAsia="Arial" w:hAnsi="Arial"/>
          <w:sz w:val="20"/>
          <w:szCs w:val="20"/>
          <w:color w:val="auto"/>
        </w:rPr>
      </w:pPr>
    </w:p>
    <w:p>
      <w:pPr>
        <w:ind w:left="1800" w:right="180" w:hanging="820"/>
        <w:spacing w:after="0" w:line="291" w:lineRule="auto"/>
        <w:tabs>
          <w:tab w:leader="none" w:pos="131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$13.8 million decrease in operating and maintenance expense due to the net reallocation of incurred merger transition costs between Westar Energy, Evergy, KCP&amp;L and GMO and the subsequent deferral of these transition costs to a regulatory asset in June 2018 for future recovery by Westar Energy in accordance with the KCC merger order;</w:t>
      </w:r>
    </w:p>
    <w:p>
      <w:pPr>
        <w:spacing w:after="0" w:line="4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$20.6 million decrease in plant operating and maintenance expense primarily due to obsolete inventory write-offs at retiring coal-fired units in June 2018; and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60" w:right="740" w:hanging="328"/>
        <w:spacing w:after="0" w:line="26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$14.1 million decrease in transmission and distribution operating and maintenance expense primarily due to a higher level of vegetation management activity in 2018; partially offset by</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$10.7 million increase in taxes other than income taxes primarily due to increased property taxes.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Westar Energy Depreciation and Amortization</w:t>
      </w:r>
    </w:p>
    <w:p>
      <w:pPr>
        <w:spacing w:after="0" w:line="22" w:lineRule="exact"/>
        <w:rPr>
          <w:sz w:val="20"/>
          <w:szCs w:val="20"/>
          <w:color w:val="auto"/>
        </w:rPr>
      </w:pPr>
    </w:p>
    <w:p>
      <w:pPr>
        <w:ind w:right="400"/>
        <w:spacing w:after="0" w:line="298" w:lineRule="auto"/>
        <w:rPr>
          <w:sz w:val="20"/>
          <w:szCs w:val="20"/>
          <w:color w:val="auto"/>
        </w:rPr>
      </w:pPr>
      <w:r>
        <w:rPr>
          <w:rFonts w:ascii="Arial" w:cs="Arial" w:eastAsia="Arial" w:hAnsi="Arial"/>
          <w:sz w:val="18"/>
          <w:szCs w:val="18"/>
          <w:color w:val="auto"/>
        </w:rPr>
        <w:t>Westar Energy's depreciation and amortization expense increased $34.7 million year to date June 30, 2019, compared to the same period in 2018 primarily due to a change in depreciation rates effective in September 2018 as a result of Westar Energy's 2018 rate case.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Westar Energy Other Expense, Net</w:t>
      </w:r>
    </w:p>
    <w:p>
      <w:pPr>
        <w:spacing w:after="0" w:line="22"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Westar Energy's other expense, net decreased $11.7 million year to date June 30, 2019</w:t>
      </w:r>
      <w:r>
        <w:rPr>
          <w:rFonts w:ascii="Arial" w:cs="Arial" w:eastAsia="Arial" w:hAnsi="Arial"/>
          <w:sz w:val="18"/>
          <w:szCs w:val="18"/>
          <w:color w:val="auto"/>
        </w:rPr>
        <w:t>,</w:t>
      </w:r>
      <w:r>
        <w:rPr>
          <w:rFonts w:ascii="Arial" w:cs="Arial" w:eastAsia="Arial" w:hAnsi="Arial"/>
          <w:sz w:val="20"/>
          <w:szCs w:val="20"/>
          <w:color w:val="auto"/>
        </w:rPr>
        <w:t xml:space="preserve"> compared to the same period in 2018 primarily driven by an $8.7 million decrease due to recording higher COLI benefits in 2019.</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Westar Energy Interest Expense</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Westar Energy's interest expense increased $4.2 million year to date June 30, 2019, compared to the same period in 2018 primarily driven by a higher average balance and borrowing rates on commercial paper in 2019.</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Westar Energy Income Tax Expense</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Westar Energy's income tax expense increased $64.8 million year to date June 30, 2019, compared to the same period in 2018 primarily driven by:</w:t>
      </w:r>
    </w:p>
    <w:p>
      <w:pPr>
        <w:spacing w:after="0" w:line="84" w:lineRule="exact"/>
        <w:rPr>
          <w:sz w:val="20"/>
          <w:szCs w:val="20"/>
          <w:color w:val="auto"/>
        </w:rPr>
      </w:pPr>
    </w:p>
    <w:p>
      <w:pPr>
        <w:ind w:left="660" w:right="200" w:hanging="328"/>
        <w:spacing w:after="0" w:line="260"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$52.6 million increase related to the revaluation of deferred income tax assets and liabilities based on the Evergy composite tax rate as a result of the merger in June 2018;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$16.4 million increase due to higher pre-tax income.</w:t>
      </w:r>
    </w:p>
    <w:p>
      <w:pPr>
        <w:spacing w:after="0" w:line="210"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KANSAS CITY POWER &amp; LIGHT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The below results of operations and related discussion for KCP&amp;L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KCP&amp;L's comparative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w:t>
            </w:r>
          </w:p>
        </w:tc>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b w:val="1"/>
                <w:bCs w:val="1"/>
                <w:color w:val="auto"/>
                <w:w w:val="90"/>
              </w:rPr>
              <w:t>Change</w:t>
            </w:r>
          </w:p>
        </w:tc>
        <w:tc>
          <w:tcPr>
            <w:tcW w:w="3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r>
      <w:tr>
        <w:trPr>
          <w:trHeight w:val="27"/>
        </w:trPr>
        <w:tc>
          <w:tcPr>
            <w:tcW w:w="3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39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1"/>
              <w:spacing w:after="0"/>
              <w:rPr>
                <w:sz w:val="20"/>
                <w:szCs w:val="20"/>
                <w:color w:val="auto"/>
              </w:rPr>
            </w:pPr>
            <w:r>
              <w:rPr>
                <w:rFonts w:ascii="Arial" w:cs="Arial" w:eastAsia="Arial" w:hAnsi="Arial"/>
                <w:sz w:val="16"/>
                <w:szCs w:val="16"/>
                <w:color w:val="auto"/>
                <w:w w:val="96"/>
              </w:rPr>
              <w:t>(millions)</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3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4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4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251.1</w:t>
            </w:r>
          </w:p>
        </w:tc>
        <w:tc>
          <w:tcPr>
            <w:tcW w:w="26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3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4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158.8</w:t>
            </w:r>
          </w:p>
        </w:tc>
        <w:tc>
          <w:tcPr>
            <w:tcW w:w="26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137.1</w:t>
            </w:r>
          </w:p>
        </w:tc>
      </w:tr>
      <w:tr>
        <w:trPr>
          <w:trHeight w:val="27"/>
        </w:trPr>
        <w:tc>
          <w:tcPr>
            <w:tcW w:w="39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4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158.8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(16.9)</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4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3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3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r>
      <w:tr>
        <w:trPr>
          <w:trHeight w:val="459"/>
        </w:trPr>
        <w:tc>
          <w:tcPr>
            <w:tcW w:w="3920" w:type="dxa"/>
            <w:vAlign w:val="bottom"/>
            <w:tcBorders>
              <w:top w:val="single" w:sz="8" w:color="auto"/>
            </w:tcBorders>
          </w:tcPr>
          <w:p>
            <w:pPr>
              <w:spacing w:after="0"/>
              <w:rPr>
                <w:sz w:val="24"/>
                <w:szCs w:val="24"/>
                <w:color w:val="auto"/>
              </w:rPr>
            </w:pPr>
          </w:p>
        </w:tc>
        <w:tc>
          <w:tcPr>
            <w:tcW w:w="4320" w:type="dxa"/>
            <w:vAlign w:val="bottom"/>
            <w:tcBorders>
              <w:top w:val="single" w:sz="8" w:color="auto"/>
            </w:tcBorders>
          </w:tcPr>
          <w:p>
            <w:pPr>
              <w:jc w:val="right"/>
              <w:ind w:right="2350"/>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KCP&amp;L Utility Gross Margin and MWh Sales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KCP&amp;L's utility gross margin and MWhs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6"/>
              </w:rPr>
              <w:t>Revenues and Expenses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MWhs Sold</w:t>
            </w:r>
          </w:p>
        </w:tc>
        <w:tc>
          <w:tcPr>
            <w:tcW w:w="98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Year to Date June 30</w:t>
            </w:r>
          </w:p>
        </w:tc>
        <w:tc>
          <w:tcPr>
            <w:tcW w:w="240" w:type="dxa"/>
            <w:vAlign w:val="bottom"/>
          </w:tcPr>
          <w:p>
            <w:pPr>
              <w:spacing w:after="0"/>
              <w:rPr>
                <w:sz w:val="23"/>
                <w:szCs w:val="23"/>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1000" w:type="dxa"/>
            <w:vAlign w:val="bottom"/>
          </w:tcPr>
          <w:p>
            <w:pPr>
              <w:jc w:val="center"/>
              <w:ind w:right="151"/>
              <w:spacing w:after="0"/>
              <w:rPr>
                <w:sz w:val="20"/>
                <w:szCs w:val="20"/>
                <w:color w:val="auto"/>
              </w:rPr>
            </w:pPr>
            <w:r>
              <w:rPr>
                <w:rFonts w:ascii="Arial" w:cs="Arial" w:eastAsia="Arial" w:hAnsi="Arial"/>
                <w:sz w:val="18"/>
                <w:szCs w:val="18"/>
                <w:b w:val="1"/>
                <w:bCs w:val="1"/>
                <w:color w:val="auto"/>
                <w:w w:val="90"/>
              </w:rPr>
              <w:t>Change</w:t>
            </w:r>
          </w:p>
        </w:tc>
        <w:tc>
          <w:tcPr>
            <w:tcW w:w="36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3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center"/>
              <w:ind w:right="31"/>
              <w:spacing w:after="0"/>
              <w:rPr>
                <w:sz w:val="20"/>
                <w:szCs w:val="20"/>
                <w:color w:val="auto"/>
              </w:rPr>
            </w:pPr>
            <w:r>
              <w:rPr>
                <w:rFonts w:ascii="Arial" w:cs="Arial" w:eastAsia="Arial" w:hAnsi="Arial"/>
                <w:sz w:val="18"/>
                <w:szCs w:val="18"/>
                <w:b w:val="1"/>
                <w:bCs w:val="1"/>
                <w:color w:val="auto"/>
                <w:w w:val="90"/>
              </w:rPr>
              <w:t>Change</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r>
      <w:tr>
        <w:trPr>
          <w:trHeight w:val="27"/>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Retail revenues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color w:val="auto"/>
                <w:w w:val="99"/>
              </w:rPr>
              <w:t>(millions)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(thousands)</w:t>
            </w:r>
          </w:p>
        </w:tc>
        <w:tc>
          <w:tcPr>
            <w:tcW w:w="98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2,551</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(238)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379.4</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378.1</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3,703</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(117)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3,820</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65.9</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815</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(42)</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retail revenues</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electric retail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776.9</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791.3</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7,107</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(397)</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Wholesale revenues</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3,222</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1,083</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2,139</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Transmission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N/A</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862.4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13.1</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849.3</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10,329</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686</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(251.1)</w:t>
            </w:r>
          </w:p>
        </w:tc>
        <w:tc>
          <w:tcPr>
            <w:tcW w:w="28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7"/>
        </w:trPr>
        <w:tc>
          <w:tcPr>
            <w:tcW w:w="4120" w:type="dxa"/>
            <w:vAlign w:val="bottom"/>
            <w:shd w:val="clear" w:color="auto" w:fill="CCEEFF"/>
          </w:tcPr>
          <w:p>
            <w:pPr>
              <w:ind w:left="40"/>
              <w:spacing w:after="0" w:line="277" w:lineRule="exact"/>
              <w:rPr>
                <w:sz w:val="20"/>
                <w:szCs w:val="20"/>
                <w:color w:val="auto"/>
              </w:rPr>
            </w:pPr>
            <w:r>
              <w:rPr>
                <w:rFonts w:ascii="Arial" w:cs="Arial" w:eastAsia="Arial" w:hAnsi="Arial"/>
                <w:sz w:val="18"/>
                <w:szCs w:val="18"/>
                <w:color w:val="auto"/>
              </w:rPr>
              <w:t xml:space="preserve">Utility gross margin </w:t>
            </w:r>
            <w:r>
              <w:rPr>
                <w:rFonts w:ascii="Arial" w:cs="Arial" w:eastAsia="Arial" w:hAnsi="Arial"/>
                <w:sz w:val="25"/>
                <w:szCs w:val="25"/>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599.3</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251"/>
        <w:spacing w:after="0" w:line="199" w:lineRule="auto"/>
        <w:tabs>
          <w:tab w:leader="none" w:pos="34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Utility gross margin is a non-GAAP financial measure. See explanation of utility gross margin under Evergy's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KCP&amp;L's utility gross margin increased $12.0 million year to date June 30, 2019, compared to the same period in 2018 driven by:</w:t>
      </w:r>
    </w:p>
    <w:p>
      <w:pPr>
        <w:spacing w:after="0" w:line="108" w:lineRule="exact"/>
        <w:rPr>
          <w:sz w:val="20"/>
          <w:szCs w:val="20"/>
          <w:color w:val="auto"/>
        </w:rPr>
      </w:pPr>
    </w:p>
    <w:p>
      <w:pPr>
        <w:ind w:left="660" w:right="100" w:hanging="328"/>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$23.9 million increase from new retail rates effective in December 2018, net of a $39.8 million provision for rate refund recorded for year to date June 30, 2018 for the change in the corporate income tax rate caused by the TCJA;</w:t>
      </w:r>
    </w:p>
    <w:p>
      <w:pPr>
        <w:spacing w:after="0" w:line="68" w:lineRule="exact"/>
        <w:rPr>
          <w:rFonts w:ascii="Arial" w:cs="Arial" w:eastAsia="Arial" w:hAnsi="Arial"/>
          <w:sz w:val="20"/>
          <w:szCs w:val="20"/>
          <w:color w:val="auto"/>
        </w:rPr>
      </w:pPr>
    </w:p>
    <w:p>
      <w:pPr>
        <w:ind w:left="660" w:right="340" w:hanging="328"/>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$22.2 million increase in revenue primarily due to one-time bill credits recorded in June 2018 as a result of conditions in the KCC and MPSC merger orders; and</w:t>
      </w:r>
    </w:p>
    <w:p>
      <w:pPr>
        <w:spacing w:after="0" w:line="68" w:lineRule="exact"/>
        <w:rPr>
          <w:rFonts w:ascii="Arial" w:cs="Arial" w:eastAsia="Arial" w:hAnsi="Arial"/>
          <w:sz w:val="20"/>
          <w:szCs w:val="20"/>
          <w:color w:val="auto"/>
        </w:rPr>
      </w:pPr>
    </w:p>
    <w:p>
      <w:pPr>
        <w:ind w:left="660" w:right="400" w:hanging="328"/>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$4.1 million increase in Missouri Energy Efficiency Investment Act (MEEIA) earnings opportunity related to the achievement of certain energy savings levels in the second cycle of KCP&amp;L's MEEIA program; partially offset by</w:t>
      </w:r>
    </w:p>
    <w:p>
      <w:pPr>
        <w:spacing w:after="0" w:line="68" w:lineRule="exact"/>
        <w:rPr>
          <w:rFonts w:ascii="Arial" w:cs="Arial" w:eastAsia="Arial" w:hAnsi="Arial"/>
          <w:sz w:val="20"/>
          <w:szCs w:val="20"/>
          <w:color w:val="auto"/>
        </w:rPr>
      </w:pPr>
    </w:p>
    <w:p>
      <w:pPr>
        <w:ind w:left="660" w:right="380" w:hanging="328"/>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$30.3 million decrease primarily due to lower retail sales driven by cooler weather in the second quarter of 2019. For year to date June 30, 2019, compared to the same period in 2018, cooling degrees days decreased 45%; and</w:t>
      </w:r>
    </w:p>
    <w:p>
      <w:pPr>
        <w:spacing w:after="0" w:line="68" w:lineRule="exact"/>
        <w:rPr>
          <w:rFonts w:ascii="Arial" w:cs="Arial" w:eastAsia="Arial" w:hAnsi="Arial"/>
          <w:sz w:val="20"/>
          <w:szCs w:val="20"/>
          <w:color w:val="auto"/>
        </w:rPr>
      </w:pPr>
    </w:p>
    <w:p>
      <w:pPr>
        <w:ind w:left="660" w:right="440" w:hanging="328"/>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$7.9 million decrease for recovery of programs costs for energy efficiency programs under MEEIA, which have a direct offset in operating and maintenance expense.</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KCP&amp;L Other Operating Expenses (</w:t>
      </w:r>
      <w:r>
        <w:rPr>
          <w:rFonts w:ascii="Arial" w:cs="Arial" w:eastAsia="Arial" w:hAnsi="Arial"/>
          <w:sz w:val="20"/>
          <w:szCs w:val="20"/>
          <w:b w:val="1"/>
          <w:bCs w:val="1"/>
          <w:i w:val="1"/>
          <w:iCs w:val="1"/>
          <w:color w:val="auto"/>
        </w:rPr>
        <w:t>including operating and maintenance expense and taxes other than income tax</w:t>
      </w:r>
      <w:r>
        <w:rPr>
          <w:rFonts w:ascii="Arial" w:cs="Arial" w:eastAsia="Arial" w:hAnsi="Arial"/>
          <w:sz w:val="20"/>
          <w:szCs w:val="20"/>
          <w:b w:val="1"/>
          <w:bCs w:val="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KCP&amp;L's other operating expenses increased $7.2 million year to date June 30, 2019, compared to the same period in 2018 primarily driven by:</w:t>
      </w:r>
    </w:p>
    <w:p>
      <w:pPr>
        <w:spacing w:after="0" w:line="138" w:lineRule="exact"/>
        <w:rPr>
          <w:sz w:val="20"/>
          <w:szCs w:val="20"/>
          <w:color w:val="auto"/>
        </w:rPr>
      </w:pPr>
    </w:p>
    <w:p>
      <w:pPr>
        <w:jc w:val="both"/>
        <w:ind w:left="660" w:right="200" w:hanging="328"/>
        <w:spacing w:after="0" w:line="250" w:lineRule="auto"/>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$23.2 million increase in operating and maintenance expense due to the net reallocation of incurred merger transition costs between KCP&amp;L, Evergy, Westar Energy and GMO and the subsequent deferral of these transition costs to a regulatory asset in June 2018 for future recovery by KCP&amp;L in accordance with the KCC and MPSC merger orders;</w:t>
      </w:r>
    </w:p>
    <w:p>
      <w:pPr>
        <w:spacing w:after="0" w:line="78"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$7.0 million increase in transmission and distribution operating and maintenance expense primarily due to costs incurred from storms that occurred in January 2019;</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$5.2 million of voluntary severance expenses incurred in the first quarter of 2019; partially offset by</w:t>
      </w:r>
    </w:p>
    <w:p>
      <w:pPr>
        <w:spacing w:after="0" w:line="107" w:lineRule="exact"/>
        <w:rPr>
          <w:rFonts w:ascii="Arial" w:cs="Arial" w:eastAsia="Arial" w:hAnsi="Arial"/>
          <w:sz w:val="20"/>
          <w:szCs w:val="20"/>
          <w:color w:val="auto"/>
        </w:rPr>
      </w:pPr>
    </w:p>
    <w:p>
      <w:pPr>
        <w:ind w:left="660" w:right="240" w:hanging="328"/>
        <w:spacing w:after="0" w:line="260" w:lineRule="auto"/>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$10.0 million decrease in various administrative and general operating and maintenance expenses, including labor, outside services and other miscellaneous expenses;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$7.9 million decrease in program costs for energy efficiency programs under MEEIA, which have a direct offset in revenue;</w:t>
      </w:r>
    </w:p>
    <w:p>
      <w:pPr>
        <w:spacing w:after="0" w:line="119" w:lineRule="exact"/>
        <w:rPr>
          <w:rFonts w:ascii="Arial" w:cs="Arial" w:eastAsia="Arial" w:hAnsi="Arial"/>
          <w:sz w:val="19"/>
          <w:szCs w:val="19"/>
          <w:color w:val="auto"/>
        </w:rPr>
      </w:pPr>
    </w:p>
    <w:p>
      <w:pPr>
        <w:ind w:left="660" w:hanging="328"/>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$7.6 million decrease in plant operating and maintenance expense at coal-fired units primarily driven by:</w:t>
      </w:r>
    </w:p>
    <w:p>
      <w:pPr>
        <w:spacing w:after="0" w:line="107" w:lineRule="exact"/>
        <w:rPr>
          <w:rFonts w:ascii="Arial" w:cs="Arial" w:eastAsia="Arial" w:hAnsi="Arial"/>
          <w:sz w:val="20"/>
          <w:szCs w:val="20"/>
          <w:color w:val="auto"/>
        </w:rPr>
      </w:pPr>
    </w:p>
    <w:p>
      <w:pPr>
        <w:ind w:left="1800" w:right="520" w:hanging="820"/>
        <w:spacing w:after="0" w:line="260" w:lineRule="auto"/>
        <w:tabs>
          <w:tab w:leader="none" w:pos="1314" w:val="left"/>
        </w:tabs>
        <w:numPr>
          <w:ilvl w:val="1"/>
          <w:numId w:val="38"/>
        </w:numPr>
        <w:rPr>
          <w:rFonts w:ascii="Arial" w:cs="Arial" w:eastAsia="Arial" w:hAnsi="Arial"/>
          <w:sz w:val="20"/>
          <w:szCs w:val="20"/>
          <w:color w:val="auto"/>
        </w:rPr>
      </w:pPr>
      <w:r>
        <w:rPr>
          <w:rFonts w:ascii="Arial" w:cs="Arial" w:eastAsia="Arial" w:hAnsi="Arial"/>
          <w:sz w:val="20"/>
          <w:szCs w:val="20"/>
          <w:color w:val="auto"/>
        </w:rPr>
        <w:t>a $3.7 million decrease primarily due to an extended maintenance outage at KCP&amp;L's Iatan No. 2 Unit from March 2018 through early July 2018; and</w:t>
      </w:r>
    </w:p>
    <w:p>
      <w:pPr>
        <w:spacing w:after="0" w:line="68" w:lineRule="exact"/>
        <w:rPr>
          <w:rFonts w:ascii="Arial" w:cs="Arial" w:eastAsia="Arial" w:hAnsi="Arial"/>
          <w:sz w:val="20"/>
          <w:szCs w:val="20"/>
          <w:color w:val="auto"/>
        </w:rPr>
      </w:pPr>
    </w:p>
    <w:p>
      <w:pPr>
        <w:ind w:left="1300" w:hanging="320"/>
        <w:spacing w:after="0"/>
        <w:tabs>
          <w:tab w:leader="none" w:pos="1300" w:val="left"/>
        </w:tabs>
        <w:numPr>
          <w:ilvl w:val="1"/>
          <w:numId w:val="38"/>
        </w:numPr>
        <w:rPr>
          <w:rFonts w:ascii="Arial" w:cs="Arial" w:eastAsia="Arial" w:hAnsi="Arial"/>
          <w:sz w:val="20"/>
          <w:szCs w:val="20"/>
          <w:color w:val="auto"/>
        </w:rPr>
      </w:pPr>
      <w:r>
        <w:rPr>
          <w:rFonts w:ascii="Arial" w:cs="Arial" w:eastAsia="Arial" w:hAnsi="Arial"/>
          <w:sz w:val="20"/>
          <w:szCs w:val="20"/>
          <w:color w:val="auto"/>
        </w:rPr>
        <w:t>a $4.4 million decrease due to the retirement of KCP&amp;L's Montrose Station in December 2018; and</w:t>
      </w:r>
    </w:p>
    <w:p>
      <w:pPr>
        <w:spacing w:after="0" w:line="107" w:lineRule="exact"/>
        <w:rPr>
          <w:rFonts w:ascii="Arial" w:cs="Arial" w:eastAsia="Arial" w:hAnsi="Arial"/>
          <w:sz w:val="20"/>
          <w:szCs w:val="20"/>
          <w:color w:val="auto"/>
        </w:rPr>
      </w:pPr>
    </w:p>
    <w:p>
      <w:pPr>
        <w:ind w:left="660" w:right="640" w:hanging="328"/>
        <w:spacing w:after="0" w:line="260"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$2.4 million decrease in injuries and damages expense primarily due to an increase in estimated worker's compensation losses recorded in the second quarter of 2018.</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KCP&amp;L Depreciation and Amortization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KCP&amp;L's depreciation and amortization increased $21.7 million year to date June 30, 2019, compared to the same period in 2018 driven by:</w:t>
      </w:r>
    </w:p>
    <w:p>
      <w:pPr>
        <w:spacing w:after="0" w:line="11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$13.1 million increase primarily due to capital additions; and</w:t>
      </w:r>
    </w:p>
    <w:p>
      <w:pPr>
        <w:spacing w:after="0" w:line="107" w:lineRule="exact"/>
        <w:rPr>
          <w:rFonts w:ascii="Arial" w:cs="Arial" w:eastAsia="Arial" w:hAnsi="Arial"/>
          <w:sz w:val="20"/>
          <w:szCs w:val="20"/>
          <w:color w:val="auto"/>
        </w:rPr>
      </w:pPr>
    </w:p>
    <w:p>
      <w:pPr>
        <w:ind w:left="660" w:right="360" w:hanging="328"/>
        <w:spacing w:after="0" w:line="260" w:lineRule="auto"/>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 $8.6 million increase due to a change in depreciation rates effective in December 2018 as a result of KCP&amp;L's 2018 Kansas rate case.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KCP&amp;L Income Tax Expense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KCP&amp;L's income tax expense decreased $40.6 million year to date June 30, 2019, compared to the same period in 2018 primarily driven by:</w:t>
      </w:r>
    </w:p>
    <w:p>
      <w:pPr>
        <w:spacing w:after="0" w:line="115" w:lineRule="exact"/>
        <w:rPr>
          <w:sz w:val="20"/>
          <w:szCs w:val="20"/>
          <w:color w:val="auto"/>
        </w:rPr>
      </w:pPr>
    </w:p>
    <w:p>
      <w:pPr>
        <w:ind w:left="660" w:right="160" w:hanging="328"/>
        <w:spacing w:after="0" w:line="260"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$51.0 million decrease related to the revaluation of deferred income tax assets and liabilities based on the Evergy composite tax rate as a result of the merger in June 2018; partially offset by</w:t>
      </w:r>
    </w:p>
    <w:p>
      <w:pPr>
        <w:spacing w:after="0" w:line="68" w:lineRule="exact"/>
        <w:rPr>
          <w:rFonts w:ascii="Arial" w:cs="Arial" w:eastAsia="Arial" w:hAnsi="Arial"/>
          <w:sz w:val="20"/>
          <w:szCs w:val="20"/>
          <w:color w:val="auto"/>
        </w:rPr>
      </w:pPr>
    </w:p>
    <w:p>
      <w:pPr>
        <w:ind w:left="660" w:right="160" w:hanging="328"/>
        <w:spacing w:after="0" w:line="260"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$15.5 million increase related to the revaluation of deferred income tax assets and liabilities as a result of the enactment of Missouri state income tax reform in June 2018.</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document as well as in the Evergy Companies' combined 2018 Form 10-K and therefore are not represented here.</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2018 Form 10-K.</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2" w:right="259" w:bottom="1440" w:gutter="0" w:footer="0" w:header="0"/>
        </w:sectPr>
      </w:pPr>
    </w:p>
    <w:bookmarkStart w:id="73" w:name="page74"/>
    <w:bookmarkEnd w:id="73"/>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There has been no change in Evergy’s internal control over financial reporting (as defined in Rules 13a-15(f) and 15d-15(f) of the Exchange Act) that occurred during the quarterly period ended June 30, 2019, that has materially affected, or is reasonably likely to materially affect, its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WESTAR ENERGY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200"/>
        <w:spacing w:after="0" w:line="256" w:lineRule="auto"/>
        <w:rPr>
          <w:sz w:val="20"/>
          <w:szCs w:val="20"/>
          <w:color w:val="auto"/>
        </w:rPr>
      </w:pPr>
      <w:r>
        <w:rPr>
          <w:rFonts w:ascii="Arial" w:cs="Arial" w:eastAsia="Arial" w:hAnsi="Arial"/>
          <w:sz w:val="19"/>
          <w:szCs w:val="19"/>
          <w:color w:val="auto"/>
        </w:rPr>
        <w:t>Westar Energy carried out an evaluation of its disclosure controls and procedures (as defined in Rules 13a-15(e) and 15d-15(e) under the Exchange Act). This evaluation was conducted under the supervision, and with the participation, of Westar Energy's management, including the chief executive officer and chief financial officer, and Westar Energy's disclosure committee. Based upon this evaluation, the chief executive officer and chief financial officer of Westar Energy have concluded as of the end of the period covered by this report that the disclosure controls and procedures of Westar Energy were effective at a reasonable assurance level.</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There has been no change in Westar Energy's internal control over financial reporting (as defined in Rules 13a-15(f) and 15d-15(f) of the Exchange Act) that occurred during the quarterly period ended June 30, 2019, that has materially affected, or is reasonably likely to materially affect, its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KCP&amp;L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KCP&amp;L carried out an evaluation of its disclosure controls and procedures (as defined in Rules 13a-15(e) and 15d-15(e) under the Exchange Act). This evaluation was conducted under the supervision, and with the participation, of KCP&amp;L's management, including the chief executive officer and chief financial officer, and KCP&amp;L's disclosure committee. Based upon this evaluation, the chief executive officer and chief financial officer of KCP&amp;L have concluded as of the end of the period covered by this report that the disclosure controls and procedures of KCP&amp;L were effective at a reasonable assurance level.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There has been no change in KCP&amp;L's internal control over financial reporting (as defined in Rules 13a-15(f) and 15d-15(f) of the Exchange Act) that occurred during the quarterly period ended June 30, 2019, that has materially affected, or is reasonably likely to materially affect, its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2"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The Evergy Companies are parties to various lawsuits and regulatory proceedings in the ordinary course of their respective businesses. For information regarding material lawsuits and proceedings, see Notes 2, 5 and 11 to the consolidated financial statements. Such information is incorporated herein by reference.</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122" w:right="299" w:bottom="1440" w:gutter="0" w:footer="0" w:header="0"/>
        </w:sectPr>
      </w:pPr>
    </w:p>
    <w:bookmarkStart w:id="74" w:name="page75"/>
    <w:bookmarkEnd w:id="74"/>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2018 Form 10-K for each of Evergy, KCP&amp;L and Westar Energy, as well as Quarterly Reports on Form 10-Q and Current Reports on Form 8-K filed by Evergy, KCP&amp;L and Westar Energy. There have been no material changes with regards to those risk factors. This information, as well as the other information included in this report and in the other documents filed with the SEC, should be carefully considered before making an investment in the securities of the Evergy Companies. Risk factors of KCP&amp;L and Westar Energy are also risk factors of Evergy.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following table provides information regarding purchases by Evergy of its equity securities that are registered pursuant to Section 12 of the Exchange Act during the 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218440</wp:posOffset>
            </wp:positionV>
            <wp:extent cx="722947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6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2600" w:type="dxa"/>
            <w:vAlign w:val="bottom"/>
          </w:tcPr>
          <w:p>
            <w:pPr>
              <w:spacing w:after="0"/>
              <w:rPr>
                <w:sz w:val="18"/>
                <w:szCs w:val="18"/>
                <w:color w:val="auto"/>
              </w:rPr>
            </w:pPr>
          </w:p>
        </w:tc>
        <w:tc>
          <w:tcPr>
            <w:tcW w:w="3380" w:type="dxa"/>
            <w:vAlign w:val="bottom"/>
          </w:tcPr>
          <w:p>
            <w:pPr>
              <w:jc w:val="center"/>
              <w:ind w:left="1410"/>
              <w:spacing w:after="0"/>
              <w:rPr>
                <w:sz w:val="20"/>
                <w:szCs w:val="20"/>
                <w:color w:val="auto"/>
              </w:rPr>
            </w:pPr>
            <w:r>
              <w:rPr>
                <w:rFonts w:ascii="Arial" w:cs="Arial" w:eastAsia="Arial" w:hAnsi="Arial"/>
                <w:sz w:val="18"/>
                <w:szCs w:val="18"/>
                <w:b w:val="1"/>
                <w:bCs w:val="1"/>
                <w:color w:val="auto"/>
                <w:w w:val="92"/>
              </w:rPr>
              <w:t>Total Number of</w:t>
            </w:r>
          </w:p>
        </w:tc>
        <w:tc>
          <w:tcPr>
            <w:tcW w:w="1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2600" w:type="dxa"/>
            <w:vAlign w:val="bottom"/>
          </w:tcPr>
          <w:p>
            <w:pPr>
              <w:spacing w:after="0"/>
              <w:rPr>
                <w:sz w:val="18"/>
                <w:szCs w:val="18"/>
                <w:color w:val="auto"/>
              </w:rPr>
            </w:pPr>
          </w:p>
        </w:tc>
        <w:tc>
          <w:tcPr>
            <w:tcW w:w="3380" w:type="dxa"/>
            <w:vAlign w:val="bottom"/>
          </w:tcPr>
          <w:p>
            <w:pPr>
              <w:jc w:val="center"/>
              <w:ind w:left="1410"/>
              <w:spacing w:after="0"/>
              <w:rPr>
                <w:sz w:val="20"/>
                <w:szCs w:val="20"/>
                <w:color w:val="auto"/>
              </w:rPr>
            </w:pPr>
            <w:r>
              <w:rPr>
                <w:rFonts w:ascii="Arial" w:cs="Arial" w:eastAsia="Arial" w:hAnsi="Arial"/>
                <w:sz w:val="18"/>
                <w:szCs w:val="18"/>
                <w:b w:val="1"/>
                <w:bCs w:val="1"/>
                <w:color w:val="auto"/>
                <w:w w:val="90"/>
              </w:rPr>
              <w:t>Shares (or Units)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61"/>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Month</w:t>
            </w:r>
          </w:p>
        </w:tc>
        <w:tc>
          <w:tcPr>
            <w:tcW w:w="3380" w:type="dxa"/>
            <w:vAlign w:val="bottom"/>
            <w:tcBorders>
              <w:bottom w:val="single" w:sz="8" w:color="auto"/>
            </w:tcBorders>
          </w:tcPr>
          <w:p>
            <w:pPr>
              <w:jc w:val="center"/>
              <w:ind w:left="1410"/>
              <w:spacing w:after="0" w:line="262"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5"/>
                <w:szCs w:val="25"/>
                <w:b w:val="1"/>
                <w:bCs w:val="1"/>
                <w:color w:val="auto"/>
                <w:w w:val="85"/>
                <w:vertAlign w:val="superscript"/>
              </w:rPr>
              <w:t>(a)</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per Share (or Unit)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84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(a)</w:t>
            </w:r>
          </w:p>
        </w:tc>
      </w:tr>
      <w:tr>
        <w:trPr>
          <w:trHeight w:val="24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1- 30</w:t>
            </w:r>
          </w:p>
        </w:tc>
        <w:tc>
          <w:tcPr>
            <w:tcW w:w="3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669,231</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(b)</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665,393</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32,418,184</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May 1- 31</w:t>
            </w:r>
          </w:p>
        </w:tc>
        <w:tc>
          <w:tcPr>
            <w:tcW w:w="3380" w:type="dxa"/>
            <w:vAlign w:val="bottom"/>
          </w:tcPr>
          <w:p>
            <w:pPr>
              <w:jc w:val="right"/>
              <w:ind w:right="50"/>
              <w:spacing w:after="0"/>
              <w:rPr>
                <w:sz w:val="20"/>
                <w:szCs w:val="20"/>
                <w:color w:val="auto"/>
              </w:rPr>
            </w:pPr>
            <w:r>
              <w:rPr>
                <w:rFonts w:ascii="Arial" w:cs="Arial" w:eastAsia="Arial" w:hAnsi="Arial"/>
                <w:sz w:val="18"/>
                <w:szCs w:val="18"/>
                <w:color w:val="auto"/>
              </w:rPr>
              <w:t>216,788</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$57.23</w:t>
            </w:r>
          </w:p>
        </w:tc>
        <w:tc>
          <w:tcPr>
            <w:tcW w:w="1800" w:type="dxa"/>
            <w:vAlign w:val="bottom"/>
          </w:tcPr>
          <w:p>
            <w:pPr>
              <w:jc w:val="right"/>
              <w:spacing w:after="0"/>
              <w:rPr>
                <w:sz w:val="20"/>
                <w:szCs w:val="20"/>
                <w:color w:val="auto"/>
              </w:rPr>
            </w:pPr>
            <w:r>
              <w:rPr>
                <w:rFonts w:ascii="Arial" w:cs="Arial" w:eastAsia="Arial" w:hAnsi="Arial"/>
                <w:sz w:val="18"/>
                <w:szCs w:val="18"/>
                <w:color w:val="auto"/>
              </w:rPr>
              <w:t>216,788</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32,201,396</w:t>
            </w:r>
          </w:p>
        </w:tc>
      </w:tr>
      <w:tr>
        <w:trPr>
          <w:trHeight w:val="27"/>
        </w:trPr>
        <w:tc>
          <w:tcPr>
            <w:tcW w:w="2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1- 30</w:t>
            </w:r>
          </w:p>
        </w:tc>
        <w:tc>
          <w:tcPr>
            <w:tcW w:w="3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8,532,739</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2"/>
              </w:rPr>
              <w:t>(c)</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8,532,739</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23,668,657</w:t>
            </w:r>
          </w:p>
        </w:tc>
      </w:tr>
      <w:tr>
        <w:trPr>
          <w:trHeight w:val="237"/>
        </w:trPr>
        <w:tc>
          <w:tcPr>
            <w:tcW w:w="26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3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9,418,758</w:t>
            </w:r>
          </w:p>
        </w:tc>
        <w:tc>
          <w:tcPr>
            <w:tcW w:w="17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9,414,920</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23,668,657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 w:lineRule="exact"/>
        <w:rPr>
          <w:sz w:val="20"/>
          <w:szCs w:val="20"/>
          <w:color w:val="auto"/>
        </w:rPr>
      </w:pPr>
    </w:p>
    <w:p>
      <w:pPr>
        <w:jc w:val="both"/>
        <w:ind w:left="180" w:right="140" w:hanging="172"/>
        <w:spacing w:after="0" w:line="256" w:lineRule="auto"/>
        <w:tabs>
          <w:tab w:leader="none" w:pos="189"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In July 2018, the Evergy Board authorized the repurchase of up to 60 million shares of Evergy's common stock with no expiration date. Evergy expects to repurchase the 60 million shares by mid-2020. See Note 13 to the consolidated financial statements for additional information on Evergy's common stock repurchase program.</w:t>
      </w:r>
    </w:p>
    <w:p>
      <w:pPr>
        <w:ind w:left="180" w:right="340" w:hanging="172"/>
        <w:spacing w:after="0" w:line="225" w:lineRule="auto"/>
        <w:tabs>
          <w:tab w:leader="none" w:pos="196" w:val="left"/>
        </w:tabs>
        <w:numPr>
          <w:ilvl w:val="0"/>
          <w:numId w:val="41"/>
        </w:numPr>
        <w:rPr>
          <w:rFonts w:ascii="Arial" w:cs="Arial" w:eastAsia="Arial" w:hAnsi="Arial"/>
          <w:sz w:val="23"/>
          <w:szCs w:val="23"/>
          <w:color w:val="auto"/>
          <w:vertAlign w:val="superscript"/>
        </w:rPr>
      </w:pPr>
      <w:r>
        <w:rPr>
          <w:rFonts w:ascii="Arial" w:cs="Arial" w:eastAsia="Arial" w:hAnsi="Arial"/>
          <w:sz w:val="17"/>
          <w:szCs w:val="17"/>
          <w:color w:val="auto"/>
        </w:rPr>
        <w:t>Evergy repurchased 665,393 shares of common stock in the open market at an average price of $57.08. Evergy purchased 3,838 shares for withholding taxes related to performance share vesting at an average price of $55.30.</w:t>
      </w:r>
    </w:p>
    <w:p>
      <w:pPr>
        <w:ind w:left="180" w:right="60" w:hanging="172"/>
        <w:spacing w:after="0" w:line="232" w:lineRule="auto"/>
        <w:tabs>
          <w:tab w:leader="none" w:pos="203"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In June 2019, the March 2019 ASR agreement was settled which resulted in the delivery of 1,469,419 additional shares of Evergy common stock at no additional cost. In total, 7,792,975 shares were delivered under this ASR at an average price paid per share of $57.74. In June 2019, Evergy entered into a new ASR agreement to purchase $500.0 million of Evergy common stock and through which 7,063,320 shares were delivered in June 2019. The final number of shares of Evergy common stock that will ultimately be delivered to Evergy, and therefore the average price paid per share, will be determined at the final settlement of the ASR by September 2019.</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2"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EE"/>
            </w:tcBorders>
            <w:gridSpan w:val="3"/>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Table of Contents</w:t>
              </w:r>
            </w:hyperlink>
          </w:p>
        </w:tc>
        <w:tc>
          <w:tcPr>
            <w:tcW w:w="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727"/>
        </w:trPr>
        <w:tc>
          <w:tcPr>
            <w:tcW w:w="2000" w:type="dxa"/>
            <w:vAlign w:val="bottom"/>
            <w:gridSpan w:val="4"/>
          </w:tcPr>
          <w:p>
            <w:pPr>
              <w:spacing w:after="0"/>
              <w:rPr>
                <w:sz w:val="20"/>
                <w:szCs w:val="20"/>
                <w:color w:val="auto"/>
              </w:rPr>
            </w:pPr>
            <w:r>
              <w:rPr>
                <w:rFonts w:ascii="Arial" w:cs="Arial" w:eastAsia="Arial" w:hAnsi="Arial"/>
                <w:sz w:val="20"/>
                <w:szCs w:val="20"/>
                <w:b w:val="1"/>
                <w:bCs w:val="1"/>
                <w:color w:val="auto"/>
              </w:rPr>
              <w:t>ITEM 6. EXHIBITS</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1"/>
        </w:trPr>
        <w:tc>
          <w:tcPr>
            <w:tcW w:w="34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20"/>
                <w:szCs w:val="20"/>
                <w:color w:val="auto"/>
                <w:w w:val="96"/>
              </w:rPr>
              <w:t>Exhibit</w:t>
            </w: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6"/>
        </w:trPr>
        <w:tc>
          <w:tcPr>
            <w:tcW w:w="340" w:type="dxa"/>
            <w:vAlign w:val="bottom"/>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20"/>
                <w:szCs w:val="20"/>
                <w:color w:val="auto"/>
                <w:w w:val="92"/>
              </w:rPr>
              <w:t>Number</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line="206" w:lineRule="exact"/>
              <w:rPr>
                <w:sz w:val="20"/>
                <w:szCs w:val="20"/>
                <w:color w:val="auto"/>
              </w:rPr>
            </w:pPr>
            <w:r>
              <w:rPr>
                <w:rFonts w:ascii="Arial" w:cs="Arial" w:eastAsia="Arial" w:hAnsi="Arial"/>
                <w:sz w:val="20"/>
                <w:szCs w:val="20"/>
                <w:color w:val="auto"/>
                <w:w w:val="91"/>
              </w:rPr>
              <w:t>Description of Document</w:t>
            </w:r>
          </w:p>
        </w:tc>
        <w:tc>
          <w:tcPr>
            <w:tcW w:w="1880" w:type="dxa"/>
            <w:vAlign w:val="bottom"/>
            <w:gridSpan w:val="3"/>
          </w:tcPr>
          <w:p>
            <w:pPr>
              <w:spacing w:after="0"/>
              <w:rPr>
                <w:sz w:val="17"/>
                <w:szCs w:val="17"/>
                <w:color w:val="auto"/>
              </w:rPr>
            </w:pPr>
          </w:p>
        </w:tc>
        <w:tc>
          <w:tcPr>
            <w:tcW w:w="2360" w:type="dxa"/>
            <w:vAlign w:val="bottom"/>
            <w:gridSpan w:val="2"/>
          </w:tcPr>
          <w:p>
            <w:pPr>
              <w:ind w:left="1540"/>
              <w:spacing w:after="0" w:line="206" w:lineRule="exact"/>
              <w:rPr>
                <w:sz w:val="20"/>
                <w:szCs w:val="20"/>
                <w:color w:val="auto"/>
              </w:rPr>
            </w:pPr>
            <w:r>
              <w:rPr>
                <w:rFonts w:ascii="Arial" w:cs="Arial" w:eastAsia="Arial" w:hAnsi="Arial"/>
                <w:sz w:val="20"/>
                <w:szCs w:val="20"/>
                <w:color w:val="auto"/>
                <w:w w:val="87"/>
              </w:rPr>
              <w:t>Registrant</w:t>
            </w:r>
          </w:p>
        </w:tc>
      </w:tr>
      <w:tr>
        <w:trPr>
          <w:trHeight w:val="20"/>
        </w:trPr>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682"/>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31.1</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bottom w:val="single" w:sz="8" w:color="0000FF"/>
            </w:tcBorders>
            <w:gridSpan w:val="5"/>
          </w:tcPr>
          <w:p>
            <w:pPr>
              <w:spacing w:after="0"/>
              <w:rPr>
                <w:rFonts w:ascii="Arial" w:cs="Arial" w:eastAsia="Arial" w:hAnsi="Arial"/>
                <w:sz w:val="20"/>
                <w:szCs w:val="20"/>
                <w:color w:val="0000FF"/>
                <w:w w:val="90"/>
              </w:rPr>
            </w:pPr>
            <w:hyperlink w:anchor="page78">
              <w:r>
                <w:rPr>
                  <w:rFonts w:ascii="Arial" w:cs="Arial" w:eastAsia="Arial" w:hAnsi="Arial"/>
                  <w:sz w:val="20"/>
                  <w:szCs w:val="20"/>
                  <w:color w:val="0000FF"/>
                  <w:w w:val="90"/>
                </w:rPr>
                <w:t>Rule 13a-14(a)/15d-14(a) Certification of Terry Bassham.</w:t>
              </w:r>
            </w:hyperlink>
          </w:p>
        </w:tc>
        <w:tc>
          <w:tcPr>
            <w:tcW w:w="1700" w:type="dxa"/>
            <w:vAlign w:val="bottom"/>
            <w:gridSpan w:val="2"/>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Evergy</w:t>
            </w:r>
          </w:p>
        </w:tc>
      </w:tr>
      <w:tr>
        <w:trPr>
          <w:trHeight w:val="399"/>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31.2</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tcBorders>
              <w:bottom w:val="single" w:sz="8" w:color="0000FF"/>
            </w:tcBorders>
            <w:gridSpan w:val="6"/>
          </w:tcPr>
          <w:p>
            <w:pPr>
              <w:spacing w:after="0"/>
              <w:rPr>
                <w:rFonts w:ascii="Arial" w:cs="Arial" w:eastAsia="Arial" w:hAnsi="Arial"/>
                <w:sz w:val="20"/>
                <w:szCs w:val="20"/>
                <w:color w:val="0000FF"/>
                <w:w w:val="91"/>
              </w:rPr>
            </w:pPr>
            <w:hyperlink w:anchor="page79">
              <w:r>
                <w:rPr>
                  <w:rFonts w:ascii="Arial" w:cs="Arial" w:eastAsia="Arial" w:hAnsi="Arial"/>
                  <w:sz w:val="20"/>
                  <w:szCs w:val="20"/>
                  <w:color w:val="0000FF"/>
                  <w:w w:val="91"/>
                </w:rPr>
                <w:t>Rule 13a-14(a)/15d-14(a) Certification of Anthony D. Somma.</w:t>
              </w:r>
            </w:hyperlink>
          </w:p>
        </w:tc>
        <w:tc>
          <w:tcPr>
            <w:tcW w:w="1300" w:type="dxa"/>
            <w:vAlign w:val="bottom"/>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Evergy</w:t>
            </w:r>
          </w:p>
        </w:tc>
      </w:tr>
      <w:tr>
        <w:trPr>
          <w:trHeight w:val="399"/>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31.3</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bottom w:val="single" w:sz="8" w:color="0000FF"/>
            </w:tcBorders>
            <w:gridSpan w:val="5"/>
          </w:tcPr>
          <w:p>
            <w:pPr>
              <w:spacing w:after="0"/>
              <w:rPr>
                <w:rFonts w:ascii="Arial" w:cs="Arial" w:eastAsia="Arial" w:hAnsi="Arial"/>
                <w:sz w:val="20"/>
                <w:szCs w:val="20"/>
                <w:color w:val="0000FF"/>
                <w:w w:val="90"/>
              </w:rPr>
            </w:pPr>
            <w:hyperlink w:anchor="page80">
              <w:r>
                <w:rPr>
                  <w:rFonts w:ascii="Arial" w:cs="Arial" w:eastAsia="Arial" w:hAnsi="Arial"/>
                  <w:sz w:val="20"/>
                  <w:szCs w:val="20"/>
                  <w:color w:val="0000FF"/>
                  <w:w w:val="90"/>
                </w:rPr>
                <w:t>Rule 13a-14(a)/15d-14(a) Certification of Terry Bassham.</w:t>
              </w:r>
            </w:hyperlink>
          </w:p>
        </w:tc>
        <w:tc>
          <w:tcPr>
            <w:tcW w:w="1700" w:type="dxa"/>
            <w:vAlign w:val="bottom"/>
            <w:gridSpan w:val="2"/>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KCP&amp;L</w:t>
            </w:r>
          </w:p>
        </w:tc>
      </w:tr>
      <w:tr>
        <w:trPr>
          <w:trHeight w:val="399"/>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31.4</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tcBorders>
              <w:bottom w:val="single" w:sz="8" w:color="0000FF"/>
            </w:tcBorders>
            <w:gridSpan w:val="6"/>
          </w:tcPr>
          <w:p>
            <w:pPr>
              <w:spacing w:after="0"/>
              <w:rPr>
                <w:rFonts w:ascii="Arial" w:cs="Arial" w:eastAsia="Arial" w:hAnsi="Arial"/>
                <w:sz w:val="20"/>
                <w:szCs w:val="20"/>
                <w:color w:val="0000FF"/>
                <w:w w:val="91"/>
              </w:rPr>
            </w:pPr>
            <w:hyperlink w:anchor="page81">
              <w:r>
                <w:rPr>
                  <w:rFonts w:ascii="Arial" w:cs="Arial" w:eastAsia="Arial" w:hAnsi="Arial"/>
                  <w:sz w:val="20"/>
                  <w:szCs w:val="20"/>
                  <w:color w:val="0000FF"/>
                  <w:w w:val="91"/>
                </w:rPr>
                <w:t>Rule 13a-14(a)/15d-14(a) Certification of Anthony D. Somma.</w:t>
              </w:r>
            </w:hyperlink>
          </w:p>
        </w:tc>
        <w:tc>
          <w:tcPr>
            <w:tcW w:w="1300" w:type="dxa"/>
            <w:vAlign w:val="bottom"/>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KCP&amp;L</w:t>
            </w:r>
          </w:p>
        </w:tc>
      </w:tr>
      <w:tr>
        <w:trPr>
          <w:trHeight w:val="399"/>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31.5</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bottom w:val="single" w:sz="8" w:color="0000FF"/>
            </w:tcBorders>
            <w:gridSpan w:val="5"/>
          </w:tcPr>
          <w:p>
            <w:pPr>
              <w:spacing w:after="0"/>
              <w:rPr>
                <w:rFonts w:ascii="Arial" w:cs="Arial" w:eastAsia="Arial" w:hAnsi="Arial"/>
                <w:sz w:val="20"/>
                <w:szCs w:val="20"/>
                <w:color w:val="0000FF"/>
                <w:w w:val="90"/>
              </w:rPr>
            </w:pPr>
            <w:hyperlink w:anchor="page82">
              <w:r>
                <w:rPr>
                  <w:rFonts w:ascii="Arial" w:cs="Arial" w:eastAsia="Arial" w:hAnsi="Arial"/>
                  <w:sz w:val="20"/>
                  <w:szCs w:val="20"/>
                  <w:color w:val="0000FF"/>
                  <w:w w:val="90"/>
                </w:rPr>
                <w:t>Rule 13a-14(a)/15d-14(a) Certification of Terry Bassham.</w:t>
              </w:r>
            </w:hyperlink>
          </w:p>
        </w:tc>
        <w:tc>
          <w:tcPr>
            <w:tcW w:w="1700" w:type="dxa"/>
            <w:vAlign w:val="bottom"/>
            <w:gridSpan w:val="2"/>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Westar Energy</w:t>
            </w:r>
          </w:p>
        </w:tc>
      </w:tr>
      <w:tr>
        <w:trPr>
          <w:trHeight w:val="399"/>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31.6</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tcBorders>
              <w:bottom w:val="single" w:sz="8" w:color="0000FF"/>
            </w:tcBorders>
            <w:gridSpan w:val="6"/>
          </w:tcPr>
          <w:p>
            <w:pPr>
              <w:spacing w:after="0"/>
              <w:rPr>
                <w:rFonts w:ascii="Arial" w:cs="Arial" w:eastAsia="Arial" w:hAnsi="Arial"/>
                <w:sz w:val="20"/>
                <w:szCs w:val="20"/>
                <w:color w:val="0000FF"/>
                <w:w w:val="91"/>
              </w:rPr>
            </w:pPr>
            <w:hyperlink w:anchor="page83">
              <w:r>
                <w:rPr>
                  <w:rFonts w:ascii="Arial" w:cs="Arial" w:eastAsia="Arial" w:hAnsi="Arial"/>
                  <w:sz w:val="20"/>
                  <w:szCs w:val="20"/>
                  <w:color w:val="0000FF"/>
                  <w:w w:val="91"/>
                </w:rPr>
                <w:t>Rule 13a-14(a)/15d-14(a) Certification of Anthony D. Somma.</w:t>
              </w:r>
            </w:hyperlink>
          </w:p>
        </w:tc>
        <w:tc>
          <w:tcPr>
            <w:tcW w:w="1300" w:type="dxa"/>
            <w:vAlign w:val="bottom"/>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Westar Energy</w:t>
            </w:r>
          </w:p>
        </w:tc>
      </w:tr>
      <w:tr>
        <w:trPr>
          <w:trHeight w:val="399"/>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32.1</w:t>
            </w: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gridSpan w:val="2"/>
          </w:tcPr>
          <w:p>
            <w:pPr>
              <w:spacing w:after="0"/>
              <w:rPr>
                <w:rFonts w:ascii="Arial" w:cs="Arial" w:eastAsia="Arial" w:hAnsi="Arial"/>
                <w:sz w:val="20"/>
                <w:szCs w:val="20"/>
                <w:color w:val="0000FF"/>
                <w:w w:val="90"/>
              </w:rPr>
            </w:pPr>
            <w:hyperlink w:anchor="page84">
              <w:r>
                <w:rPr>
                  <w:rFonts w:ascii="Arial" w:cs="Arial" w:eastAsia="Arial" w:hAnsi="Arial"/>
                  <w:sz w:val="20"/>
                  <w:szCs w:val="20"/>
                  <w:color w:val="0000FF"/>
                  <w:w w:val="90"/>
                </w:rPr>
                <w:t>Section 1350 Certifications.</w:t>
              </w:r>
            </w:hyperlink>
          </w:p>
        </w:tc>
        <w:tc>
          <w:tcPr>
            <w:tcW w:w="4060" w:type="dxa"/>
            <w:vAlign w:val="bottom"/>
            <w:gridSpan w:val="5"/>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Evergy</w:t>
            </w:r>
          </w:p>
        </w:tc>
      </w:tr>
      <w:tr>
        <w:trPr>
          <w:trHeight w:val="399"/>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32.2</w:t>
            </w: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gridSpan w:val="2"/>
          </w:tcPr>
          <w:p>
            <w:pPr>
              <w:spacing w:after="0"/>
              <w:rPr>
                <w:rFonts w:ascii="Arial" w:cs="Arial" w:eastAsia="Arial" w:hAnsi="Arial"/>
                <w:sz w:val="20"/>
                <w:szCs w:val="20"/>
                <w:color w:val="0000FF"/>
                <w:w w:val="90"/>
              </w:rPr>
            </w:pPr>
            <w:hyperlink w:anchor="page85">
              <w:r>
                <w:rPr>
                  <w:rFonts w:ascii="Arial" w:cs="Arial" w:eastAsia="Arial" w:hAnsi="Arial"/>
                  <w:sz w:val="20"/>
                  <w:szCs w:val="20"/>
                  <w:color w:val="0000FF"/>
                  <w:w w:val="90"/>
                </w:rPr>
                <w:t>Section 1350 Certifications.</w:t>
              </w:r>
            </w:hyperlink>
          </w:p>
        </w:tc>
        <w:tc>
          <w:tcPr>
            <w:tcW w:w="4060" w:type="dxa"/>
            <w:vAlign w:val="bottom"/>
            <w:gridSpan w:val="5"/>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KCP&amp;L</w:t>
            </w:r>
          </w:p>
        </w:tc>
      </w:tr>
      <w:tr>
        <w:trPr>
          <w:trHeight w:val="399"/>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32.3</w:t>
            </w: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20"/>
                <w:szCs w:val="20"/>
                <w:color w:val="auto"/>
              </w:rPr>
              <w:t>*</w:t>
            </w:r>
          </w:p>
        </w:tc>
        <w:tc>
          <w:tcPr>
            <w:tcW w:w="6280" w:type="dxa"/>
            <w:vAlign w:val="bottom"/>
            <w:gridSpan w:val="7"/>
          </w:tcPr>
          <w:p>
            <w:pPr>
              <w:spacing w:after="0"/>
              <w:rPr>
                <w:rFonts w:ascii="Arial" w:cs="Arial" w:eastAsia="Arial" w:hAnsi="Arial"/>
                <w:sz w:val="20"/>
                <w:szCs w:val="20"/>
                <w:color w:val="0000FF"/>
              </w:rPr>
            </w:pPr>
            <w:hyperlink w:anchor="page86">
              <w:r>
                <w:rPr>
                  <w:rFonts w:ascii="Arial" w:cs="Arial" w:eastAsia="Arial" w:hAnsi="Arial"/>
                  <w:sz w:val="20"/>
                  <w:szCs w:val="20"/>
                  <w:color w:val="0000FF"/>
                </w:rPr>
                <w:t>Section 1350 Certifications.</w:t>
              </w:r>
            </w:hyperlink>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Westar Energy</w:t>
            </w:r>
          </w:p>
        </w:tc>
      </w:tr>
      <w:tr>
        <w:trPr>
          <w:trHeight w:val="443"/>
        </w:trPr>
        <w:tc>
          <w:tcPr>
            <w:tcW w:w="1420" w:type="dxa"/>
            <w:vAlign w:val="bottom"/>
            <w:gridSpan w:val="3"/>
          </w:tcPr>
          <w:p>
            <w:pPr>
              <w:ind w:left="40"/>
              <w:spacing w:after="0"/>
              <w:rPr>
                <w:sz w:val="20"/>
                <w:szCs w:val="20"/>
                <w:color w:val="auto"/>
              </w:rPr>
            </w:pPr>
            <w:r>
              <w:rPr>
                <w:rFonts w:ascii="Arial" w:cs="Arial" w:eastAsia="Arial" w:hAnsi="Arial"/>
                <w:sz w:val="20"/>
                <w:szCs w:val="20"/>
                <w:color w:val="auto"/>
              </w:rPr>
              <w:t>101.INS</w:t>
            </w:r>
          </w:p>
        </w:tc>
        <w:tc>
          <w:tcPr>
            <w:tcW w:w="580" w:type="dxa"/>
            <w:vAlign w:val="bottom"/>
          </w:tcPr>
          <w:p>
            <w:pPr>
              <w:jc w:val="center"/>
              <w:spacing w:after="0"/>
              <w:rPr>
                <w:sz w:val="20"/>
                <w:szCs w:val="20"/>
                <w:color w:val="auto"/>
              </w:rPr>
            </w:pPr>
            <w:r>
              <w:rPr>
                <w:rFonts w:ascii="Arial" w:cs="Arial" w:eastAsia="Arial" w:hAnsi="Arial"/>
                <w:sz w:val="20"/>
                <w:szCs w:val="20"/>
                <w:color w:val="auto"/>
              </w:rPr>
              <w:t>**</w:t>
            </w:r>
          </w:p>
        </w:tc>
        <w:tc>
          <w:tcPr>
            <w:tcW w:w="2200" w:type="dxa"/>
            <w:vAlign w:val="bottom"/>
            <w:tcBorders>
              <w:top w:val="single" w:sz="8" w:color="0000FF"/>
            </w:tcBorders>
          </w:tcPr>
          <w:p>
            <w:pPr>
              <w:spacing w:after="0"/>
              <w:rPr>
                <w:sz w:val="20"/>
                <w:szCs w:val="20"/>
                <w:color w:val="auto"/>
              </w:rPr>
            </w:pPr>
            <w:r>
              <w:rPr>
                <w:rFonts w:ascii="Arial" w:cs="Arial" w:eastAsia="Arial" w:hAnsi="Arial"/>
                <w:sz w:val="20"/>
                <w:szCs w:val="20"/>
                <w:color w:val="auto"/>
                <w:w w:val="92"/>
              </w:rPr>
              <w:t>XBRL Instance Document.</w:t>
            </w:r>
          </w:p>
        </w:tc>
        <w:tc>
          <w:tcPr>
            <w:tcW w:w="4080" w:type="dxa"/>
            <w:vAlign w:val="bottom"/>
            <w:gridSpan w:val="6"/>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n/a</w:t>
            </w:r>
          </w:p>
        </w:tc>
      </w:tr>
      <w:tr>
        <w:trPr>
          <w:trHeight w:val="398"/>
        </w:trPr>
        <w:tc>
          <w:tcPr>
            <w:tcW w:w="1420" w:type="dxa"/>
            <w:vAlign w:val="bottom"/>
            <w:gridSpan w:val="3"/>
          </w:tcPr>
          <w:p>
            <w:pPr>
              <w:ind w:left="40"/>
              <w:spacing w:after="0"/>
              <w:rPr>
                <w:sz w:val="20"/>
                <w:szCs w:val="20"/>
                <w:color w:val="auto"/>
              </w:rPr>
            </w:pPr>
            <w:r>
              <w:rPr>
                <w:rFonts w:ascii="Arial" w:cs="Arial" w:eastAsia="Arial" w:hAnsi="Arial"/>
                <w:sz w:val="20"/>
                <w:szCs w:val="20"/>
                <w:color w:val="auto"/>
              </w:rPr>
              <w:t>101.SCH</w:t>
            </w:r>
          </w:p>
        </w:tc>
        <w:tc>
          <w:tcPr>
            <w:tcW w:w="580" w:type="dxa"/>
            <w:vAlign w:val="bottom"/>
          </w:tcPr>
          <w:p>
            <w:pPr>
              <w:spacing w:after="0"/>
              <w:rPr>
                <w:sz w:val="24"/>
                <w:szCs w:val="24"/>
                <w:color w:val="auto"/>
              </w:rPr>
            </w:pPr>
          </w:p>
        </w:tc>
        <w:tc>
          <w:tcPr>
            <w:tcW w:w="6280" w:type="dxa"/>
            <w:vAlign w:val="bottom"/>
            <w:gridSpan w:val="7"/>
          </w:tcPr>
          <w:p>
            <w:pPr>
              <w:spacing w:after="0"/>
              <w:rPr>
                <w:sz w:val="20"/>
                <w:szCs w:val="20"/>
                <w:color w:val="auto"/>
              </w:rPr>
            </w:pPr>
            <w:r>
              <w:rPr>
                <w:rFonts w:ascii="Arial" w:cs="Arial" w:eastAsia="Arial" w:hAnsi="Arial"/>
                <w:sz w:val="20"/>
                <w:szCs w:val="20"/>
                <w:color w:val="auto"/>
              </w:rPr>
              <w:t>Inline XBRL Taxonomy Extension Schema Document.</w:t>
            </w: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Evergy</w:t>
            </w:r>
          </w:p>
        </w:tc>
      </w:tr>
      <w:tr>
        <w:trPr>
          <w:trHeight w:val="230"/>
        </w:trPr>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Westar Energy</w:t>
            </w:r>
          </w:p>
        </w:tc>
      </w:tr>
      <w:tr>
        <w:trPr>
          <w:trHeight w:val="250"/>
        </w:trPr>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KCP&amp;L</w:t>
            </w:r>
          </w:p>
        </w:tc>
      </w:tr>
      <w:tr>
        <w:trPr>
          <w:trHeight w:val="398"/>
        </w:trPr>
        <w:tc>
          <w:tcPr>
            <w:tcW w:w="1420" w:type="dxa"/>
            <w:vAlign w:val="bottom"/>
            <w:gridSpan w:val="3"/>
          </w:tcPr>
          <w:p>
            <w:pPr>
              <w:ind w:left="40"/>
              <w:spacing w:after="0"/>
              <w:rPr>
                <w:sz w:val="20"/>
                <w:szCs w:val="20"/>
                <w:color w:val="auto"/>
              </w:rPr>
            </w:pPr>
            <w:r>
              <w:rPr>
                <w:rFonts w:ascii="Arial" w:cs="Arial" w:eastAsia="Arial" w:hAnsi="Arial"/>
                <w:sz w:val="20"/>
                <w:szCs w:val="20"/>
                <w:color w:val="auto"/>
              </w:rPr>
              <w:t>101.CAL</w:t>
            </w:r>
          </w:p>
        </w:tc>
        <w:tc>
          <w:tcPr>
            <w:tcW w:w="580" w:type="dxa"/>
            <w:vAlign w:val="bottom"/>
          </w:tcPr>
          <w:p>
            <w:pPr>
              <w:spacing w:after="0"/>
              <w:rPr>
                <w:sz w:val="24"/>
                <w:szCs w:val="24"/>
                <w:color w:val="auto"/>
              </w:rPr>
            </w:pPr>
          </w:p>
        </w:tc>
        <w:tc>
          <w:tcPr>
            <w:tcW w:w="6280" w:type="dxa"/>
            <w:vAlign w:val="bottom"/>
            <w:gridSpan w:val="7"/>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Evergy</w:t>
            </w:r>
          </w:p>
        </w:tc>
      </w:tr>
      <w:tr>
        <w:trPr>
          <w:trHeight w:val="230"/>
        </w:trPr>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Westar Energy</w:t>
            </w:r>
          </w:p>
        </w:tc>
      </w:tr>
      <w:tr>
        <w:trPr>
          <w:trHeight w:val="250"/>
        </w:trPr>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KCP&amp;L</w:t>
            </w:r>
          </w:p>
        </w:tc>
      </w:tr>
      <w:tr>
        <w:trPr>
          <w:trHeight w:val="398"/>
        </w:trPr>
        <w:tc>
          <w:tcPr>
            <w:tcW w:w="1420" w:type="dxa"/>
            <w:vAlign w:val="bottom"/>
            <w:gridSpan w:val="3"/>
          </w:tcPr>
          <w:p>
            <w:pPr>
              <w:ind w:left="40"/>
              <w:spacing w:after="0"/>
              <w:rPr>
                <w:sz w:val="20"/>
                <w:szCs w:val="20"/>
                <w:color w:val="auto"/>
              </w:rPr>
            </w:pPr>
            <w:r>
              <w:rPr>
                <w:rFonts w:ascii="Arial" w:cs="Arial" w:eastAsia="Arial" w:hAnsi="Arial"/>
                <w:sz w:val="20"/>
                <w:szCs w:val="20"/>
                <w:color w:val="auto"/>
              </w:rPr>
              <w:t>101.DEF</w:t>
            </w:r>
          </w:p>
        </w:tc>
        <w:tc>
          <w:tcPr>
            <w:tcW w:w="580" w:type="dxa"/>
            <w:vAlign w:val="bottom"/>
          </w:tcPr>
          <w:p>
            <w:pPr>
              <w:spacing w:after="0"/>
              <w:rPr>
                <w:sz w:val="24"/>
                <w:szCs w:val="24"/>
                <w:color w:val="auto"/>
              </w:rPr>
            </w:pPr>
          </w:p>
        </w:tc>
        <w:tc>
          <w:tcPr>
            <w:tcW w:w="6280" w:type="dxa"/>
            <w:vAlign w:val="bottom"/>
            <w:gridSpan w:val="7"/>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Evergy</w:t>
            </w:r>
          </w:p>
        </w:tc>
      </w:tr>
      <w:tr>
        <w:trPr>
          <w:trHeight w:val="230"/>
        </w:trPr>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Westar Energy</w:t>
            </w:r>
          </w:p>
        </w:tc>
      </w:tr>
      <w:tr>
        <w:trPr>
          <w:trHeight w:val="250"/>
        </w:trPr>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KCP&amp;L</w:t>
            </w:r>
          </w:p>
        </w:tc>
      </w:tr>
      <w:tr>
        <w:trPr>
          <w:trHeight w:val="398"/>
        </w:trPr>
        <w:tc>
          <w:tcPr>
            <w:tcW w:w="1420" w:type="dxa"/>
            <w:vAlign w:val="bottom"/>
            <w:gridSpan w:val="3"/>
          </w:tcPr>
          <w:p>
            <w:pPr>
              <w:ind w:left="40"/>
              <w:spacing w:after="0"/>
              <w:rPr>
                <w:sz w:val="20"/>
                <w:szCs w:val="20"/>
                <w:color w:val="auto"/>
              </w:rPr>
            </w:pPr>
            <w:r>
              <w:rPr>
                <w:rFonts w:ascii="Arial" w:cs="Arial" w:eastAsia="Arial" w:hAnsi="Arial"/>
                <w:sz w:val="20"/>
                <w:szCs w:val="20"/>
                <w:color w:val="auto"/>
              </w:rPr>
              <w:t>101.LAB</w:t>
            </w:r>
          </w:p>
        </w:tc>
        <w:tc>
          <w:tcPr>
            <w:tcW w:w="580" w:type="dxa"/>
            <w:vAlign w:val="bottom"/>
          </w:tcPr>
          <w:p>
            <w:pPr>
              <w:spacing w:after="0"/>
              <w:rPr>
                <w:sz w:val="24"/>
                <w:szCs w:val="24"/>
                <w:color w:val="auto"/>
              </w:rPr>
            </w:pPr>
          </w:p>
        </w:tc>
        <w:tc>
          <w:tcPr>
            <w:tcW w:w="6280" w:type="dxa"/>
            <w:vAlign w:val="bottom"/>
            <w:gridSpan w:val="7"/>
          </w:tcPr>
          <w:p>
            <w:pPr>
              <w:spacing w:after="0"/>
              <w:rPr>
                <w:sz w:val="20"/>
                <w:szCs w:val="20"/>
                <w:color w:val="auto"/>
              </w:rPr>
            </w:pPr>
            <w:r>
              <w:rPr>
                <w:rFonts w:ascii="Arial" w:cs="Arial" w:eastAsia="Arial" w:hAnsi="Arial"/>
                <w:sz w:val="20"/>
                <w:szCs w:val="20"/>
                <w:color w:val="auto"/>
              </w:rPr>
              <w:t>Inline XBRL Taxonomy Extension Labels Linkbase Document.</w:t>
            </w: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Evergy</w:t>
            </w:r>
          </w:p>
        </w:tc>
      </w:tr>
      <w:tr>
        <w:trPr>
          <w:trHeight w:val="230"/>
        </w:trPr>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Westar Energy</w:t>
            </w:r>
          </w:p>
        </w:tc>
      </w:tr>
      <w:tr>
        <w:trPr>
          <w:trHeight w:val="250"/>
        </w:trPr>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KCP&amp;L</w:t>
            </w:r>
          </w:p>
        </w:tc>
      </w:tr>
      <w:tr>
        <w:trPr>
          <w:trHeight w:val="398"/>
        </w:trPr>
        <w:tc>
          <w:tcPr>
            <w:tcW w:w="1420" w:type="dxa"/>
            <w:vAlign w:val="bottom"/>
            <w:gridSpan w:val="3"/>
          </w:tcPr>
          <w:p>
            <w:pPr>
              <w:ind w:left="40"/>
              <w:spacing w:after="0"/>
              <w:rPr>
                <w:sz w:val="20"/>
                <w:szCs w:val="20"/>
                <w:color w:val="auto"/>
              </w:rPr>
            </w:pPr>
            <w:r>
              <w:rPr>
                <w:rFonts w:ascii="Arial" w:cs="Arial" w:eastAsia="Arial" w:hAnsi="Arial"/>
                <w:sz w:val="20"/>
                <w:szCs w:val="20"/>
                <w:color w:val="auto"/>
              </w:rPr>
              <w:t>101.PRE</w:t>
            </w:r>
          </w:p>
        </w:tc>
        <w:tc>
          <w:tcPr>
            <w:tcW w:w="580" w:type="dxa"/>
            <w:vAlign w:val="bottom"/>
          </w:tcPr>
          <w:p>
            <w:pPr>
              <w:spacing w:after="0"/>
              <w:rPr>
                <w:sz w:val="24"/>
                <w:szCs w:val="24"/>
                <w:color w:val="auto"/>
              </w:rPr>
            </w:pPr>
          </w:p>
        </w:tc>
        <w:tc>
          <w:tcPr>
            <w:tcW w:w="6280" w:type="dxa"/>
            <w:vAlign w:val="bottom"/>
            <w:gridSpan w:val="7"/>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Evergy</w:t>
            </w:r>
          </w:p>
        </w:tc>
      </w:tr>
      <w:tr>
        <w:trPr>
          <w:trHeight w:val="230"/>
        </w:trPr>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Westar Energy</w:t>
            </w:r>
          </w:p>
        </w:tc>
      </w:tr>
      <w:tr>
        <w:trPr>
          <w:trHeight w:val="250"/>
        </w:trPr>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360" w:type="dxa"/>
            <w:vAlign w:val="bottom"/>
            <w:gridSpan w:val="2"/>
          </w:tcPr>
          <w:p>
            <w:pPr>
              <w:ind w:left="780"/>
              <w:spacing w:after="0"/>
              <w:rPr>
                <w:sz w:val="20"/>
                <w:szCs w:val="20"/>
                <w:color w:val="auto"/>
              </w:rPr>
            </w:pPr>
            <w:r>
              <w:rPr>
                <w:rFonts w:ascii="Arial" w:cs="Arial" w:eastAsia="Arial" w:hAnsi="Arial"/>
                <w:sz w:val="20"/>
                <w:szCs w:val="20"/>
                <w:color w:val="auto"/>
              </w:rPr>
              <w:t>KCP&amp;L</w:t>
            </w:r>
          </w:p>
        </w:tc>
      </w:tr>
    </w:tbl>
    <w:p>
      <w:pPr>
        <w:spacing w:after="0" w:line="114" w:lineRule="exact"/>
        <w:rPr>
          <w:sz w:val="20"/>
          <w:szCs w:val="20"/>
          <w:color w:val="auto"/>
        </w:rPr>
      </w:pPr>
    </w:p>
    <w:p>
      <w:pPr>
        <w:ind w:right="380" w:firstLine="8"/>
        <w:spacing w:after="0" w:line="250" w:lineRule="auto"/>
        <w:tabs>
          <w:tab w:leader="none" w:pos="1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The instance document does not appear in the interactive data file because its XBRL tags are embedded within the inline XBRL document.</w:t>
      </w:r>
    </w:p>
    <w:p>
      <w:pPr>
        <w:spacing w:after="0" w:line="158"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Westar Energy or KCP&amp;L, as applicable, upon written request.</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ectPr>
          <w:pgSz w:w="11900" w:h="16838" w:orient="portrait"/>
          <w:cols w:equalWidth="0" w:num="1">
            <w:col w:w="11420"/>
          </w:cols>
          <w:pgMar w:left="240" w:top="99" w:right="2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99" w:right="239" w:bottom="1440" w:gutter="0" w:footer="0" w:header="0"/>
          <w:type w:val="continuous"/>
        </w:sectPr>
      </w:pPr>
    </w:p>
    <w:bookmarkStart w:id="76" w:name="page77"/>
    <w:bookmarkEnd w:id="76"/>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Pursuant to the requirements of the Securities Exchange Act of 1934, Evergy, Inc., Westar Energy, Inc. and Kansas City Power &amp; Light Company have duly caused this report to be signed on their behalf by the undersigned, thereunto duly authorized.</w:t>
      </w:r>
    </w:p>
    <w:p>
      <w:pPr>
        <w:spacing w:after="0" w:line="309"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EVERGY, INC.</w:t>
      </w:r>
    </w:p>
    <w:p>
      <w:pPr>
        <w:spacing w:after="0" w:line="343" w:lineRule="exact"/>
        <w:rPr>
          <w:sz w:val="20"/>
          <w:szCs w:val="20"/>
          <w:color w:val="auto"/>
        </w:rPr>
      </w:pPr>
    </w:p>
    <w:p>
      <w:pPr>
        <w:ind w:left="960" w:right="4380" w:hanging="4091"/>
        <w:spacing w:after="0" w:line="295" w:lineRule="auto"/>
        <w:tabs>
          <w:tab w:leader="none" w:pos="9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xml:space="preserve">August 7, 2019 By: </w:t>
      </w:r>
      <w:r>
        <w:rPr>
          <w:rFonts w:ascii="Arial" w:cs="Arial" w:eastAsia="Arial" w:hAnsi="Arial"/>
          <w:sz w:val="20"/>
          <w:szCs w:val="20"/>
          <w:u w:val="single" w:color="auto"/>
          <w:color w:val="auto"/>
        </w:rPr>
        <w:t>/s/ Anthony D. Somma</w:t>
      </w:r>
      <w:r>
        <w:rPr>
          <w:rFonts w:ascii="Arial" w:cs="Arial" w:eastAsia="Arial" w:hAnsi="Arial"/>
          <w:sz w:val="20"/>
          <w:szCs w:val="20"/>
          <w:color w:val="auto"/>
        </w:rPr>
        <w:t xml:space="preserve"> (Anthony D. Somma)</w:t>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(Executive Vice President and Chief Financial Officer)</w:t>
      </w:r>
    </w:p>
    <w:p>
      <w:pPr>
        <w:spacing w:after="0" w:line="39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WESTAR ENERGY, INC.</w:t>
      </w:r>
    </w:p>
    <w:p>
      <w:pPr>
        <w:spacing w:after="0" w:line="343" w:lineRule="exact"/>
        <w:rPr>
          <w:sz w:val="20"/>
          <w:szCs w:val="20"/>
          <w:color w:val="auto"/>
        </w:rPr>
      </w:pPr>
    </w:p>
    <w:p>
      <w:pPr>
        <w:ind w:left="960" w:right="4380" w:hanging="4091"/>
        <w:spacing w:after="0" w:line="295" w:lineRule="auto"/>
        <w:tabs>
          <w:tab w:leader="none" w:pos="9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xml:space="preserve">August 7, 2019 By: </w:t>
      </w:r>
      <w:r>
        <w:rPr>
          <w:rFonts w:ascii="Arial" w:cs="Arial" w:eastAsia="Arial" w:hAnsi="Arial"/>
          <w:sz w:val="20"/>
          <w:szCs w:val="20"/>
          <w:u w:val="single" w:color="auto"/>
          <w:color w:val="auto"/>
        </w:rPr>
        <w:t>/s/ Anthony D. Somma</w:t>
      </w:r>
      <w:r>
        <w:rPr>
          <w:rFonts w:ascii="Arial" w:cs="Arial" w:eastAsia="Arial" w:hAnsi="Arial"/>
          <w:sz w:val="20"/>
          <w:szCs w:val="20"/>
          <w:color w:val="auto"/>
        </w:rPr>
        <w:t xml:space="preserve"> (Anthony D. Somma)</w:t>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(Executive Vice President and Chief Financial Officer)</w:t>
      </w:r>
    </w:p>
    <w:p>
      <w:pPr>
        <w:spacing w:after="0" w:line="399"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KANSAS CITY POWER &amp; LIGHT COMPANY</w:t>
      </w:r>
    </w:p>
    <w:p>
      <w:pPr>
        <w:spacing w:after="0" w:line="343" w:lineRule="exact"/>
        <w:rPr>
          <w:sz w:val="20"/>
          <w:szCs w:val="20"/>
          <w:color w:val="auto"/>
        </w:rPr>
      </w:pPr>
    </w:p>
    <w:p>
      <w:pPr>
        <w:ind w:left="960" w:right="4380" w:hanging="4091"/>
        <w:spacing w:after="0" w:line="295" w:lineRule="auto"/>
        <w:tabs>
          <w:tab w:leader="none" w:pos="94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xml:space="preserve">August 7, 2019 By: </w:t>
      </w:r>
      <w:r>
        <w:rPr>
          <w:rFonts w:ascii="Arial" w:cs="Arial" w:eastAsia="Arial" w:hAnsi="Arial"/>
          <w:sz w:val="20"/>
          <w:szCs w:val="20"/>
          <w:u w:val="single" w:color="auto"/>
          <w:color w:val="auto"/>
        </w:rPr>
        <w:t>/s/ Anthony D. Somma</w:t>
      </w:r>
      <w:r>
        <w:rPr>
          <w:rFonts w:ascii="Arial" w:cs="Arial" w:eastAsia="Arial" w:hAnsi="Arial"/>
          <w:sz w:val="20"/>
          <w:szCs w:val="20"/>
          <w:color w:val="auto"/>
        </w:rPr>
        <w:t xml:space="preserve"> (Anthony D. Somma)</w:t>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(Executive Vice President and Chief Financial Officer)</w:t>
      </w:r>
    </w:p>
    <w:p>
      <w:pPr>
        <w:spacing w:after="0" w:line="200" w:lineRule="exact"/>
        <w:rPr>
          <w:sz w:val="20"/>
          <w:szCs w:val="20"/>
          <w:color w:val="auto"/>
        </w:rPr>
      </w:pP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720"/>
          </w:cols>
          <w:pgMar w:left="240" w:top="121" w:right="9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 Bassham, certify that:</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0"/>
        <w:spacing w:after="0"/>
        <w:tabs>
          <w:tab w:leader="none" w:pos="84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 Terry Bassham</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Terry Bassham</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Anthony D. Somma, certify that:</w:t>
      </w:r>
    </w:p>
    <w:p>
      <w:pPr>
        <w:spacing w:after="0" w:line="22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0"/>
        <w:spacing w:after="0"/>
        <w:tabs>
          <w:tab w:leader="none" w:pos="84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r>
        <w:rPr>
          <w:sz w:val="20"/>
          <w:szCs w:val="20"/>
          <w:color w:val="auto"/>
        </w:rPr>
        <w:tab/>
      </w:r>
      <w:r>
        <w:rPr>
          <w:rFonts w:ascii="Arial" w:cs="Arial" w:eastAsia="Arial" w:hAnsi="Arial"/>
          <w:sz w:val="16"/>
          <w:szCs w:val="16"/>
          <w:u w:val="single" w:color="auto"/>
          <w:color w:val="auto"/>
        </w:rPr>
        <w:t>/s/Anthony D. Somma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Anthony D. Somma</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 Bassham,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Kansas City Power &amp; Light Company;</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00"/>
        <w:spacing w:after="0"/>
        <w:tabs>
          <w:tab w:leader="none" w:pos="184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r>
        <w:rPr>
          <w:sz w:val="20"/>
          <w:szCs w:val="20"/>
          <w:color w:val="auto"/>
        </w:rPr>
        <w:tab/>
      </w:r>
      <w:r>
        <w:rPr>
          <w:rFonts w:ascii="Arial" w:cs="Arial" w:eastAsia="Arial" w:hAnsi="Arial"/>
          <w:sz w:val="16"/>
          <w:szCs w:val="16"/>
          <w:u w:val="single" w:color="auto"/>
          <w:color w:val="auto"/>
        </w:rPr>
        <w:t>/s/ Terry Bassham</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Terry Bassham</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Anthony D. Somma, certify that:</w:t>
      </w:r>
    </w:p>
    <w:p>
      <w:pPr>
        <w:spacing w:after="0" w:line="22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Kansas City Power &amp; Light Company;</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2"/>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2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r>
        <w:rPr>
          <w:sz w:val="20"/>
          <w:szCs w:val="20"/>
          <w:color w:val="auto"/>
        </w:rPr>
        <w:tab/>
      </w:r>
      <w:r>
        <w:rPr>
          <w:rFonts w:ascii="Arial" w:cs="Arial" w:eastAsia="Arial" w:hAnsi="Arial"/>
          <w:sz w:val="16"/>
          <w:szCs w:val="16"/>
          <w:u w:val="single" w:color="auto"/>
          <w:color w:val="auto"/>
        </w:rPr>
        <w:t>/s/ Anthony D. Somma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Anthony D. Somma</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 Bassham, certify that:</w:t>
      </w:r>
    </w:p>
    <w:p>
      <w:pPr>
        <w:spacing w:after="0" w:line="22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Westar Energy,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00"/>
        <w:spacing w:after="0"/>
        <w:tabs>
          <w:tab w:leader="none" w:pos="184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r>
        <w:rPr>
          <w:sz w:val="20"/>
          <w:szCs w:val="20"/>
          <w:color w:val="auto"/>
        </w:rPr>
        <w:tab/>
      </w:r>
      <w:r>
        <w:rPr>
          <w:rFonts w:ascii="Arial" w:cs="Arial" w:eastAsia="Arial" w:hAnsi="Arial"/>
          <w:sz w:val="16"/>
          <w:szCs w:val="16"/>
          <w:u w:val="single" w:color="auto"/>
          <w:color w:val="auto"/>
        </w:rPr>
        <w:t>/s/ Terry Bassham</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Terry Bassham</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Anthony D. Somma, certify that:</w:t>
      </w:r>
    </w:p>
    <w:p>
      <w:pPr>
        <w:spacing w:after="0" w:line="22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Westar Energy,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2"/>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2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2019</w:t>
      </w:r>
      <w:r>
        <w:rPr>
          <w:sz w:val="20"/>
          <w:szCs w:val="20"/>
          <w:color w:val="auto"/>
        </w:rPr>
        <w:tab/>
      </w:r>
      <w:r>
        <w:rPr>
          <w:rFonts w:ascii="Arial" w:cs="Arial" w:eastAsia="Arial" w:hAnsi="Arial"/>
          <w:sz w:val="16"/>
          <w:szCs w:val="16"/>
          <w:u w:val="single" w:color="auto"/>
          <w:color w:val="auto"/>
        </w:rPr>
        <w:t>/s/ Anthony D. Somma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Anthony D. Somma</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June 30, 2019, as filed with the Securities and Exchange Commission on the date hereof (the "Report"), Terry Bassham, as President and Chief Executive Officer of the Company, and Anthony D. Somma, as Executive Vice President and Chief Financial Officer of the Company, each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820" w:hanging="488"/>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 Terry Bassham</w:t>
            </w:r>
          </w:p>
        </w:tc>
      </w:tr>
      <w:tr>
        <w:trPr>
          <w:trHeight w:val="276"/>
        </w:trPr>
        <w:tc>
          <w:tcPr>
            <w:tcW w:w="1480" w:type="dxa"/>
            <w:vAlign w:val="bottom"/>
          </w:tcPr>
          <w:p>
            <w:pPr>
              <w:spacing w:after="0"/>
              <w:rPr>
                <w:sz w:val="20"/>
                <w:szCs w:val="20"/>
                <w:color w:val="auto"/>
              </w:rPr>
            </w:pPr>
            <w:r>
              <w:rPr>
                <w:rFonts w:ascii="Arial" w:cs="Arial" w:eastAsia="Arial" w:hAnsi="Arial"/>
                <w:sz w:val="18"/>
                <w:szCs w:val="18"/>
                <w:color w:val="auto"/>
              </w:rPr>
              <w:t>Name:</w:t>
            </w: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Terry Bassham</w:t>
            </w:r>
          </w:p>
        </w:tc>
        <w:tc>
          <w:tcPr>
            <w:tcW w:w="2540" w:type="dxa"/>
            <w:vAlign w:val="bottom"/>
            <w:gridSpan w:val="2"/>
          </w:tcPr>
          <w:p>
            <w:pPr>
              <w:spacing w:after="0"/>
              <w:rPr>
                <w:sz w:val="24"/>
                <w:szCs w:val="24"/>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7, 2019</w:t>
            </w:r>
          </w:p>
        </w:tc>
      </w:tr>
      <w:tr>
        <w:trPr>
          <w:trHeight w:val="500"/>
        </w:trPr>
        <w:tc>
          <w:tcPr>
            <w:tcW w:w="148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/s/Anthony D. Somma</w:t>
            </w:r>
          </w:p>
        </w:tc>
      </w:tr>
      <w:tr>
        <w:trPr>
          <w:trHeight w:val="276"/>
        </w:trPr>
        <w:tc>
          <w:tcPr>
            <w:tcW w:w="1480" w:type="dxa"/>
            <w:vAlign w:val="bottom"/>
          </w:tcPr>
          <w:p>
            <w:pPr>
              <w:spacing w:after="0"/>
              <w:rPr>
                <w:sz w:val="20"/>
                <w:szCs w:val="20"/>
                <w:color w:val="auto"/>
              </w:rPr>
            </w:pPr>
            <w:r>
              <w:rPr>
                <w:rFonts w:ascii="Arial" w:cs="Arial" w:eastAsia="Arial" w:hAnsi="Arial"/>
                <w:sz w:val="18"/>
                <w:szCs w:val="18"/>
                <w:color w:val="auto"/>
              </w:rPr>
              <w:t>Name:</w:t>
            </w: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Anthony D. Somma</w:t>
            </w:r>
          </w:p>
        </w:tc>
        <w:tc>
          <w:tcPr>
            <w:tcW w:w="222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7, 2019</w:t>
            </w:r>
          </w:p>
        </w:tc>
      </w:tr>
    </w:tbl>
    <w:p>
      <w:pPr>
        <w:sectPr>
          <w:pgSz w:w="11900" w:h="16838" w:orient="portrait"/>
          <w:cols w:equalWidth="0" w:num="1">
            <w:col w:w="11420"/>
          </w:cols>
          <w:pgMar w:left="240" w:top="58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on Form 10-Q of Kansas City Power &amp; Light Company (the "Company") for the quarterly period ended June 30, 2019, as filed with the Securities and Exchange Commission on the date hereof (the "Report"), Terry Bassham, as President and Chief Executive Officer of the Company, and Anthony D. Somma, as Executive Vice President and Chief Financial Officer of the Company, each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Terry Bassham</w:t>
            </w:r>
          </w:p>
        </w:tc>
        <w:tc>
          <w:tcPr>
            <w:tcW w:w="2540" w:type="dxa"/>
            <w:vAlign w:val="bottom"/>
            <w:gridSpan w:val="2"/>
          </w:tcPr>
          <w:p>
            <w:pPr>
              <w:spacing w:after="0"/>
              <w:rPr>
                <w:sz w:val="17"/>
                <w:szCs w:val="17"/>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Terry Bassham</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7, 2019</w:t>
            </w:r>
          </w:p>
        </w:tc>
      </w:tr>
      <w:tr>
        <w:trPr>
          <w:trHeight w:val="500"/>
        </w:trPr>
        <w:tc>
          <w:tcPr>
            <w:tcW w:w="160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Anthony D. Somma</w:t>
            </w:r>
          </w:p>
        </w:tc>
        <w:tc>
          <w:tcPr>
            <w:tcW w:w="2180" w:type="dxa"/>
            <w:vAlign w:val="bottom"/>
          </w:tcPr>
          <w:p>
            <w:pPr>
              <w:spacing w:after="0"/>
              <w:rPr>
                <w:sz w:val="24"/>
                <w:szCs w:val="24"/>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Anthony D. Somma</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7, 2019</w:t>
            </w:r>
          </w:p>
        </w:tc>
      </w:tr>
    </w:tbl>
    <w:p>
      <w:pPr>
        <w:sectPr>
          <w:pgSz w:w="11900" w:h="16838" w:orient="portrait"/>
          <w:cols w:equalWidth="0" w:num="1">
            <w:col w:w="11420"/>
          </w:cols>
          <w:pgMar w:left="240" w:top="58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Westar Energy, Inc. (the "Company") for the quarterly period ended June 30, 2019, as filed with the Securities and Exchange Commission on the date hereof (the "Report"), Terry Bassham, as President and Chief Executive Officer of the Company, and Anthony D. Somma, as Executive Vice President and Chief Financial Officer of the Company, each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Terry Bassham</w:t>
            </w:r>
          </w:p>
        </w:tc>
        <w:tc>
          <w:tcPr>
            <w:tcW w:w="2540" w:type="dxa"/>
            <w:vAlign w:val="bottom"/>
            <w:gridSpan w:val="2"/>
          </w:tcPr>
          <w:p>
            <w:pPr>
              <w:spacing w:after="0"/>
              <w:rPr>
                <w:sz w:val="17"/>
                <w:szCs w:val="17"/>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Terry Bassham</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7, 2019</w:t>
            </w:r>
          </w:p>
        </w:tc>
      </w:tr>
      <w:tr>
        <w:trPr>
          <w:trHeight w:val="500"/>
        </w:trPr>
        <w:tc>
          <w:tcPr>
            <w:tcW w:w="160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Anthony D. Somma</w:t>
            </w:r>
          </w:p>
        </w:tc>
        <w:tc>
          <w:tcPr>
            <w:tcW w:w="2180" w:type="dxa"/>
            <w:vAlign w:val="bottom"/>
          </w:tcPr>
          <w:p>
            <w:pPr>
              <w:spacing w:after="0"/>
              <w:rPr>
                <w:sz w:val="24"/>
                <w:szCs w:val="24"/>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Anthony D. Somma</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August 7, 2019</w:t>
            </w:r>
          </w:p>
        </w:tc>
      </w:tr>
    </w:tbl>
    <w:p>
      <w:pPr>
        <w:spacing w:after="0" w:line="1" w:lineRule="exact"/>
        <w:rPr>
          <w:sz w:val="20"/>
          <w:szCs w:val="20"/>
          <w:color w:val="auto"/>
        </w:rPr>
      </w:pP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lvl w:ilvl="1">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lvl w:ilvl="1">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lvl w:ilvl="1">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lvl w:ilvl="1">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lvl w:ilvl="1">
      <w:lvlJc w:val="left"/>
      <w:lvlText w:val="(%2)"/>
      <w:numFmt w:val="lowerLetter"/>
      <w:start w:val="1"/>
    </w:lvl>
  </w:abstractNum>
  <w:abstractNum w:abstractNumId="43">
    <w:nsid w:val="38437FDB"/>
    <w:multiLevelType w:val="hybridMultilevel"/>
    <w:lvl w:ilvl="0">
      <w:lvlJc w:val="left"/>
      <w:lvlText w:val="%1."/>
      <w:numFmt w:val="decimal"/>
      <w:start w:val="1"/>
    </w:lvl>
    <w:lvl w:ilvl="1">
      <w:lvlJc w:val="left"/>
      <w:lvlText w:val="(%2)"/>
      <w:numFmt w:val="lowerLetter"/>
      <w:start w:val="1"/>
    </w:lvl>
  </w:abstractNum>
  <w:abstractNum w:abstractNumId="44">
    <w:nsid w:val="7644A45C"/>
    <w:multiLevelType w:val="hybridMultilevel"/>
    <w:lvl w:ilvl="0">
      <w:lvlJc w:val="left"/>
      <w:lvlText w:val="%1."/>
      <w:numFmt w:val="decimal"/>
      <w:start w:val="1"/>
    </w:lvl>
    <w:lvl w:ilvl="1">
      <w:lvlJc w:val="left"/>
      <w:lvlText w:val="(%2)"/>
      <w:numFmt w:val="lowerLetter"/>
      <w:start w:val="1"/>
    </w:lvl>
  </w:abstractNum>
  <w:abstractNum w:abstractNumId="45">
    <w:nsid w:val="32FFF90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2019-12-28T08:25:25Z</dcterms:created>
  <dcterms:modified xsi:type="dcterms:W3CDTF">2019-12-28T08:25:25Z</dcterms:modified>
</cp:coreProperties>
</file>