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WILDER C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1200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Evergy, Inc.</w:t>
              </w:r>
            </w:hyperlink>
            <w:r>
              <w:rPr/>
              <w:t xml:space="preserve"> [ </w:t>
            </w:r>
            <w:r>
              <w:rPr>
                <w:rFonts w:ascii="Times;serif" w:hAnsi="Times;serif"/>
                <w:color w:val="0000FF"/>
                <w:sz w:val="24"/>
                <w:shd w:fill="FFFFFF" w:val="clear"/>
              </w:rPr>
              <w:t>EVRG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616"/>
        <w:gridCol w:w="1279"/>
        <w:gridCol w:w="997"/>
        <w:gridCol w:w="10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2,657,473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Refer to Footnote</w:t>
            </w:r>
            <w:r>
              <w:rPr>
                <w:rFonts w:ascii="Times;serif" w:hAnsi="Times;serif"/>
                <w:color w:val="008000"/>
                <w:position w:val="7"/>
                <w:sz w:val="16"/>
                <w:sz w:val="20"/>
                <w:shd w:fill="FFFFFF" w:val="clear"/>
              </w:rPr>
              <w:t>(1)</w:t>
            </w:r>
          </w:p>
        </w:tc>
      </w:tr>
    </w:tbl>
    <w:tbl>
      <w:tblPr>
        <w:tblW w:w="11708"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7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447</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30,170</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directly beneficially owned by BEP Special Situations V LLC. The reporting person may be deemed to beneficially own such shares as he is the manager of Bluescape Resources GP Holdings LLC, which is the managing member of Bluescape Energy Partners IV GP LLC ("Main Fund") and Main Fund is acting as the Manager of BEP Special Situations V LLC.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Director deferred share units received as partial payment of retainer fees that have been deferred pursuant to elections made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257 shares that were inadvertently omitted in a prior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Executed on behalf of C. John Wilder by Amy C. Abrams,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7495" TargetMode="External"/><Relationship Id="rId5" Type="http://schemas.openxmlformats.org/officeDocument/2006/relationships/hyperlink" Target="http://www.sec.gov/cgi-bin/browse-edgar?action=getcompany&amp;CIK=00017112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4012</Characters>
  <CharactersWithSpaces>4680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