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04888d8k.htm"/>
      <w:bookmarkStart w:id="1" w:name="ksd50488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center"/>
        <w:rPr>
          <w:rFonts w:ascii="Times New Roman" w:hAnsi="Times New Roman"/>
          <w:b/>
          <w:sz w:val="24"/>
        </w:rPr>
      </w:pPr>
      <w:r>
        <w:rPr>
          <w:rFonts w:ascii="Times New Roman" w:hAnsi="Times New Roman"/>
          <w:b/>
          <w:sz w:val="24"/>
        </w:rPr>
        <w:t>September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935"/>
        <w:gridCol w:w="60"/>
        <w:gridCol w:w="5585"/>
        <w:gridCol w:w="60"/>
        <w:gridCol w:w="131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Commission</w:t>
              <w:br/>
              <w:t>File Number</w:t>
            </w:r>
          </w:p>
        </w:tc>
        <w:tc>
          <w:tcPr>
            <w:tcW w:w="60" w:type="dxa"/>
            <w:tcBorders/>
            <w:vAlign w:val="center"/>
          </w:tcPr>
          <w:p>
            <w:pPr>
              <w:pStyle w:val="TableContents"/>
              <w:bidi w:val="0"/>
              <w:spacing w:before="0" w:after="283"/>
              <w:jc w:val="left"/>
              <w:rPr/>
            </w:pPr>
            <w:r>
              <w:rPr/>
              <w:t> </w:t>
            </w:r>
          </w:p>
        </w:tc>
        <w:tc>
          <w:tcPr>
            <w:tcW w:w="55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Exact Name of Registrant as Specified in its Charter, State of Incorporation,</w:t>
            </w:r>
          </w:p>
          <w:p>
            <w:pPr>
              <w:pStyle w:val="TableContents"/>
              <w:bidi w:val="0"/>
              <w:spacing w:before="0" w:after="20"/>
              <w:jc w:val="center"/>
              <w:rPr>
                <w:rFonts w:ascii="Times New Roman" w:hAnsi="Times New Roman"/>
                <w:b/>
                <w:sz w:val="16"/>
              </w:rPr>
            </w:pPr>
            <w:r>
              <w:rPr>
                <w:rFonts w:ascii="Times New Roman" w:hAnsi="Times New Roman"/>
                <w:b/>
                <w:sz w:val="16"/>
              </w:rPr>
              <w:t>Address of Principal Executive Offices and Telephone Number</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I.R.S. Employer</w:t>
              <w:br/>
              <w:t>Identification No.</w:t>
            </w:r>
          </w:p>
        </w:tc>
      </w:tr>
      <w:tr>
        <w:trPr/>
        <w:tc>
          <w:tcPr>
            <w:tcW w:w="935" w:type="dxa"/>
            <w:tcBorders/>
            <w:vAlign w:val="center"/>
          </w:tcPr>
          <w:p>
            <w:pPr>
              <w:pStyle w:val="TableContents"/>
              <w:bidi w:val="0"/>
              <w:spacing w:before="0" w:after="0"/>
              <w:jc w:val="center"/>
              <w:rPr>
                <w:b/>
                <w:spacing w:val="0"/>
                <w:sz w:val="20"/>
              </w:rPr>
            </w:pPr>
            <w:r>
              <w:rPr>
                <w:b/>
                <w:spacing w:val="0"/>
                <w:sz w:val="20"/>
              </w:rPr>
              <w:t>001-38515</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Evergy, Inc.</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spacing w:val="0"/>
                <w:sz w:val="20"/>
              </w:rPr>
            </w:pPr>
            <w:r>
              <w:rPr>
                <w:b/>
                <w:spacing w:val="0"/>
                <w:sz w:val="20"/>
              </w:rPr>
              <w:t>82-2733395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(a Missouri corporation)</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1200 Main Street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Kansas City</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Missouri</w:t>
            </w:r>
          </w:p>
          <w:p>
            <w:pPr>
              <w:pStyle w:val="TableContents"/>
              <w:bidi w:val="0"/>
              <w:spacing w:before="0" w:after="0"/>
              <w:jc w:val="center"/>
              <w:rPr>
                <w:b/>
                <w:spacing w:val="0"/>
              </w:rPr>
            </w:pPr>
            <w:r>
              <w:rPr>
                <w:b/>
                <w:spacing w:val="0"/>
              </w:rPr>
              <w:t>64105</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w:t>
            </w:r>
          </w:p>
          <w:p>
            <w:pPr>
              <w:pStyle w:val="TableContents"/>
              <w:bidi w:val="0"/>
              <w:spacing w:before="0" w:after="0"/>
              <w:jc w:val="center"/>
              <w:rPr>
                <w:b/>
                <w:spacing w:val="0"/>
              </w:rPr>
            </w:pPr>
            <w:r>
              <w:rPr>
                <w:b/>
                <w:spacing w:val="0"/>
              </w:rPr>
              <w:t>816</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556-2200</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5645"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NOT APPLICABLE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7950" w:type="dxa"/>
            <w:gridSpan w:val="5"/>
            <w:tcBorders/>
            <w:vAlign w:val="center"/>
          </w:tcPr>
          <w:p>
            <w:pPr>
              <w:pStyle w:val="TableContents"/>
              <w:bidi w:val="0"/>
              <w:spacing w:before="0" w:after="0"/>
              <w:jc w:val="center"/>
              <w:rPr>
                <w:b/>
                <w:spacing w:val="0"/>
              </w:rPr>
            </w:pPr>
            <w:r>
              <w:rPr>
                <w:b/>
                <w:spacing w:val="0"/>
              </w:rPr>
              <w:t>(Former name or former address, if changed since last report)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317" w:type="dxa"/>
        <w:jc w:val="left"/>
        <w:tblInd w:w="0" w:type="dxa"/>
        <w:tblLayout w:type="fixed"/>
        <w:tblCellMar>
          <w:top w:w="0" w:type="dxa"/>
          <w:left w:w="0" w:type="dxa"/>
          <w:bottom w:w="0" w:type="dxa"/>
          <w:right w:w="0" w:type="dxa"/>
        </w:tblCellMar>
      </w:tblPr>
      <w:tblGrid>
        <w:gridCol w:w="1183"/>
        <w:gridCol w:w="75"/>
        <w:gridCol w:w="3669"/>
        <w:gridCol w:w="75"/>
        <w:gridCol w:w="1315"/>
      </w:tblGrid>
      <w:tr>
        <w:trPr/>
        <w:tc>
          <w:tcPr>
            <w:tcW w:w="1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1183" w:type="dxa"/>
            <w:tcBorders/>
            <w:vAlign w:val="center"/>
          </w:tcPr>
          <w:p>
            <w:pPr>
              <w:pStyle w:val="TableContents"/>
              <w:bidi w:val="0"/>
              <w:spacing w:before="0" w:after="283"/>
              <w:jc w:val="left"/>
              <w:rPr>
                <w:sz w:val="4"/>
                <w:szCs w:val="4"/>
              </w:rPr>
            </w:pPr>
            <w:r>
              <w:rPr>
                <w:sz w:val="4"/>
                <w:szCs w:val="4"/>
              </w:rPr>
            </w:r>
          </w:p>
        </w:tc>
        <w:tc>
          <w:tcPr>
            <w:tcW w:w="3744"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r>
      <w:tr>
        <w:trPr/>
        <w:tc>
          <w:tcPr>
            <w:tcW w:w="1183" w:type="dxa"/>
            <w:tcBorders/>
            <w:vAlign w:val="center"/>
          </w:tcPr>
          <w:p>
            <w:pPr>
              <w:pStyle w:val="TableContents"/>
              <w:bidi w:val="0"/>
              <w:spacing w:before="0" w:after="0"/>
              <w:jc w:val="center"/>
              <w:rPr>
                <w:b/>
                <w:spacing w:val="0"/>
                <w:sz w:val="20"/>
              </w:rPr>
            </w:pPr>
            <w:r>
              <w:rPr>
                <w:b/>
                <w:spacing w:val="0"/>
                <w:sz w:val="20"/>
              </w:rPr>
              <w:t>001-03523</w:t>
            </w:r>
          </w:p>
        </w:tc>
        <w:tc>
          <w:tcPr>
            <w:tcW w:w="75"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0"/>
              <w:jc w:val="center"/>
              <w:rPr>
                <w:b/>
                <w:spacing w:val="0"/>
              </w:rPr>
            </w:pPr>
            <w:r>
              <w:rPr>
                <w:b/>
                <w:spacing w:val="0"/>
              </w:rPr>
              <w:t>Evergy Kansas Central, Inc.</w:t>
            </w:r>
          </w:p>
        </w:tc>
        <w:tc>
          <w:tcPr>
            <w:tcW w:w="7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0"/>
              <w:jc w:val="center"/>
              <w:rPr>
                <w:b/>
                <w:spacing w:val="0"/>
                <w:sz w:val="20"/>
              </w:rPr>
            </w:pPr>
            <w:r>
              <w:rPr>
                <w:b/>
                <w:spacing w:val="0"/>
                <w:sz w:val="20"/>
              </w:rPr>
              <w:t>48-0290150</w:t>
            </w:r>
          </w:p>
        </w:tc>
      </w:tr>
      <w:tr>
        <w:trPr/>
        <w:tc>
          <w:tcPr>
            <w:tcW w:w="1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0"/>
              <w:jc w:val="center"/>
              <w:rPr>
                <w:b/>
                <w:spacing w:val="0"/>
              </w:rPr>
            </w:pPr>
            <w:r>
              <w:rPr>
                <w:b/>
                <w:spacing w:val="0"/>
              </w:rPr>
              <w:t>(a Kansas corporation)</w:t>
            </w:r>
          </w:p>
        </w:tc>
        <w:tc>
          <w:tcPr>
            <w:tcW w:w="7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sz w:val="4"/>
                <w:szCs w:val="4"/>
              </w:rPr>
            </w:pPr>
            <w:r>
              <w:rPr>
                <w:sz w:val="4"/>
                <w:szCs w:val="4"/>
              </w:rPr>
            </w:r>
          </w:p>
        </w:tc>
      </w:tr>
      <w:tr>
        <w:trPr/>
        <w:tc>
          <w:tcPr>
            <w:tcW w:w="1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0"/>
              <w:jc w:val="center"/>
              <w:rPr>
                <w:b/>
                <w:spacing w:val="0"/>
              </w:rPr>
            </w:pPr>
            <w:r>
              <w:rPr>
                <w:b/>
                <w:spacing w:val="0"/>
              </w:rPr>
              <w:t>818 South Kansas Avenue</w:t>
            </w:r>
          </w:p>
        </w:tc>
        <w:tc>
          <w:tcPr>
            <w:tcW w:w="7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sz w:val="4"/>
                <w:szCs w:val="4"/>
              </w:rPr>
            </w:pPr>
            <w:r>
              <w:rPr>
                <w:sz w:val="4"/>
                <w:szCs w:val="4"/>
              </w:rPr>
            </w:r>
          </w:p>
        </w:tc>
      </w:tr>
      <w:tr>
        <w:trPr/>
        <w:tc>
          <w:tcPr>
            <w:tcW w:w="1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0"/>
              <w:jc w:val="center"/>
              <w:rPr>
                <w:b/>
                <w:spacing w:val="0"/>
              </w:rPr>
            </w:pPr>
            <w:r>
              <w:rPr>
                <w:b/>
                <w:spacing w:val="0"/>
              </w:rPr>
              <w:t>Topeka</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Kansas</w:t>
            </w:r>
          </w:p>
          <w:p>
            <w:pPr>
              <w:pStyle w:val="TableContents"/>
              <w:bidi w:val="0"/>
              <w:spacing w:before="0" w:after="0"/>
              <w:jc w:val="center"/>
              <w:rPr>
                <w:b/>
                <w:spacing w:val="0"/>
              </w:rPr>
            </w:pPr>
            <w:r>
              <w:rPr>
                <w:b/>
                <w:spacing w:val="0"/>
              </w:rPr>
              <w:t>66612</w:t>
            </w:r>
          </w:p>
        </w:tc>
        <w:tc>
          <w:tcPr>
            <w:tcW w:w="7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sz w:val="4"/>
                <w:szCs w:val="4"/>
              </w:rPr>
            </w:pPr>
            <w:r>
              <w:rPr>
                <w:sz w:val="4"/>
                <w:szCs w:val="4"/>
              </w:rPr>
            </w:r>
          </w:p>
        </w:tc>
      </w:tr>
      <w:tr>
        <w:trPr/>
        <w:tc>
          <w:tcPr>
            <w:tcW w:w="1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0"/>
              <w:jc w:val="center"/>
              <w:rPr>
                <w:b/>
                <w:spacing w:val="0"/>
              </w:rPr>
            </w:pPr>
            <w:r>
              <w:rPr>
                <w:b/>
                <w:spacing w:val="0"/>
              </w:rPr>
              <w:t>(</w:t>
            </w:r>
          </w:p>
          <w:p>
            <w:pPr>
              <w:pStyle w:val="TableContents"/>
              <w:bidi w:val="0"/>
              <w:spacing w:before="0" w:after="0"/>
              <w:jc w:val="center"/>
              <w:rPr>
                <w:b/>
                <w:spacing w:val="0"/>
              </w:rPr>
            </w:pPr>
            <w:r>
              <w:rPr>
                <w:b/>
                <w:spacing w:val="0"/>
              </w:rPr>
              <w:t>785</w:t>
            </w:r>
          </w:p>
          <w:p>
            <w:pPr>
              <w:pStyle w:val="TableContents"/>
              <w:bidi w:val="0"/>
              <w:spacing w:before="0" w:after="0"/>
              <w:jc w:val="center"/>
              <w:rPr>
                <w:b/>
                <w:spacing w:val="0"/>
              </w:rPr>
            </w:pPr>
            <w:r>
              <w:rPr>
                <w:b/>
                <w:spacing w:val="0"/>
              </w:rPr>
              <w:t xml:space="preserve">) </w:t>
            </w:r>
          </w:p>
          <w:p>
            <w:pPr>
              <w:pStyle w:val="TableContents"/>
              <w:bidi w:val="0"/>
              <w:spacing w:before="0" w:after="0"/>
              <w:jc w:val="center"/>
              <w:rPr>
                <w:b/>
                <w:spacing w:val="0"/>
              </w:rPr>
            </w:pPr>
            <w:r>
              <w:rPr>
                <w:b/>
                <w:spacing w:val="0"/>
              </w:rPr>
              <w:t>575-6300</w:t>
            </w:r>
          </w:p>
        </w:tc>
        <w:tc>
          <w:tcPr>
            <w:tcW w:w="7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sz w:val="4"/>
                <w:szCs w:val="4"/>
              </w:rPr>
            </w:pPr>
            <w:r>
              <w:rPr>
                <w:sz w:val="4"/>
                <w:szCs w:val="4"/>
              </w:rPr>
            </w:r>
          </w:p>
        </w:tc>
      </w:tr>
      <w:tr>
        <w:trPr/>
        <w:tc>
          <w:tcPr>
            <w:tcW w:w="1183" w:type="dxa"/>
            <w:tcBorders/>
            <w:vAlign w:val="center"/>
          </w:tcPr>
          <w:p>
            <w:pPr>
              <w:pStyle w:val="TableContents"/>
              <w:bidi w:val="0"/>
              <w:spacing w:before="0" w:after="283"/>
              <w:jc w:val="left"/>
              <w:rPr>
                <w:sz w:val="4"/>
                <w:szCs w:val="4"/>
              </w:rPr>
            </w:pPr>
            <w:r>
              <w:rPr>
                <w:sz w:val="4"/>
                <w:szCs w:val="4"/>
              </w:rPr>
            </w:r>
          </w:p>
        </w:tc>
        <w:tc>
          <w:tcPr>
            <w:tcW w:w="3744" w:type="dxa"/>
            <w:gridSpan w:val="2"/>
            <w:tcBorders/>
            <w:vAlign w:val="center"/>
          </w:tcPr>
          <w:p>
            <w:pPr>
              <w:pStyle w:val="TableContents"/>
              <w:bidi w:val="0"/>
              <w:spacing w:before="0" w:after="283"/>
              <w:jc w:val="left"/>
              <w:rPr>
                <w:sz w:val="4"/>
                <w:szCs w:val="4"/>
              </w:rPr>
            </w:pPr>
            <w:r>
              <w:rPr>
                <w:sz w:val="4"/>
                <w:szCs w:val="4"/>
              </w:rPr>
            </w:r>
          </w:p>
        </w:tc>
        <w:tc>
          <w:tcPr>
            <w:tcW w:w="1390" w:type="dxa"/>
            <w:gridSpan w:val="2"/>
            <w:tcBorders/>
            <w:vAlign w:val="center"/>
          </w:tcPr>
          <w:p>
            <w:pPr>
              <w:pStyle w:val="TableContents"/>
              <w:bidi w:val="0"/>
              <w:spacing w:before="0" w:after="283"/>
              <w:jc w:val="left"/>
              <w:rPr>
                <w:sz w:val="4"/>
                <w:szCs w:val="4"/>
              </w:rPr>
            </w:pPr>
            <w:r>
              <w:rPr>
                <w:sz w:val="4"/>
                <w:szCs w:val="4"/>
              </w:rPr>
            </w:r>
          </w:p>
        </w:tc>
      </w:tr>
      <w:tr>
        <w:trPr/>
        <w:tc>
          <w:tcPr>
            <w:tcW w:w="11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3669" w:type="dxa"/>
            <w:tcBorders/>
            <w:vAlign w:val="center"/>
          </w:tcPr>
          <w:p>
            <w:pPr>
              <w:pStyle w:val="TableContents"/>
              <w:bidi w:val="0"/>
              <w:spacing w:before="0" w:after="0"/>
              <w:jc w:val="center"/>
              <w:rPr>
                <w:b/>
                <w:spacing w:val="0"/>
              </w:rPr>
            </w:pPr>
            <w:r>
              <w:rPr>
                <w:b/>
                <w:spacing w:val="0"/>
              </w:rPr>
              <w:t>NOT APPLICABLE</w:t>
            </w:r>
          </w:p>
        </w:tc>
        <w:tc>
          <w:tcPr>
            <w:tcW w:w="7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sz w:val="4"/>
                <w:szCs w:val="4"/>
              </w:rPr>
            </w:pPr>
            <w:r>
              <w:rPr>
                <w:sz w:val="4"/>
                <w:szCs w:val="4"/>
              </w:rPr>
            </w:r>
          </w:p>
        </w:tc>
      </w:tr>
      <w:tr>
        <w:trPr/>
        <w:tc>
          <w:tcPr>
            <w:tcW w:w="6317" w:type="dxa"/>
            <w:gridSpan w:val="5"/>
            <w:tcBorders/>
            <w:vAlign w:val="center"/>
          </w:tcPr>
          <w:p>
            <w:pPr>
              <w:pStyle w:val="TableContents"/>
              <w:bidi w:val="0"/>
              <w:spacing w:before="0" w:after="0"/>
              <w:jc w:val="center"/>
              <w:rPr>
                <w:b/>
                <w:spacing w:val="0"/>
              </w:rPr>
            </w:pPr>
            <w:r>
              <w:rPr>
                <w:b/>
                <w:spacing w:val="0"/>
              </w:rPr>
              <w:t>(Former name or former address, if changed since last report)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0"/>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2645"/>
        <w:gridCol w:w="60"/>
        <w:gridCol w:w="740"/>
        <w:gridCol w:w="60"/>
        <w:gridCol w:w="3050"/>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645" w:type="dxa"/>
            <w:tcBorders/>
            <w:vAlign w:val="center"/>
          </w:tcPr>
          <w:p>
            <w:pPr>
              <w:pStyle w:val="TableContents"/>
              <w:bidi w:val="0"/>
              <w:spacing w:before="0" w:after="0"/>
              <w:jc w:val="center"/>
              <w:rPr/>
            </w:pPr>
            <w:r>
              <w:rPr/>
              <w:t>Evergy, Inc.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pPr>
            <w:r>
              <w:rPr/>
              <w:t>EVRG</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pPr>
      <w:r>
        <w:rPr/>
        <w:t>☐</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combined Current Report on Form 8-K is being filed by the following registrants: Evergy, Inc. and Evergy Kansas Central, Inc. (“Evergy Kansas Central”). Information relating to any individual registrant is filed by such registrant solely on its own behalf. Each registrant makes no representation as to information relating exclusively to the other registrant.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16, 2026, Evergy Kansas Central issued $350,000,000 aggregate principal amount of its First Mortgage Bonds, 5.600% Series due 2034 (the “Mortgage Bonds”), pursuant to an Underwriting Agreement, dated September 10, 2026, among Evergy Kansas Central, PNC Capital Markets LLC, RBC Capital Markets, LLC, Truist Securities, Inc. and U.S. Bancorp Investments, Inc., as representatives of the several underwriters named therein. The Mortgage Bonds were registered under the Securities Act of 1933, as amended (the “Securities Act”), pursuant to the shelf registration statement on Form S-3 (333-281614-02) of Evergy Kansas Central (the “Registration Statement”). </w:t>
      </w:r>
    </w:p>
    <w:p>
      <w:pPr>
        <w:pStyle w:val="TextBody"/>
        <w:bidi w:val="0"/>
        <w:spacing w:before="240" w:after="0"/>
        <w:jc w:val="left"/>
        <w:rPr>
          <w:rFonts w:ascii="Times New Roman" w:hAnsi="Times New Roman"/>
          <w:sz w:val="20"/>
        </w:rPr>
      </w:pPr>
      <w:r>
        <w:rPr>
          <w:rFonts w:ascii="Times New Roman" w:hAnsi="Times New Roman"/>
          <w:sz w:val="20"/>
        </w:rPr>
        <w:t>In connection with the issuance and sale of the Mortgage Bonds, Evergy Kansas Central entered into several agreements and other instruments listed in Item 9.01 of this Current Report on Form 8-K and filed as exhibits hereto. These exhibits are incorporated by reference into the Registration Statement.</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left"/>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504888dex11.htm">
              <w:r>
                <w:rPr>
                  <w:rStyle w:val="InternetLink"/>
                </w:rPr>
                <w:t xml:space="preserve">Underwriting Agreement, dated September 10, 2026, among Evergy Kansas Central, Inc., PNC Capital Markets LLC, RBC Capital Markets, LLC, Truist Securities, Inc. and U.S. Bancorp Investments, Inc., as representatives of the several underwriters named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504888dex41.htm">
              <w:r>
                <w:rPr>
                  <w:rStyle w:val="InternetLink"/>
                </w:rPr>
                <w:t xml:space="preserve">Fifty-Sixth Supplemental Indenture, dated as of September 16, 2026, between Evergy Kansas Central, Inc. and The Bank of New York Mellon Trust Company, N.A., as trustee, and the form of global bond included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504888dex51.htm">
              <w:r>
                <w:rPr>
                  <w:rStyle w:val="InternetLink"/>
                </w:rPr>
                <w:t xml:space="preserve">Opinion, dated September 16, 2026, of Heather A. Humphrey, regarding the validity of the Mortgage Bonds.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504888dex51.htm">
              <w:r>
                <w:rPr>
                  <w:rStyle w:val="InternetLink"/>
                </w:rPr>
                <w:t xml:space="preserve">Consent of Heather A. Humphrey (included in Exhibit 5.1).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5435" w:type="dxa"/>
        <w:jc w:val="left"/>
        <w:tblInd w:w="0" w:type="dxa"/>
        <w:tblLayout w:type="fixed"/>
        <w:tblCellMar>
          <w:top w:w="0" w:type="dxa"/>
          <w:left w:w="0" w:type="dxa"/>
          <w:bottom w:w="0" w:type="dxa"/>
          <w:right w:w="0" w:type="dxa"/>
        </w:tblCellMar>
      </w:tblPr>
      <w:tblGrid>
        <w:gridCol w:w="5435"/>
      </w:tblGrid>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283"/>
              <w:jc w:val="left"/>
              <w:rPr>
                <w:b/>
              </w:rPr>
            </w:pPr>
            <w:r>
              <w:rPr>
                <w:b/>
              </w:rPr>
              <w:t>Evergy, Inc.</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bottom w:val="single" w:sz="6" w:space="0" w:color="000000"/>
            </w:tcBorders>
            <w:tcMar>
              <w:bottom w:w="28" w:type="dxa"/>
            </w:tcMar>
            <w:vAlign w:val="center"/>
          </w:tcPr>
          <w:p>
            <w:pPr>
              <w:pStyle w:val="TableContents"/>
              <w:bidi w:val="0"/>
              <w:spacing w:before="0" w:after="283"/>
              <w:jc w:val="left"/>
              <w:rPr/>
            </w:pPr>
            <w:r>
              <w:rPr/>
              <w:t>/s/ Geoffrey T. Ley</w:t>
            </w:r>
          </w:p>
        </w:tc>
      </w:tr>
      <w:tr>
        <w:trPr/>
        <w:tc>
          <w:tcPr>
            <w:tcW w:w="5435" w:type="dxa"/>
            <w:tcBorders/>
            <w:vAlign w:val="center"/>
          </w:tcPr>
          <w:p>
            <w:pPr>
              <w:pStyle w:val="TableContents"/>
              <w:bidi w:val="0"/>
              <w:spacing w:before="0" w:after="283"/>
              <w:jc w:val="left"/>
              <w:rPr/>
            </w:pPr>
            <w:r>
              <w:rPr/>
              <w:t>Geoffrey T. Ley</w:t>
            </w:r>
          </w:p>
        </w:tc>
      </w:tr>
      <w:tr>
        <w:trPr/>
        <w:tc>
          <w:tcPr>
            <w:tcW w:w="5435" w:type="dxa"/>
            <w:tcBorders/>
            <w:vAlign w:val="center"/>
          </w:tcPr>
          <w:p>
            <w:pPr>
              <w:pStyle w:val="TableContents"/>
              <w:bidi w:val="0"/>
              <w:spacing w:before="0" w:after="283"/>
              <w:jc w:val="left"/>
              <w:rPr/>
            </w:pPr>
            <w:r>
              <w:rPr/>
              <w:t>Senior Vice President, Corporate Planning and Treasurer</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283"/>
              <w:jc w:val="left"/>
              <w:rPr>
                <w:b/>
              </w:rPr>
            </w:pPr>
            <w:r>
              <w:rPr>
                <w:b/>
              </w:rPr>
              <w:t>Evergy Kansas Central, Inc.</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bottom w:val="single" w:sz="6" w:space="0" w:color="000000"/>
            </w:tcBorders>
            <w:tcMar>
              <w:bottom w:w="28" w:type="dxa"/>
            </w:tcMar>
            <w:vAlign w:val="center"/>
          </w:tcPr>
          <w:p>
            <w:pPr>
              <w:pStyle w:val="TableContents"/>
              <w:bidi w:val="0"/>
              <w:spacing w:before="0" w:after="283"/>
              <w:jc w:val="left"/>
              <w:rPr/>
            </w:pPr>
            <w:r>
              <w:rPr/>
              <w:t>/s/ Geoffrey T. Ley</w:t>
            </w:r>
          </w:p>
        </w:tc>
      </w:tr>
      <w:tr>
        <w:trPr/>
        <w:tc>
          <w:tcPr>
            <w:tcW w:w="5435" w:type="dxa"/>
            <w:tcBorders/>
            <w:vAlign w:val="center"/>
          </w:tcPr>
          <w:p>
            <w:pPr>
              <w:pStyle w:val="TableContents"/>
              <w:bidi w:val="0"/>
              <w:spacing w:before="0" w:after="283"/>
              <w:jc w:val="left"/>
              <w:rPr/>
            </w:pPr>
            <w:r>
              <w:rPr/>
              <w:t>Geoffrey T. Ley</w:t>
            </w:r>
          </w:p>
        </w:tc>
      </w:tr>
      <w:tr>
        <w:trPr/>
        <w:tc>
          <w:tcPr>
            <w:tcW w:w="5435" w:type="dxa"/>
            <w:tcBorders/>
            <w:vAlign w:val="center"/>
          </w:tcPr>
          <w:p>
            <w:pPr>
              <w:pStyle w:val="TableContents"/>
              <w:bidi w:val="0"/>
              <w:spacing w:before="0" w:after="283"/>
              <w:jc w:val="left"/>
              <w:rPr/>
            </w:pPr>
            <w:r>
              <w:rPr/>
              <w:t>Senior Vice President, Corporate Planning and Treasurer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16, 2026 </w:t>
      </w:r>
    </w:p>
    <w:p>
      <w:pPr>
        <w:pStyle w:val="TextBody"/>
        <w:bidi w:val="0"/>
        <w:spacing w:before="0" w:after="0"/>
        <w:jc w:val="right"/>
        <w:rPr>
          <w:rFonts w:ascii="Times New Roman" w:hAnsi="Times New Roman"/>
          <w:b/>
          <w:sz w:val="20"/>
        </w:rPr>
      </w:pPr>
      <w:bookmarkStart w:id="2" w:name="d504888dex11.htm"/>
      <w:bookmarkStart w:id="3" w:name="ksd504888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Executed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Kansas Central, Inc. </w:t>
      </w:r>
    </w:p>
    <w:p>
      <w:pPr>
        <w:pStyle w:val="TextBody"/>
        <w:bidi w:val="0"/>
        <w:spacing w:before="240" w:after="0"/>
        <w:jc w:val="center"/>
        <w:rPr>
          <w:rFonts w:ascii="Times New Roman" w:hAnsi="Times New Roman"/>
          <w:b/>
          <w:sz w:val="20"/>
        </w:rPr>
      </w:pPr>
      <w:r>
        <w:rPr>
          <w:rFonts w:ascii="Times New Roman" w:hAnsi="Times New Roman"/>
          <w:b/>
          <w:sz w:val="20"/>
        </w:rPr>
        <w:t xml:space="preserve">$350,000,000 </w:t>
      </w:r>
    </w:p>
    <w:p>
      <w:pPr>
        <w:pStyle w:val="TextBody"/>
        <w:bidi w:val="0"/>
        <w:spacing w:before="240" w:after="0"/>
        <w:jc w:val="center"/>
        <w:rPr>
          <w:rFonts w:ascii="Times New Roman" w:hAnsi="Times New Roman"/>
          <w:sz w:val="20"/>
        </w:rPr>
      </w:pPr>
      <w:r>
        <w:rPr>
          <w:rFonts w:ascii="Times New Roman" w:hAnsi="Times New Roman"/>
          <w:sz w:val="20"/>
        </w:rPr>
        <w:t xml:space="preserve">First Mortgage Bonds, 5.600% Series due 2034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September 10, 2026 </w:t>
      </w:r>
    </w:p>
    <w:p>
      <w:pPr>
        <w:pStyle w:val="TextBody"/>
        <w:bidi w:val="0"/>
        <w:spacing w:before="240" w:after="0"/>
        <w:jc w:val="center"/>
        <w:rPr>
          <w:rFonts w:ascii="Times New Roman" w:hAnsi="Times New Roman"/>
          <w:b/>
          <w:sz w:val="20"/>
        </w:rPr>
      </w:pPr>
      <w:r>
        <w:rPr>
          <w:rFonts w:ascii="Times New Roman" w:hAnsi="Times New Roman"/>
          <w:b/>
          <w:sz w:val="20"/>
        </w:rPr>
        <w:t xml:space="preserve">PNC Capital Markets LLC </w:t>
      </w:r>
    </w:p>
    <w:p>
      <w:pPr>
        <w:pStyle w:val="TextBody"/>
        <w:bidi w:val="0"/>
        <w:spacing w:before="0" w:after="0"/>
        <w:jc w:val="center"/>
        <w:rPr>
          <w:rFonts w:ascii="Times New Roman" w:hAnsi="Times New Roman"/>
          <w:b/>
          <w:sz w:val="20"/>
        </w:rPr>
      </w:pPr>
      <w:r>
        <w:rPr>
          <w:rFonts w:ascii="Times New Roman" w:hAnsi="Times New Roman"/>
          <w:b/>
          <w:sz w:val="20"/>
        </w:rPr>
        <w:t xml:space="preserve">RBC Capital Markets, LLC </w:t>
      </w:r>
    </w:p>
    <w:p>
      <w:pPr>
        <w:pStyle w:val="TextBody"/>
        <w:bidi w:val="0"/>
        <w:spacing w:before="0" w:after="0"/>
        <w:jc w:val="center"/>
        <w:rPr>
          <w:rFonts w:ascii="Times New Roman" w:hAnsi="Times New Roman"/>
          <w:b/>
          <w:sz w:val="20"/>
        </w:rPr>
      </w:pPr>
      <w:r>
        <w:rPr>
          <w:rFonts w:ascii="Times New Roman" w:hAnsi="Times New Roman"/>
          <w:b/>
          <w:sz w:val="20"/>
        </w:rPr>
        <w:t xml:space="preserve">Truist Securities, Inc. </w:t>
      </w:r>
    </w:p>
    <w:p>
      <w:pPr>
        <w:pStyle w:val="TextBody"/>
        <w:bidi w:val="0"/>
        <w:spacing w:before="0" w:after="0"/>
        <w:jc w:val="center"/>
        <w:rPr>
          <w:rFonts w:ascii="Times New Roman" w:hAnsi="Times New Roman"/>
          <w:b/>
          <w:sz w:val="20"/>
        </w:rPr>
      </w:pPr>
      <w:r>
        <w:rPr>
          <w:rFonts w:ascii="Times New Roman" w:hAnsi="Times New Roman"/>
          <w:b/>
          <w:sz w:val="20"/>
        </w:rPr>
        <w:t xml:space="preserve">U.S. Bancorp Investments,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September 10, 2026 </w:t>
      </w:r>
    </w:p>
    <w:p>
      <w:pPr>
        <w:pStyle w:val="TextBody"/>
        <w:bidi w:val="0"/>
        <w:spacing w:before="24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named in Schedule A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5"/>
        <w:gridCol w:w="120"/>
        <w:gridCol w:w="4910"/>
      </w:tblGrid>
      <w:tr>
        <w:trPr/>
        <w:tc>
          <w:tcPr>
            <w:tcW w:w="5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5175" w:type="dxa"/>
            <w:tcBorders/>
          </w:tcPr>
          <w:p>
            <w:pPr>
              <w:pStyle w:val="TableContents"/>
              <w:bidi w:val="0"/>
              <w:spacing w:before="0" w:after="0"/>
              <w:jc w:val="left"/>
              <w:rPr>
                <w:rFonts w:ascii="Times New Roman" w:hAnsi="Times New Roman"/>
                <w:sz w:val="20"/>
              </w:rPr>
            </w:pPr>
            <w:r>
              <w:rPr>
                <w:rFonts w:ascii="Times New Roman" w:hAnsi="Times New Roman"/>
                <w:sz w:val="20"/>
              </w:rPr>
              <w:t>c/o  PNC Capital Markets LLC</w:t>
            </w:r>
          </w:p>
          <w:p>
            <w:pPr>
              <w:pStyle w:val="TableContents"/>
              <w:bidi w:val="0"/>
              <w:spacing w:before="0" w:after="0"/>
              <w:jc w:val="left"/>
              <w:rPr>
                <w:rFonts w:ascii="Times New Roman" w:hAnsi="Times New Roman"/>
                <w:sz w:val="20"/>
              </w:rPr>
            </w:pPr>
            <w:r>
              <w:rPr>
                <w:rFonts w:ascii="Times New Roman" w:hAnsi="Times New Roman"/>
                <w:sz w:val="20"/>
              </w:rPr>
              <w:t>300 Fifth Avenue, 10th Floor</w:t>
            </w:r>
          </w:p>
          <w:p>
            <w:pPr>
              <w:pStyle w:val="TableContents"/>
              <w:bidi w:val="0"/>
              <w:spacing w:before="0" w:after="20"/>
              <w:jc w:val="left"/>
              <w:rPr>
                <w:rFonts w:ascii="Times New Roman" w:hAnsi="Times New Roman"/>
                <w:sz w:val="20"/>
              </w:rPr>
            </w:pPr>
            <w:r>
              <w:rPr>
                <w:rFonts w:ascii="Times New Roman" w:hAnsi="Times New Roman"/>
                <w:sz w:val="20"/>
              </w:rPr>
              <w:t>Pittsburgh, Pennsylvania 15222</w:t>
            </w:r>
          </w:p>
        </w:tc>
        <w:tc>
          <w:tcPr>
            <w:tcW w:w="120" w:type="dxa"/>
            <w:tcBorders/>
            <w:vAlign w:val="bottom"/>
          </w:tcPr>
          <w:p>
            <w:pPr>
              <w:pStyle w:val="TableContents"/>
              <w:bidi w:val="0"/>
              <w:spacing w:before="0" w:after="283"/>
              <w:jc w:val="left"/>
              <w:rPr/>
            </w:pPr>
            <w:r>
              <w:rPr/>
              <w:t>  </w:t>
            </w:r>
          </w:p>
        </w:tc>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c/o  Truist Securities, Inc.</w:t>
            </w:r>
          </w:p>
          <w:p>
            <w:pPr>
              <w:pStyle w:val="TableContents"/>
              <w:bidi w:val="0"/>
              <w:spacing w:before="0" w:after="0"/>
              <w:jc w:val="left"/>
              <w:rPr>
                <w:rFonts w:ascii="Times New Roman" w:hAnsi="Times New Roman"/>
                <w:sz w:val="20"/>
              </w:rPr>
            </w:pPr>
            <w:r>
              <w:rPr>
                <w:rFonts w:ascii="Times New Roman" w:hAnsi="Times New Roman"/>
                <w:sz w:val="20"/>
              </w:rPr>
              <w:t>50 Hudson Yards, 70th Floor</w:t>
            </w:r>
          </w:p>
          <w:p>
            <w:pPr>
              <w:pStyle w:val="TableContents"/>
              <w:bidi w:val="0"/>
              <w:spacing w:before="0" w:after="20"/>
              <w:jc w:val="left"/>
              <w:rPr>
                <w:rFonts w:ascii="Times New Roman" w:hAnsi="Times New Roman"/>
                <w:sz w:val="20"/>
              </w:rPr>
            </w:pPr>
            <w:r>
              <w:rPr>
                <w:rFonts w:ascii="Times New Roman" w:hAnsi="Times New Roman"/>
                <w:sz w:val="20"/>
              </w:rPr>
              <w:t>New York, New York 10001</w:t>
            </w:r>
          </w:p>
        </w:tc>
      </w:tr>
      <w:tr>
        <w:trPr>
          <w:trHeight w:val="120" w:hRule="atLeast"/>
        </w:trPr>
        <w:tc>
          <w:tcPr>
            <w:tcW w:w="5175"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5175" w:type="dxa"/>
            <w:tcBorders/>
          </w:tcPr>
          <w:p>
            <w:pPr>
              <w:pStyle w:val="TableContents"/>
              <w:bidi w:val="0"/>
              <w:spacing w:before="0" w:after="0"/>
              <w:jc w:val="left"/>
              <w:rPr>
                <w:rFonts w:ascii="Times New Roman" w:hAnsi="Times New Roman"/>
                <w:sz w:val="20"/>
              </w:rPr>
            </w:pPr>
            <w:r>
              <w:rPr>
                <w:rFonts w:ascii="Times New Roman" w:hAnsi="Times New Roman"/>
                <w:sz w:val="20"/>
              </w:rPr>
              <w:t>c/o  RBC Capital Markets, LLC</w:t>
            </w:r>
          </w:p>
          <w:p>
            <w:pPr>
              <w:pStyle w:val="TableContents"/>
              <w:bidi w:val="0"/>
              <w:spacing w:before="0" w:after="0"/>
              <w:jc w:val="left"/>
              <w:rPr>
                <w:rFonts w:ascii="Times New Roman" w:hAnsi="Times New Roman"/>
                <w:sz w:val="20"/>
              </w:rPr>
            </w:pPr>
            <w:r>
              <w:rPr>
                <w:rFonts w:ascii="Times New Roman" w:hAnsi="Times New Roman"/>
                <w:sz w:val="20"/>
              </w:rPr>
              <w:t>Brookfield Place</w:t>
            </w:r>
          </w:p>
          <w:p>
            <w:pPr>
              <w:pStyle w:val="TableContents"/>
              <w:bidi w:val="0"/>
              <w:spacing w:before="0" w:after="0"/>
              <w:jc w:val="left"/>
              <w:rPr>
                <w:rFonts w:ascii="Times New Roman" w:hAnsi="Times New Roman"/>
                <w:sz w:val="20"/>
              </w:rPr>
            </w:pPr>
            <w:r>
              <w:rPr>
                <w:rFonts w:ascii="Times New Roman" w:hAnsi="Times New Roman"/>
                <w:sz w:val="20"/>
              </w:rPr>
              <w:t>200 Vesey Street, 8th Floor</w:t>
            </w:r>
          </w:p>
          <w:p>
            <w:pPr>
              <w:pStyle w:val="TableContents"/>
              <w:bidi w:val="0"/>
              <w:spacing w:before="0" w:after="20"/>
              <w:jc w:val="left"/>
              <w:rPr>
                <w:rFonts w:ascii="Times New Roman" w:hAnsi="Times New Roman"/>
                <w:sz w:val="20"/>
              </w:rPr>
            </w:pPr>
            <w:r>
              <w:rPr>
                <w:rFonts w:ascii="Times New Roman" w:hAnsi="Times New Roman"/>
                <w:sz w:val="20"/>
              </w:rPr>
              <w:t>New York, New York 10281</w:t>
            </w:r>
          </w:p>
        </w:tc>
        <w:tc>
          <w:tcPr>
            <w:tcW w:w="120" w:type="dxa"/>
            <w:tcBorders/>
            <w:vAlign w:val="bottom"/>
          </w:tcPr>
          <w:p>
            <w:pPr>
              <w:pStyle w:val="TableContents"/>
              <w:bidi w:val="0"/>
              <w:spacing w:before="0" w:after="283"/>
              <w:jc w:val="left"/>
              <w:rPr/>
            </w:pPr>
            <w:r>
              <w:rPr/>
              <w:t>  </w:t>
            </w:r>
          </w:p>
        </w:tc>
        <w:tc>
          <w:tcPr>
            <w:tcW w:w="4910" w:type="dxa"/>
            <w:tcBorders/>
          </w:tcPr>
          <w:p>
            <w:pPr>
              <w:pStyle w:val="TableContents"/>
              <w:bidi w:val="0"/>
              <w:spacing w:before="0" w:after="0"/>
              <w:jc w:val="left"/>
              <w:rPr>
                <w:rFonts w:ascii="Times New Roman" w:hAnsi="Times New Roman"/>
                <w:sz w:val="20"/>
              </w:rPr>
            </w:pPr>
            <w:r>
              <w:rPr>
                <w:rFonts w:ascii="Times New Roman" w:hAnsi="Times New Roman"/>
                <w:sz w:val="20"/>
              </w:rPr>
              <w:t>c/o  U.S. Bancorp Investments, Inc.</w:t>
            </w:r>
          </w:p>
          <w:p>
            <w:pPr>
              <w:pStyle w:val="TableContents"/>
              <w:bidi w:val="0"/>
              <w:spacing w:before="0" w:after="0"/>
              <w:jc w:val="left"/>
              <w:rPr>
                <w:rFonts w:ascii="Times New Roman" w:hAnsi="Times New Roman"/>
                <w:sz w:val="20"/>
              </w:rPr>
            </w:pPr>
            <w:r>
              <w:rPr>
                <w:rFonts w:ascii="Times New Roman" w:hAnsi="Times New Roman"/>
                <w:sz w:val="20"/>
              </w:rPr>
              <w:t>214 North Tryon Street, 26th Floor</w:t>
            </w:r>
          </w:p>
          <w:p>
            <w:pPr>
              <w:pStyle w:val="TableContents"/>
              <w:bidi w:val="0"/>
              <w:spacing w:before="0" w:after="20"/>
              <w:jc w:val="left"/>
              <w:rPr>
                <w:rFonts w:ascii="Times New Roman" w:hAnsi="Times New Roman"/>
                <w:sz w:val="20"/>
              </w:rPr>
            </w:pPr>
            <w:r>
              <w:rPr>
                <w:rFonts w:ascii="Times New Roman" w:hAnsi="Times New Roman"/>
                <w:sz w:val="20"/>
              </w:rPr>
              <w:t>Charlotte, North Carolina 28202</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Evergy Kansas Central, Inc., a Kansas corporation (the “</w:t>
      </w:r>
      <w:r>
        <w:rPr>
          <w:rFonts w:ascii="Times New Roman" w:hAnsi="Times New Roman"/>
          <w:b/>
          <w:sz w:val="20"/>
        </w:rPr>
        <w:t>Company</w:t>
      </w:r>
      <w:r>
        <w:rPr>
          <w:rFonts w:ascii="Times New Roman" w:hAnsi="Times New Roman"/>
          <w:sz w:val="20"/>
        </w:rPr>
        <w:t>”), proposes to issue and sell to the several underwriters named in Schedule A hereto (the “</w:t>
      </w:r>
      <w:r>
        <w:rPr>
          <w:rFonts w:ascii="Times New Roman" w:hAnsi="Times New Roman"/>
          <w:b/>
          <w:sz w:val="20"/>
        </w:rPr>
        <w:t>Underwriters</w:t>
      </w:r>
      <w:r>
        <w:rPr>
          <w:rFonts w:ascii="Times New Roman" w:hAnsi="Times New Roman"/>
          <w:sz w:val="20"/>
        </w:rPr>
        <w:t>”), acting severally and not jointly, the respective amounts set forth in Schedule A hereto of $350,000,000 aggregate principal amount of the Company’s First Mortgage Bonds, 5.600% Series due 2034 (the “</w:t>
      </w:r>
      <w:r>
        <w:rPr>
          <w:rFonts w:ascii="Times New Roman" w:hAnsi="Times New Roman"/>
          <w:b/>
          <w:sz w:val="20"/>
        </w:rPr>
        <w:t>Bonds</w:t>
      </w:r>
      <w:r>
        <w:rPr>
          <w:rFonts w:ascii="Times New Roman" w:hAnsi="Times New Roman"/>
          <w:sz w:val="20"/>
        </w:rPr>
        <w:t>”). PNC Capital Markets LLC, RBC Capital Markets, LLC, Truist Securities, Inc. and U.S. Bancorp Investments, Inc.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Bonds. </w:t>
      </w:r>
    </w:p>
    <w:p>
      <w:pPr>
        <w:pStyle w:val="TextBody"/>
        <w:bidi w:val="0"/>
        <w:spacing w:before="240" w:after="0"/>
        <w:jc w:val="left"/>
        <w:rPr>
          <w:rFonts w:ascii="Times New Roman" w:hAnsi="Times New Roman"/>
          <w:sz w:val="20"/>
        </w:rPr>
      </w:pPr>
      <w:r>
        <w:rPr>
          <w:rFonts w:ascii="Times New Roman" w:hAnsi="Times New Roman"/>
          <w:sz w:val="20"/>
        </w:rPr>
        <w:t>The Bonds will be issued pursuant to and secured by the Mortgage and Deed of Trust, dated as of July 1, 1939, between the Company (formerly The Kansas Power and Light Company) and The Bank of New York Mellon Trust Company, N.A., as successor to Harris Trust and Savings Bank, as trustee (the “</w:t>
      </w:r>
      <w:r>
        <w:rPr>
          <w:rFonts w:ascii="Times New Roman" w:hAnsi="Times New Roman"/>
          <w:b/>
          <w:sz w:val="20"/>
        </w:rPr>
        <w:t>Trustee</w:t>
      </w:r>
      <w:r>
        <w:rPr>
          <w:rFonts w:ascii="Times New Roman" w:hAnsi="Times New Roman"/>
          <w:sz w:val="20"/>
        </w:rPr>
        <w:t>”), as amended or supplemented by fifty-five indentures supplemental thereto, in addition to the Forty-Second Supplemental (Reopening) Indenture and the Fifty-Third Supplemental (Reopening) Indenture (such Mortgage and Deed of Trust, as so amended or supplemented, the “</w:t>
      </w:r>
      <w:r>
        <w:rPr>
          <w:rFonts w:ascii="Times New Roman" w:hAnsi="Times New Roman"/>
          <w:b/>
          <w:sz w:val="20"/>
        </w:rPr>
        <w:t>Base</w:t>
      </w:r>
      <w:r>
        <w:rPr>
          <w:rFonts w:ascii="Times New Roman" w:hAnsi="Times New Roman"/>
          <w:sz w:val="20"/>
        </w:rPr>
        <w:t xml:space="preserve"> </w:t>
      </w:r>
      <w:r>
        <w:rPr>
          <w:rFonts w:ascii="Times New Roman" w:hAnsi="Times New Roman"/>
          <w:b/>
          <w:sz w:val="20"/>
        </w:rPr>
        <w:t>Mortgage</w:t>
      </w:r>
      <w:r>
        <w:rPr>
          <w:rFonts w:ascii="Times New Roman" w:hAnsi="Times New Roman"/>
          <w:sz w:val="20"/>
        </w:rPr>
        <w:t>”), and as to be further supplemented by the Fifty-Sixth Supplemental Indenture, to be dated as of the Closing Date (as such term is defined herein), with respect to the Bonds (the “</w:t>
      </w:r>
      <w:r>
        <w:rPr>
          <w:rFonts w:ascii="Times New Roman" w:hAnsi="Times New Roman"/>
          <w:b/>
          <w:sz w:val="20"/>
        </w:rPr>
        <w:t>Supplemental Indenture</w:t>
      </w:r>
      <w:r>
        <w:rPr>
          <w:rFonts w:ascii="Times New Roman" w:hAnsi="Times New Roman"/>
          <w:sz w:val="20"/>
        </w:rPr>
        <w:t>” and, together with the Base Mortgage, the “</w:t>
      </w:r>
      <w:r>
        <w:rPr>
          <w:rFonts w:ascii="Times New Roman" w:hAnsi="Times New Roman"/>
          <w:b/>
          <w:sz w:val="20"/>
        </w:rPr>
        <w:t>Mortgage Indenture</w:t>
      </w:r>
      <w:r>
        <w:rPr>
          <w:rFonts w:ascii="Times New Roman" w:hAnsi="Times New Roman"/>
          <w:sz w:val="20"/>
        </w:rPr>
        <w:t>”) in accordance with Article Fourteen of the Base Mortgage. The Bonds will be issued in book-entry form in the name of Cede &amp; Co., as nominee of The Depository Trust Company (the “</w:t>
      </w:r>
      <w:r>
        <w:rPr>
          <w:rFonts w:ascii="Times New Roman" w:hAnsi="Times New Roman"/>
          <w:b/>
          <w:sz w:val="20"/>
        </w:rPr>
        <w:t>Depositary</w:t>
      </w:r>
      <w:r>
        <w:rPr>
          <w:rFonts w:ascii="Times New Roman" w:hAnsi="Times New Roman"/>
          <w:sz w:val="20"/>
        </w:rPr>
        <w:t>”), pursuant to the Company’s Blanket Letter of Representations, dated April 8, 2020, to the Depositary (the “</w:t>
      </w:r>
      <w:r>
        <w:rPr>
          <w:rFonts w:ascii="Times New Roman" w:hAnsi="Times New Roman"/>
          <w:b/>
          <w:sz w:val="20"/>
        </w:rPr>
        <w:t>DTC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333-281614-02) to be used in connection with the public offering and sale of debt securities, including the Bonds, of the Company. Such registration statement,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including any required information deemed to be a part of the registration statement at the time of effectiveness pursuant to Rule 430B of the Securities Act (“</w:t>
      </w:r>
      <w:r>
        <w:rPr>
          <w:rFonts w:ascii="Times New Roman" w:hAnsi="Times New Roman"/>
          <w:b/>
          <w:sz w:val="20"/>
        </w:rPr>
        <w:t>Rule 430B</w:t>
      </w:r>
      <w:r>
        <w:rPr>
          <w:rFonts w:ascii="Times New Roman" w:hAnsi="Times New Roman"/>
          <w:sz w:val="20"/>
        </w:rPr>
        <w:t>”), is called the “</w:t>
      </w:r>
      <w:r>
        <w:rPr>
          <w:rFonts w:ascii="Times New Roman" w:hAnsi="Times New Roman"/>
          <w:b/>
          <w:sz w:val="20"/>
        </w:rPr>
        <w:t>Registration Statement</w:t>
      </w:r>
      <w:r>
        <w:rPr>
          <w:rFonts w:ascii="Times New Roman" w:hAnsi="Times New Roman"/>
          <w:sz w:val="20"/>
        </w:rPr>
        <w:t>.” The term “</w:t>
      </w:r>
      <w:r>
        <w:rPr>
          <w:rFonts w:ascii="Times New Roman" w:hAnsi="Times New Roman"/>
          <w:b/>
          <w:sz w:val="20"/>
        </w:rPr>
        <w:t>Base Prospectus</w:t>
      </w:r>
      <w:r>
        <w:rPr>
          <w:rFonts w:ascii="Times New Roman" w:hAnsi="Times New Roman"/>
          <w:sz w:val="20"/>
        </w:rPr>
        <w:t>” shall mean the base prospectus dated August 16, 2024 relating to the Bonds. The term “</w:t>
      </w:r>
      <w:r>
        <w:rPr>
          <w:rFonts w:ascii="Times New Roman" w:hAnsi="Times New Roman"/>
          <w:b/>
          <w:sz w:val="20"/>
        </w:rPr>
        <w:t>Preliminary Prospectus</w:t>
      </w:r>
      <w:r>
        <w:rPr>
          <w:rFonts w:ascii="Times New Roman" w:hAnsi="Times New Roman"/>
          <w:sz w:val="20"/>
        </w:rPr>
        <w:t>” shall mean any preliminary prospectus supplement relating to the Bonds, together with the Base Prospectus, that is filed with the Commission pursuant to Rule 424(b) of the Securities Act (“</w:t>
      </w:r>
      <w:r>
        <w:rPr>
          <w:rFonts w:ascii="Times New Roman" w:hAnsi="Times New Roman"/>
          <w:b/>
          <w:sz w:val="20"/>
        </w:rPr>
        <w:t>Rule 424(b)</w:t>
      </w:r>
      <w:r>
        <w:rPr>
          <w:rFonts w:ascii="Times New Roman" w:hAnsi="Times New Roman"/>
          <w:sz w:val="20"/>
        </w:rPr>
        <w:t>”). The term “</w:t>
      </w:r>
      <w:r>
        <w:rPr>
          <w:rFonts w:ascii="Times New Roman" w:hAnsi="Times New Roman"/>
          <w:b/>
          <w:sz w:val="20"/>
        </w:rPr>
        <w:t>Prospectus</w:t>
      </w:r>
      <w:r>
        <w:rPr>
          <w:rFonts w:ascii="Times New Roman" w:hAnsi="Times New Roman"/>
          <w:sz w:val="20"/>
        </w:rPr>
        <w:t>” shall mean the final prospectus supplement relating to the Bonds, together with the Base Prospectus, that is first filed pursuant to Rule 424(b) after the date and time that this Agreement is executed (the “</w:t>
      </w:r>
      <w:r>
        <w:rPr>
          <w:rFonts w:ascii="Times New Roman" w:hAnsi="Times New Roman"/>
          <w:b/>
          <w:sz w:val="20"/>
        </w:rPr>
        <w:t>Execution Time</w:t>
      </w:r>
      <w:r>
        <w:rPr>
          <w:rFonts w:ascii="Times New Roman" w:hAnsi="Times New Roman"/>
          <w:sz w:val="20"/>
        </w:rPr>
        <w:t>”) and delivered by the parties hereto. Any reference herein to the Registration Statement, any Preliminary Prospectus or the Prospectus shall be deemed to refer to and include the documents that are or are deemed to be incorporated by reference therein pursuant to Item 12 of Form S-3 of the Securities Act prior to 2:30 p.m. (Eastern time) on September 10, 2026 (the “</w:t>
      </w:r>
      <w:r>
        <w:rPr>
          <w:rFonts w:ascii="Times New Roman" w:hAnsi="Times New Roman"/>
          <w:b/>
          <w:sz w:val="20"/>
        </w:rPr>
        <w:t>Initial Sale Time</w:t>
      </w:r>
      <w:r>
        <w:rPr>
          <w:rFonts w:ascii="Times New Roman" w:hAnsi="Times New Roman"/>
          <w:sz w:val="20"/>
        </w:rPr>
        <w:t>”). All references in this Agreement to the Registration Statement, any Preliminary Prospectus, the Prospectus, or any amendments or supplements to any of the foregoing,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(a) financial statements and schedules and other information that is “contained,” “included” or “stated” (or other references of like import) in the Registration Statement, the Prospectus or any Preliminary Prospectus shall be deemed to mean and include all such financial statements and schedules and other information that is or is deemed to be incorporated by reference in the Registration Statement, the Prospectus or any Preliminary Prospectus, as the case may be, prior to the Initial Sale Time, (b) to amendments or supplements to the Registration Statement, the Prospectus or any Preliminary Prospectus shall be deemed to include the filing of any document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xml:space="preserve">”), which is or is deemed to be incorporated by reference in the Registration Statement, the Prospectus or any Preliminary Prospectus, as the case may be, after the Initial Sale Time, (c) the words “include” and “including” (and variations thereof) shall not be deemed to be terms of limitation, but rather shall be deemed to be followed by the words “without limitation” or “but not limited to” and (d) the word “or” shall not be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agreements with the Underwriters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hereby represents, warrants and covenants to each Underwriter as of the date hereof, as of the Initial Sale Time and as of the Closing Date (as such term is defined herein) (in each case, a “</w:t>
      </w:r>
      <w:r>
        <w:rPr>
          <w:rFonts w:ascii="Times New Roman" w:hAnsi="Times New Roman"/>
          <w:b/>
          <w:sz w:val="20"/>
        </w:rPr>
        <w:t>Representation</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Well-Known Seasoned Issuer</w:t>
      </w:r>
      <w:r>
        <w:rPr>
          <w:rFonts w:ascii="Times New Roman" w:hAnsi="Times New Roman"/>
          <w:sz w:val="20"/>
        </w:rPr>
        <w:t>. (i)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Securities Act) made any offer relating to the Bonds in reliance on the exemption of Rule 163 of the Securities Act, and (iv) as of the Execution Time (with such date being used as the determination date for purposes of this clause (iv)), the Company was and is a “well-known seasoned issuer” (as such term is defined in Rule 405 of the Securities Act (“</w:t>
      </w:r>
      <w:r>
        <w:rPr>
          <w:rFonts w:ascii="Times New Roman" w:hAnsi="Times New Roman"/>
          <w:b/>
          <w:sz w:val="20"/>
        </w:rPr>
        <w:t>Rule 405</w:t>
      </w:r>
      <w:r>
        <w:rPr>
          <w:rFonts w:ascii="Times New Roman" w:hAnsi="Times New Roman"/>
          <w:sz w:val="20"/>
        </w:rPr>
        <w:t>”)). The Registration Statement is an “automatic shelf registration statement” (as such term is defined in Rule 405), the Company has not received from the Commission any notice pursuant to Rule 401(g)(2) of the Securities Act (“</w:t>
      </w:r>
      <w:r>
        <w:rPr>
          <w:rFonts w:ascii="Times New Roman" w:hAnsi="Times New Roman"/>
          <w:b/>
          <w:sz w:val="20"/>
        </w:rPr>
        <w:t>Rule 401(g)(2)</w:t>
      </w:r>
      <w:r>
        <w:rPr>
          <w:rFonts w:ascii="Times New Roman" w:hAnsi="Times New Roman"/>
          <w:sz w:val="20"/>
        </w:rPr>
        <w:t xml:space="preserve">”) objecting to use of the automatic shelf registration statement form and the Company has not otherwise ceased to be eligible to use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Compliance with Registration Requirements. </w:t>
      </w:r>
      <w:r>
        <w:rPr>
          <w:rFonts w:ascii="Times New Roman" w:hAnsi="Times New Roman"/>
          <w:sz w:val="20"/>
        </w:rPr>
        <w:t>The Company meets the requirements for use of Form S-3 of the Securities Act and the Bonds have been duly registered under the Securities Act pursuant to the Registration Statement.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or threatened by the Commission, and any request on the part of the Commission for additional information has been complied with. The Registration Statement was initially filed with the Commission on August 16, 2024. In addition, the Mortgage Indenture has been duly qualified under the Trust Indenture Act of 1939, as amended, and the rules and regulations promulgated thereunder (the “</w:t>
      </w:r>
      <w:r>
        <w:rPr>
          <w:rFonts w:ascii="Times New Roman" w:hAnsi="Times New Roman"/>
          <w:b/>
          <w:sz w:val="20"/>
        </w:rPr>
        <w:t>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respective times the Registration Statement and any post-effective amendments thereto became effective and at each Representation Date, the Registration Statement and any amendments thereto (i) complied and will comply in all material respects with the requirements of the Securities Act and the Trust Indenture Act, and (ii)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Date,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Section 1(b) shall not apply to (A) that part of the Registration Statement that constitutes the Statement of Eligibility on Form T-1 of the Trustee under the Trust Indenture Act or (B) statements in or omissions from the Registration Statement or any post-effective amendment or the Prospectus or any amendments or supplements thereto made in reliance upon and in conformity with information furnished to the Company in writing by any Underwriter through the Representatives expressly for use therein, it being understood and agreed that the only such information furnished by any Underwriter consists of the information described as such in Section 7(b)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Preliminary Prospectus and the Prospectus, at the time each was filed with the Commission, complied in all material respects with the Securities Act, and each Preliminary Prospectus and the Prospectus delivered to the Underwriters for use in connection with the offering of the Bonds will, at the time of such delivery,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Disclosure Package. </w:t>
      </w:r>
      <w:r>
        <w:rPr>
          <w:rFonts w:ascii="Times New Roman" w:hAnsi="Times New Roman"/>
          <w:sz w:val="20"/>
        </w:rPr>
        <w:t>The term “</w:t>
      </w:r>
      <w:r>
        <w:rPr>
          <w:rFonts w:ascii="Times New Roman" w:hAnsi="Times New Roman"/>
          <w:b/>
          <w:sz w:val="20"/>
        </w:rPr>
        <w:t>Disclosure Package</w:t>
      </w:r>
      <w:r>
        <w:rPr>
          <w:rFonts w:ascii="Times New Roman" w:hAnsi="Times New Roman"/>
          <w:sz w:val="20"/>
        </w:rPr>
        <w:t>” shall mean (i) the Preliminary Prospectus dated September 10, 2026, (ii) each Issuer Free Writing Prospectus (as such term is defined below) identified as an “Issuer General Use Free Writing Prospectus” in Annex I hereto (each, an “</w:t>
      </w:r>
      <w:r>
        <w:rPr>
          <w:rFonts w:ascii="Times New Roman" w:hAnsi="Times New Roman"/>
          <w:b/>
          <w:sz w:val="20"/>
        </w:rPr>
        <w:t>Issuer General Use Free Writing Prospectus</w:t>
      </w:r>
      <w:r>
        <w:rPr>
          <w:rFonts w:ascii="Times New Roman" w:hAnsi="Times New Roman"/>
          <w:sz w:val="20"/>
        </w:rPr>
        <w:t>”) and (iii) any other free writing prospectus that the parties hereto shall hereafter expressly agree in writing to treat as part of the Disclosure Package. The term “</w:t>
      </w:r>
      <w:r>
        <w:rPr>
          <w:rFonts w:ascii="Times New Roman" w:hAnsi="Times New Roman"/>
          <w:b/>
          <w:sz w:val="20"/>
        </w:rPr>
        <w:t>Issuer Free Writing Prospectus</w:t>
      </w:r>
      <w:r>
        <w:rPr>
          <w:rFonts w:ascii="Times New Roman" w:hAnsi="Times New Roman"/>
          <w:sz w:val="20"/>
        </w:rPr>
        <w:t>” shall mean any “issuer free writing prospectus” (as such term is defined in Rule 433 of the Securities Act (“</w:t>
      </w:r>
      <w:r>
        <w:rPr>
          <w:rFonts w:ascii="Times New Roman" w:hAnsi="Times New Roman"/>
          <w:b/>
          <w:sz w:val="20"/>
        </w:rPr>
        <w:t>Rule 433</w:t>
      </w:r>
      <w:r>
        <w:rPr>
          <w:rFonts w:ascii="Times New Roman" w:hAnsi="Times New Roman"/>
          <w:sz w:val="20"/>
        </w:rPr>
        <w:t>”)) relating to the Bonds that (A) is required to be filed with the Commission by the Company or (B) is a “road show that is a written communication” within the meaning of Rule 433(d)(8)(i), whether or not required to be filed with the Commission, in each case in the form filed or required to be filed with the Commission or, if not required to be so filed, in the form retained in the Company’s records pursuant to Rule 433(g). The term “</w:t>
      </w:r>
      <w:r>
        <w:rPr>
          <w:rFonts w:ascii="Times New Roman" w:hAnsi="Times New Roman"/>
          <w:b/>
          <w:sz w:val="20"/>
        </w:rPr>
        <w:t>Issuer Limited Use Free Writing Prospectus</w:t>
      </w:r>
      <w:r>
        <w:rPr>
          <w:rFonts w:ascii="Times New Roman" w:hAnsi="Times New Roman"/>
          <w:sz w:val="20"/>
        </w:rPr>
        <w:t xml:space="preserve">” shall mean any Issuer Free Writing Prospectus that is not an Issuer General Use Free Writing Prospectus as identified in Annex I hereto. At the Initial Sale Time, neither (1) the Disclosure Package nor (2) any individual Issuer Limited Use Free Writing Prospectus, when considered with the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Disclosure Package or any Issuer Limited Use Free Writing Prospectus based upon and in conformity with information furnished to the Company in writing by any Underwriter through the Representatives specifically for use therein, it being understood and agreed that the only such information furnished by or on behalf of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Incorporated Documents</w:t>
      </w:r>
      <w:r>
        <w:rPr>
          <w:rFonts w:ascii="Times New Roman" w:hAnsi="Times New Roman"/>
          <w:sz w:val="20"/>
        </w:rPr>
        <w:t xml:space="preserve">. The documents incorporated or deemed to be incorporated by reference in the Registration Statement, any Preliminary Prospectus and the Prospectus (i) at the time they were or hereafter are filed with the Commission, complied or will comply in all material respects with the requirements of the Exchange Act and (ii) when read together with the other information in the Disclosure Package, at the Initial Sale Time,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 an Ineligible Issuer</w:t>
      </w:r>
      <w:r>
        <w:rPr>
          <w:rFonts w:ascii="Times New Roman" w:hAnsi="Times New Roman"/>
          <w:sz w:val="20"/>
        </w:rPr>
        <w:t xml:space="preserve">. (i) At the earliest time after the filing of the Registration Statement that the Company or another offering participant makes a </w:t>
      </w:r>
      <w:r>
        <w:rPr>
          <w:rFonts w:ascii="Times New Roman" w:hAnsi="Times New Roman"/>
          <w:i/>
          <w:sz w:val="20"/>
        </w:rPr>
        <w:t>bona fide</w:t>
      </w:r>
      <w:r>
        <w:rPr>
          <w:rFonts w:ascii="Times New Roman" w:hAnsi="Times New Roman"/>
          <w:sz w:val="20"/>
        </w:rPr>
        <w:t xml:space="preserve"> offer (within the meaning of Rule 164(h)(2) of the Securities Act) of the Bonds and (ii) as of the Execution Time (with such date being used as the determination date for purposes of this clause (ii)), the Company was not or is not an “ineligible issuer” (as such term is defined in Rule 405), without taking account of any determination by the Commission pursuant to Rule 405 that it is not necessary that the Company be considered such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Issuer Free Writing Prospectuses</w:t>
      </w:r>
      <w:r>
        <w:rPr>
          <w:rFonts w:ascii="Times New Roman" w:hAnsi="Times New Roman"/>
          <w:sz w:val="20"/>
        </w:rPr>
        <w:t xml:space="preserve">. Each Issuer Free Writing Prospectus, as of its issue date and at all subsequent times through the completion of the public offering and sale of Bonds or until any earlier date that the Company notified or notifies the Representatives as described in the next sentence, did not, does not and will not include any information that conflicted, conflicts or will conflict with the information contained in the Registration Statement, any Preliminary Prospectus or the Prospectus.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the Company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information furnished to the Company in writing by any Underwriter through the Representatives specifically for use therein,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Applicable Registration or Other Similar Rights. </w:t>
      </w:r>
      <w:r>
        <w:rPr>
          <w:rFonts w:ascii="Times New Roman" w:hAnsi="Times New Roman"/>
          <w:sz w:val="20"/>
        </w:rPr>
        <w:t xml:space="preserve">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Due Incorporation and Qualification</w:t>
      </w:r>
      <w:r>
        <w:rPr>
          <w:rFonts w:ascii="Times New Roman" w:hAnsi="Times New Roman"/>
          <w:sz w:val="20"/>
        </w:rPr>
        <w:t xml:space="preserve">. The Company has been duly incorporated and is validly existing as a corporation in good standing under the laws of the state of Kansas with corporate power and authority to own, lease and operate its properties and to conduct its business as described in the Disclosure Package and the Prospectus and to enter into and perform its obligations under this Agreement, the Mortgage Indenture and the Bonds; and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and be in good standing would not result in a Material Adverse Change (as such term is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Subsidiaries</w:t>
      </w:r>
      <w:r>
        <w:rPr>
          <w:rFonts w:ascii="Times New Roman" w:hAnsi="Times New Roman"/>
          <w:sz w:val="20"/>
        </w:rPr>
        <w:t>. Evergy Kansas South, Inc. (the “</w:t>
      </w:r>
      <w:r>
        <w:rPr>
          <w:rFonts w:ascii="Times New Roman" w:hAnsi="Times New Roman"/>
          <w:b/>
          <w:sz w:val="20"/>
        </w:rPr>
        <w:t>Subsidiary</w:t>
      </w:r>
      <w:r>
        <w:rPr>
          <w:rFonts w:ascii="Times New Roman" w:hAnsi="Times New Roman"/>
          <w:sz w:val="20"/>
        </w:rPr>
        <w:t xml:space="preserve">”) is a “significant subsidiary” (as such term is defined in Rule 1-02 of the Commission’s Regulation S-X) of the Company. The Subsidiary has been duly incorporated and is validly existing as a corporation in good standing under the laws of its jurisdiction of incorporation, has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are owned directly by the Company free and clear of any security interest, mortgage, pledge, lien, encumbrance, claim or equity; and none of the outstanding shares of capital stock of the Subsidiary was issued in violation of preemptive or other similar rights of any securityholder of the Subsidiary. The Company has no other “significant subsidiaries” (as such term is defined in Rule 1-02 of the Commission’s Regulation S-X) other than the Subsidiary.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Capitalization</w:t>
      </w:r>
      <w:r>
        <w:rPr>
          <w:rFonts w:ascii="Times New Roman" w:hAnsi="Times New Roman"/>
          <w:sz w:val="20"/>
        </w:rPr>
        <w:t xml:space="preserve">. The authorized, issued and outstanding capital stock of the Company is as set forth in the Disclosure Package and the Prospectus. 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Accountants</w:t>
      </w:r>
      <w:r>
        <w:rPr>
          <w:rFonts w:ascii="Times New Roman" w:hAnsi="Times New Roman"/>
          <w:sz w:val="20"/>
        </w:rPr>
        <w:t xml:space="preserve">. The accountants who issued their reports on the financial statements of the Company included or incorporated by reference in the Disclosure Package and the Prospectus are an independent registered public accounting firm with respect to the Company, as required by the Securities Act, the Exchange Act and the Public Company Accounting Oversight Board (United States).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Statements</w:t>
      </w:r>
      <w:r>
        <w:rPr>
          <w:rFonts w:ascii="Times New Roman" w:hAnsi="Times New Roman"/>
          <w:sz w:val="20"/>
        </w:rPr>
        <w:t>. The financial statements and any supporting schedules of the Company included or incorporated by reference in the Registration Statement, the Disclosure Package and the Prospectus present fairly, in all material respects, the financial position of the Company as of the dates indicated and the results of its operations and cash flows for the periods specified; except as stated therein, such financial statements have been prepared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and any supporting schedules included in the Registration Statement present fairly, in all material respects, the information required to be stated therein. The selected financial data and the summary financial information included or incorporated by reference in the Disclosure Package and the Prospectus present fairly, in accordance with GAAP, the information shown therein and have been compiled on a basis consistent with that of the audited financial statements included or incorporated by reference in the Registration Statement,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Authorization of the Underwriting Agreement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Authorization of the Mortgage Indenture</w:t>
      </w:r>
      <w:r>
        <w:rPr>
          <w:rFonts w:ascii="Times New Roman" w:hAnsi="Times New Roman"/>
          <w:sz w:val="20"/>
        </w:rPr>
        <w:t xml:space="preserve">. The Mortgage Indenture has been duly qualified under the Trust Indenture Act and has been duly authorized; the Base Mortgage has been and, at the Closing Date, the Supplemental Indenture will be duly executed and delivered by the Company; and the Base Mortgage constitutes and, at the Closing Date, the Mortgage Indenture will constitute a valid and binding obligation of the Company, enforceable against the Company in accordance with its terms, except as the enforcement thereof may be limited by bankruptcy, insolvency, reorganization, moratorium or similar laws relating to or affecting enforcement of mortgagees’ or other creditors’ rights generally and except as enforcement thereof is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 principles of equity (regardless of whether enforcement is considered in a proceeding in equity or at law); </w:t>
      </w:r>
      <w:r>
        <w:rPr>
          <w:rFonts w:ascii="Times New Roman" w:hAnsi="Times New Roman"/>
          <w:i/>
          <w:sz w:val="20"/>
        </w:rPr>
        <w:t>provided</w:t>
      </w:r>
      <w:r>
        <w:rPr>
          <w:rFonts w:ascii="Times New Roman" w:hAnsi="Times New Roman"/>
          <w:sz w:val="20"/>
        </w:rPr>
        <w:t xml:space="preserve">, however, that certain remedial provisions of the Mortgage Indenture may not be enforceable, but such unenforceability will not render the Mortgage Indenture invalid as a whole or affect the judicial enforcement of (i) the obligation of the Company to repay the principal of the Bonds, together with the interest and any premium thereon, as provided in the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Accurate Tax Disclosure</w:t>
      </w:r>
      <w:r>
        <w:rPr>
          <w:rFonts w:ascii="Times New Roman" w:hAnsi="Times New Roman"/>
          <w:sz w:val="20"/>
        </w:rPr>
        <w:t xml:space="preserve">. The factual statements set forth in the Disclosure Package and the Prospectus under the caption “Material U.S. Federal Income Tax Considerations” are accurate in all material respects and fairly present the information provided.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Authorization of the Bonds. </w:t>
      </w:r>
      <w:r>
        <w:rPr>
          <w:rFonts w:ascii="Times New Roman" w:hAnsi="Times New Roman"/>
          <w:sz w:val="20"/>
        </w:rPr>
        <w:t xml:space="preserve">The Bonds to be purchased by the Underwriters from the Company are in the form contemplated by the Mortgage Indenture, have been duly authorized for issuance and sale pursuant to this Agreement and the Mortgage Indenture and, at the Closing Date, will have been duly executed by the Company and, when authenticated in the manner provided for in the Mortgage Indenture and delivered against payment of the purchase price therefor, will be validly issued and delivered and will constitute valid and binding obligations of the Company, enforceable in accordance with their terms, except as the enforcement thereof may be limited by bankruptcy, insolvency, reorganization, moratorium or similar laws relating to or affecting enforcement of mortgagees’ or other creditors’ rights generally and except as enforcement thereof is subject to general principles of equity (regardless of whether enforcement is considered in a proceeding in equity or at law) and will be entitled to the benefits of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Recordation of the Mortgage Indenture</w:t>
      </w:r>
      <w:r>
        <w:rPr>
          <w:rFonts w:ascii="Times New Roman" w:hAnsi="Times New Roman"/>
          <w:sz w:val="20"/>
        </w:rPr>
        <w:t xml:space="preserve">. The Mortgage Indenture (not including the Supplemental Indenture) has been duly recorded and filed in each place in which such recording or filing is required to establish, protect and preserve the lien of the Mortgage Indenture on the Mortgaged Property (as such term is defined in the Mortgage Indenture), and all taxes and recording or filing fees required to be paid in connection with the execution, recording or filing of the Mortgage Indenture (not including the Supplemental Indenture) have been duly paid.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Title to Property</w:t>
      </w:r>
      <w:r>
        <w:rPr>
          <w:rFonts w:ascii="Times New Roman" w:hAnsi="Times New Roman"/>
          <w:sz w:val="20"/>
        </w:rPr>
        <w:t xml:space="preserve">. Except as to property acquired subsequent to the execution and delivery of the Supplemental Indenture, the Company has good and sufficient title to, or a satisfactory easement in, the Mortgaged Property (except such property as may have been disposed of or released from the lien thereof in accordance with the terms thereof), subject only to (i) the lien of the Mortgage Indenture, (ii) exceptions and reservations specifically set forth therein, (iii) Permitted Liens (as such term is defined in the Mortgage Indenture), (iv) leases and minor liens of judgments not prior to the lien of the Mortgage Indenture that do not interfere with the Company’s business, (v) defects, irregularities and deficiencies in titles of properties and rights-of-way that do not materially impair the use of such property and rights-of-way for the purposes for which they are held by the Company and (vi) matters specified in the Disclosure Package and the Prospectus under the caption “Description of First Mortgage Bonds—Priority and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Lien of the Mortgage Indenture</w:t>
      </w:r>
      <w:r>
        <w:rPr>
          <w:rFonts w:ascii="Times New Roman" w:hAnsi="Times New Roman"/>
          <w:sz w:val="20"/>
        </w:rPr>
        <w:t xml:space="preserve">. The Mortgage Indenture, subject only to the qualifications set forth in Section 1(r) hereof and to such other matters as do not materially affect the security for the Bonds, constitutes a valid, direct first mortgage lien upon the Mortgaged Property, and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Permitted Liens and such other exceptions as are permitted by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Description of the Bonds and the Mortgage Indenture.</w:t>
      </w:r>
      <w:r>
        <w:rPr>
          <w:rFonts w:ascii="Times New Roman" w:hAnsi="Times New Roman"/>
          <w:sz w:val="20"/>
        </w:rPr>
        <w:t xml:space="preserve"> The Bonds and the Mortgage Indenture conform in all material respects to the descriptions thereof contained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Material Changes or Material Transactions</w:t>
      </w:r>
      <w:r>
        <w:rPr>
          <w:rFonts w:ascii="Times New Roman" w:hAnsi="Times New Roman"/>
          <w:sz w:val="20"/>
        </w:rPr>
        <w:t>. Since the respective dates as of which information is given in the Registration Statement, the Disclosure Package and the Prospectus, except as may otherwise be stated therein or contemplated thereby, (i)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b/>
          <w:sz w:val="20"/>
        </w:rPr>
        <w:t>Material Adverse Change</w:t>
      </w:r>
      <w:r>
        <w:rPr>
          <w:rFonts w:ascii="Times New Roman" w:hAnsi="Times New Roman"/>
          <w:sz w:val="20"/>
        </w:rPr>
        <w:t xml:space="preserve">”), and (ii) there have been no transactions entered into by the Company and its subsidiaries considered as one enterprise (other than those in the ordinary course of business) that are material with respect to the Company and its subsidiaries considered as one enterprise.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 Defaults</w:t>
      </w:r>
      <w:r>
        <w:rPr>
          <w:rFonts w:ascii="Times New Roman" w:hAnsi="Times New Roman"/>
          <w:sz w:val="20"/>
        </w:rPr>
        <w:t>. Neither the Company nor the Subsidiary is in violation of its articles of incorporation, charter or by-laws. Except as would not, individually or in the aggregate, reasonably be expected to result in a Material Adverse Change, neither the Company nor the Subsidiary is in default in the performance or observance of any obligation, agreement, covenant or condition contained in any contract, indenture, mortgage, loan agreement, note, lease or other instrument to which the Company or the Subsidiary is a party or by which it or any of them may be bound, or to which any of the property or assets of the Company or the Subsidiary is subject (each, an “</w:t>
      </w:r>
      <w:r>
        <w:rPr>
          <w:rFonts w:ascii="Times New Roman" w:hAnsi="Times New Roman"/>
          <w:b/>
          <w:sz w:val="20"/>
        </w:rPr>
        <w:t>Agreement or Instrument</w:t>
      </w:r>
      <w:r>
        <w:rPr>
          <w:rFonts w:ascii="Times New Roman" w:hAnsi="Times New Roman"/>
          <w:sz w:val="20"/>
        </w:rPr>
        <w:t>” and, collectively, the “</w:t>
      </w:r>
      <w:r>
        <w:rPr>
          <w:rFonts w:ascii="Times New Roman" w:hAnsi="Times New Roman"/>
          <w:b/>
          <w:sz w:val="20"/>
        </w:rPr>
        <w:t>Agreements and Instruments</w:t>
      </w:r>
      <w:r>
        <w:rPr>
          <w:rFonts w:ascii="Times New Roman" w:hAnsi="Times New Roman"/>
          <w:sz w:val="20"/>
        </w:rPr>
        <w:t xml:space="preserve">”). The execution and delivery of this Agreement, the Mortgage Indenture and the Bonds and the consummation of the transactions contemplated herein and therein have been duly authorized by all necessary corporate action and do not and will not conflict with or constitute a breach of, or default under, or result in the creation or imposition of any lien, charge or encumbrance (except pursuant to the terms of the Mortgage Indenture) upon any property or assets of the Company or the Subsidiary pursuant to, any material Agreements and Instruments, nor will such action result in any violation of the provisions of the articles of incorporation, charter or by-laws, as they may be then amended or in effect, of the Company or the Subsidiary or any applicable law, administrative regulation or administrative or court order or decree.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Regulatory Approvals</w:t>
      </w:r>
      <w:r>
        <w:rPr>
          <w:rFonts w:ascii="Times New Roman" w:hAnsi="Times New Roman"/>
          <w:sz w:val="20"/>
        </w:rPr>
        <w:t xml:space="preserve">. The Company has obtained all necessary consents, orders or approvals in connection with the issuance and sale of the Bonds, and no consent, approval, authorization, order or decree of any other court or governmental agency or body is required for the consummation by the Company of the transactions contemplated by this Agreement, except such as may be required under state securities or blue sky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Legal Proceedings; Contracts</w:t>
      </w:r>
      <w:r>
        <w:rPr>
          <w:rFonts w:ascii="Times New Roman" w:hAnsi="Times New Roman"/>
          <w:sz w:val="20"/>
        </w:rPr>
        <w:t xml:space="preserve">. Except as may be set forth, incorporated or deemed incorporated by reference in the Disclosure Package and the Prospectus, there is no action, suit or proceeding before or by any court or governmental agency or body, domestic or foreign, now pending, or, to the knowledge of the Company, threatened against or affecting, the Company or its subsidiaries that would reasonably be expected to result in any Material Adverse Change, or might materially and adversely affect its properties or assets or would reasonably be expected to materially and adversely affect the consummation of the transactions contemplated by this Agreement; and there are no contracts or documents that are required to be filed as exhibits to the Registration Statement by the Securities Act that have not been so filed.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Franchises</w:t>
      </w:r>
      <w:r>
        <w:rPr>
          <w:rFonts w:ascii="Times New Roman" w:hAnsi="Times New Roman"/>
          <w:sz w:val="20"/>
        </w:rPr>
        <w:t xml:space="preserve">. The Company and the Subsidiary hold, to the extent required, valid and subsisting franchises, certificates of convenience and authority, licenses and permits authorizing them to carry on the regulated utility businesses in which they are engaged in the territories from which substantially all of the Company’s consolidated gross operating revenue is derived, except where the failure to hold such franchises, certificates of convenience and authority, licenses and permits would not result in a Material Adverse Change. Neither the Company nor the Subsidiary has received any notice of proceedings relating to the revocation or modification of any such franchise, certificate of convenience and authority, license or permit that, individually or in the aggregate, if the subject of an unfavorable decision, ruling or finding, would reasonably be expected to result in a Material Adverse Change, except as set forth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Environmental Laws</w:t>
      </w:r>
      <w:r>
        <w:rPr>
          <w:rFonts w:ascii="Times New Roman" w:hAnsi="Times New Roman"/>
          <w:sz w:val="20"/>
        </w:rPr>
        <w:t>. Except as described, incorporated or deemed incorporated by reference in the Disclosure Package and the Prospectus, and except as would not, individually or in the aggregate, reasonably be expected to result in a Material Adverse Change, (i) neither the Company nor the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ambient air, surface water, groundwater, land surface or subsurface strata) or wildlife, including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the Subsidiary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the Subsidiary and (iv) there are no events or circumstances that would reasonably be expected to form the basis of an order for clean-up or remediation, or an action, suit or proceeding by any private party or governmental body or agency, against or affecting the Company or the Subsidiary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Investment Company Act</w:t>
      </w:r>
      <w:r>
        <w:rPr>
          <w:rFonts w:ascii="Times New Roman" w:hAnsi="Times New Roman"/>
          <w:sz w:val="20"/>
        </w:rPr>
        <w:t xml:space="preserve">. The Company is not and, upon the issuance and sale of the Bonds as contemplated herein and the application of the net proceeds thereof as described in the Disclosure Package and the Prospectus, will not be, required to register as an “investment company” under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ERISA</w:t>
      </w:r>
      <w:r>
        <w:rPr>
          <w:rFonts w:ascii="Times New Roman" w:hAnsi="Times New Roman"/>
          <w:sz w:val="20"/>
        </w:rPr>
        <w:t>. The Company and the Subsidiary are in compliance in all material respects with all presently applicable provisions of the Employee Retirement Income Security Act of 1974, as amended, including the regulations and published interpretations thereunder (“</w:t>
      </w:r>
      <w:r>
        <w:rPr>
          <w:rFonts w:ascii="Times New Roman" w:hAnsi="Times New Roman"/>
          <w:b/>
          <w:sz w:val="20"/>
        </w:rPr>
        <w:t>ERISA</w:t>
      </w:r>
      <w:r>
        <w:rPr>
          <w:rFonts w:ascii="Times New Roman" w:hAnsi="Times New Roman"/>
          <w:sz w:val="20"/>
        </w:rPr>
        <w:t>”); no “reportable event” (as such term is defined in ERISA) has occurred with respect to any “pension plan” (as such term is defined in ERISA) for which the Company or the Subsidiary would have any material liability; the Company and the Subsidiary have not incurred and do not expect to incur any material liability under (i) Title IV of ERISA with respect to the termination of, or withdrawal from, any “pension plan” or (ii) Section 412 or 4971 of the Internal Revenue Code of 1986, as amended, including the regulations and published interpretations thereunder (the “</w:t>
      </w:r>
      <w:r>
        <w:rPr>
          <w:rFonts w:ascii="Times New Roman" w:hAnsi="Times New Roman"/>
          <w:b/>
          <w:sz w:val="20"/>
        </w:rPr>
        <w:t>Code</w:t>
      </w:r>
      <w:r>
        <w:rPr>
          <w:rFonts w:ascii="Times New Roman" w:hAnsi="Times New Roman"/>
          <w:sz w:val="20"/>
        </w:rPr>
        <w:t xml:space="preserve">”); and each “pension plan” for which the Company or the Subsidiary would have any liability that is intended to be qualified under Section 401(a) of the Code is so qualified in all material respects and nothing has occurred, whether by action or by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Insurance</w:t>
      </w:r>
      <w:r>
        <w:rPr>
          <w:rFonts w:ascii="Times New Roman" w:hAnsi="Times New Roman"/>
          <w:sz w:val="20"/>
        </w:rPr>
        <w:t xml:space="preserve">. The Company and the Subsidiary carry, or are covered by, insurance in such amounts and covering such risks as is adequate for the conduct of their respective businesses and the value of their respective properties.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Taxes</w:t>
      </w:r>
      <w:r>
        <w:rPr>
          <w:rFonts w:ascii="Times New Roman" w:hAnsi="Times New Roman"/>
          <w:sz w:val="20"/>
        </w:rPr>
        <w:t xml:space="preserve">. The Company and the Subsidiary have filed all federal, state and local income and franchise tax returns required to be filed through the date hereof and have paid all taxes due thereon, except such as are being contested in good faith by appropriate proceedings or for which an extension has been requested, and no tax deficiency has been determined adversely to the Company or the Subsidiary that has had, nor does the Company have any knowledge of any tax deficiency that, if determined adversely to the Company or the Subsidiary, would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Internal Controls</w:t>
      </w:r>
      <w:r>
        <w:rPr>
          <w:rFonts w:ascii="Times New Roman" w:hAnsi="Times New Roman"/>
          <w:sz w:val="20"/>
        </w:rPr>
        <w:t xml:space="preserve">. Each of the Company and the Subsidiary (i) makes and keeps accurate books and records and (ii) maintains internal accounting controls that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 Except as described in the Disclosure Package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Sarbanes-Oxley</w:t>
      </w:r>
      <w:r>
        <w:rPr>
          <w:rFonts w:ascii="Times New Roman" w:hAnsi="Times New Roman"/>
          <w:sz w:val="20"/>
        </w:rPr>
        <w:t xml:space="preserve">. The Company is in compliance, in all material respects, with all applicable provisions of the Sarbanes-Oxley Act of 2002 and the rules and regulations promulgated in connection therewith, including Section 402 related to loans, and the requirement that the Company and its consolidated subsidiaries maintain the following, among other,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(i) a system of “internal accounting controls” as contemplated in Section 13(b)(2)(B)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“disclosure controls and procedures” (as such term is defined in Rule 13a-15(e)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“internal control over financial reporting” (as such term is defined in Rule 13a-15(f)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Pending Proceedings and Examinations</w:t>
      </w:r>
      <w:r>
        <w:rPr>
          <w:rFonts w:ascii="Times New Roman" w:hAnsi="Times New Roman"/>
          <w:sz w:val="20"/>
        </w:rPr>
        <w:t xml:space="preserve">. The Company has not received notice from the Commission that the Registration Statement is the subject of a pending proceeding or examination under Section 8(d) or 8(e) of the Securities Act, and the Company is not the subject of a pending proceeding under Section 8A of the Securities Act in connection with the offering of the Bonds.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Ratings</w:t>
      </w:r>
      <w:r>
        <w:rPr>
          <w:rFonts w:ascii="Times New Roman" w:hAnsi="Times New Roman"/>
          <w:sz w:val="20"/>
        </w:rPr>
        <w:t xml:space="preserve">. The Bonds will be rated as described in the Final Term Sheet (as such term is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Foreign Corrupt Practices Act</w:t>
      </w:r>
      <w:r>
        <w:rPr>
          <w:rFonts w:ascii="Times New Roman" w:hAnsi="Times New Roman"/>
          <w:sz w:val="20"/>
        </w:rPr>
        <w:t xml:space="preserve">. None of the Company, the Subsidiary nor, to the knowledge of the Company, any director, officer, agent, employee, affiliate or other person associated with or acting on behalf of the Company or the Subsidiary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as amended, (iv) violated or is in violation of any provision of the Bribery Act 2010 of the United Kingdom or (v) made any bribe, rebate, payoff, influence payment, kickback or other unlawful payment.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Money Laundering Laws</w:t>
      </w:r>
      <w:r>
        <w:rPr>
          <w:rFonts w:ascii="Times New Roman" w:hAnsi="Times New Roman"/>
          <w:sz w:val="20"/>
        </w:rPr>
        <w:t>. The operations of the Company, the Subsidiary and, to the knowledge of the Company, its other subsidiaries are and have been conducted at all times in compliance with the requirements of applicable anti-money laundering laws, including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the Subsidiary or, to the knowledge of the Company, any of its other subsidiaries with respect to the Money Laundering Laws is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OFAC</w:t>
      </w:r>
      <w:r>
        <w:rPr>
          <w:rFonts w:ascii="Times New Roman" w:hAnsi="Times New Roman"/>
          <w:sz w:val="20"/>
        </w:rPr>
        <w:t>. None of the Company, the Subsidiary nor, to the knowledge of the Company, any director, officer, agent, employee or affiliate of the Company or the Subsidiary is currently the subject or the target of any sanctions administered or enforced by the U.S. Government, including the Office of Foreign Assets Control of the U.S. Department of the Treasury (“</w:t>
      </w:r>
      <w:r>
        <w:rPr>
          <w:rFonts w:ascii="Times New Roman" w:hAnsi="Times New Roman"/>
          <w:b/>
          <w:sz w:val="20"/>
        </w:rPr>
        <w:t>OFAC</w:t>
      </w:r>
      <w:r>
        <w:rPr>
          <w:rFonts w:ascii="Times New Roman" w:hAnsi="Times New Roman"/>
          <w:sz w:val="20"/>
        </w:rPr>
        <w:t>”), or other relevant sanctions authority (collectively, “</w:t>
      </w:r>
      <w:r>
        <w:rPr>
          <w:rFonts w:ascii="Times New Roman" w:hAnsi="Times New Roman"/>
          <w:b/>
          <w:sz w:val="20"/>
        </w:rPr>
        <w:t>Sanctions</w:t>
      </w:r>
      <w:r>
        <w:rPr>
          <w:rFonts w:ascii="Times New Roman" w:hAnsi="Times New Roman"/>
          <w:sz w:val="20"/>
        </w:rPr>
        <w:t xml:space="preserve">”), and the Company will not directly or indirectly use the proceeds of the offering of the Bonds hereunder, or lend, contribute or otherwise make available such proceeds to the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Cybersecurity</w:t>
      </w:r>
      <w:r>
        <w:rPr>
          <w:rFonts w:ascii="Times New Roman" w:hAnsi="Times New Roman"/>
          <w:sz w:val="20"/>
        </w:rPr>
        <w:t>. (i) (A) Except as disclosed in the Registration Statement, the Disclosure Package and the Prospectus, there has been no security breach or other compromise of or relating to any of the Company’s or the Subsidiary’s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b/>
          <w:sz w:val="20"/>
        </w:rPr>
        <w:t>IT Systems and Data</w:t>
      </w:r>
      <w:r>
        <w:rPr>
          <w:rFonts w:ascii="Times New Roman" w:hAnsi="Times New Roman"/>
          <w:sz w:val="20"/>
        </w:rPr>
        <w:t xml:space="preserve">”) and (B) the Company and the Subsidiary have not been notified of, and have no knowledge of any event or condition that would reasonably be expected to result in, any security breach or other compromise to their IT Systems and Data, except as would not, in the case of this clause (i), reasonably be expected to result in a Material Adverse Change; (ii) the Company and the Subsidiary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reasonably be expected to result in a Material Adverse Change; and (iii) the Company and the Subsidiary have implemented backup and disaster recovery technology reasonably consistent with industry standards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director or officer of the Company and delivered to the Underwriters or to counsel for the Underwriters shall be deemed a representation and warranty by the Company to the Underwriters as to the matters covered thereby on the date of such certificate and, unless subsequently amended or supplemented, at each Representation Date subsequent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Purchase, Sale and Delivery of the Bonds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The Bonds</w:t>
      </w:r>
      <w:r>
        <w:rPr>
          <w:rFonts w:ascii="Times New Roman" w:hAnsi="Times New Roman"/>
          <w:sz w:val="20"/>
        </w:rPr>
        <w:t xml:space="preserve">. The Company agrees to issue and sell to the several Underwriters, severally and not jointly, all of the Bonds upon the terms herein set forth. On the basis of the representations, warranties and agreements herein contained, and upon the terms but subject to the conditions herein set forth, the Underwriters agree, severally and not jointly, to purchase from the Company the aggregate principal amount of Bonds set forth opposite their names on Schedule A hereto, plus any additional principal amount of Bonds that such Underwriter may become obligated to purchase pursuant to Section 9 hereof, at a purchase price of 99.336% of the principal amount of the Bonds, payable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The Closing Date. </w:t>
      </w:r>
      <w:r>
        <w:rPr>
          <w:rFonts w:ascii="Times New Roman" w:hAnsi="Times New Roman"/>
          <w:sz w:val="20"/>
        </w:rPr>
        <w:t>Delivery of one or more certificates for the Bonds in global form to be purchased by the Underwriters and payment therefor shall be made at the offices of Bracewell LLP, 31 West 52nd Street, New York, New York (or such other place as may be agreed to by the Company and the Representatives) at 10:00 a.m., New York City time, on September 16, 2026, or such other time and date as the Underwriters and the Company shall mutually agree (the time and date of such closing are called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Public Offering</w:t>
      </w:r>
      <w:r>
        <w:rPr>
          <w:rFonts w:ascii="Times New Roman" w:hAnsi="Times New Roman"/>
          <w:sz w:val="20"/>
        </w:rPr>
        <w:t xml:space="preserve"> </w:t>
      </w:r>
      <w:r>
        <w:rPr>
          <w:rFonts w:ascii="Times New Roman" w:hAnsi="Times New Roman"/>
          <w:i/>
          <w:sz w:val="20"/>
        </w:rPr>
        <w:t xml:space="preserve">of the Bonds. </w:t>
      </w:r>
      <w:r>
        <w:rPr>
          <w:rFonts w:ascii="Times New Roman" w:hAnsi="Times New Roman"/>
          <w:sz w:val="20"/>
        </w:rPr>
        <w:t xml:space="preserve">The Representatives hereby advise the Company that the Underwriters intend to offer for sale to the public, as described in the Disclosure Package and the Prospectus, their respective portions of the Bonds as soon after this Agreement has been executed as the Representatives, in their sole judgment, have determined is advisable and practicable.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Payment for the Bonds. </w:t>
      </w:r>
      <w:r>
        <w:rPr>
          <w:rFonts w:ascii="Times New Roman" w:hAnsi="Times New Roman"/>
          <w:sz w:val="20"/>
        </w:rPr>
        <w:t xml:space="preserve">Payment for the Bonds shall be made at the Closing Date by wire transfer of immediately available funds to the order of the Company. It is understood that the Representatives have been authorized, for their own accounts and for the accounts of the several Underwriters, to accept delivery of and receipt for, and make payment of the purchase price for, the Bonds that the Underwriters have agreed to purchase. The Representatives may (but shall not be obligated to) make payment for any Bonds to be purchased by any Underwriter whose funds shall not have been received by the Representatives by the Closing Date for the account of such Underwriter, but any such payment shall not relieve such Underwriter from any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Delivery of the Bonds. </w:t>
      </w:r>
      <w:r>
        <w:rPr>
          <w:rFonts w:ascii="Times New Roman" w:hAnsi="Times New Roman"/>
          <w:sz w:val="20"/>
        </w:rPr>
        <w:t xml:space="preserve">The Company shall deliver, or cause to be delivered, to the Representatives for the accounts of the several Underwriters through the facilities of the Depositary one or more certificates for the Bonds at the Closing Date, against the irrevocable release of a wire transfer of immediately available funds for the amount of the purchase price therefor. The certificate for the Bonds shall be a definitive global certificate in book-entry form for clearance through the Depositary. Time shall be of the essence, and delivery at the time and place specified in this Agreement is a further condition to the obligations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Compliance with Securities Regulations and Commission Requests. </w:t>
      </w:r>
      <w:r>
        <w:rPr>
          <w:rFonts w:ascii="Times New Roman" w:hAnsi="Times New Roman"/>
          <w:sz w:val="20"/>
        </w:rPr>
        <w:t xml:space="preserve">The Company, subject to Section 3(b) hereof, will comply with the requirements of Rule 430B, and will promptly notify the Representatives, and confirm the notice in writing, of (i) the effectiveness during the Prospectus Delivery Period (as such term is defined herein) of any post-effective amendment to the Registration Statement or the filing of any supplement or amendment to any Preliminary Prospectus or the Prospectus, (ii) the receipt of any comments from the Commission during the Prospectus Delivery Period, (iii) any request by the Commission for any amendment to the Registration Statement or any amendment or supplement to any Preliminary Prospectus or the Prospectus or for additional information and (iv) the issuance by the Commission of any stop order suspending the effectiveness of the Registration Statement or of any order preventing or suspending the use of any Preliminary Prospectus or the Prospectus, or of the suspension of the qualification of the Bonds for offering or sale in any jurisdiction, or of the initiation or threatening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proceedings for any of such purposes. The Company will promptly effect the filings necessary pursuant to Rule 424(b) and will take such steps as it deems necessary to ascertain promptly whether any Preliminary Prospectus and the Prospectus transmitted for filing under Rule 424(b) was received for filing by the Commission and, in the event that it was not, it will promptly file such document. The Company will use every reasonable effort to prevent the issuance of any stop order and, if any stop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Representatives</w:t>
      </w:r>
      <w:r>
        <w:rPr>
          <w:rFonts w:ascii="Times New Roman" w:hAnsi="Times New Roman"/>
          <w:sz w:val="20"/>
        </w:rPr>
        <w:t xml:space="preserve">’ </w:t>
      </w:r>
      <w:r>
        <w:rPr>
          <w:rFonts w:ascii="Times New Roman" w:hAnsi="Times New Roman"/>
          <w:i/>
          <w:sz w:val="20"/>
        </w:rPr>
        <w:t xml:space="preserve">Review of Proposed Amendments and Supplements. </w:t>
      </w:r>
      <w:r>
        <w:rPr>
          <w:rFonts w:ascii="Times New Roman" w:hAnsi="Times New Roman"/>
          <w:sz w:val="20"/>
        </w:rPr>
        <w:t>During the period beginning on the date of this Agreement and ending on the later of the Closing Date or such date, as in the opinion of counsel for the Underwriters, a prospectus relating to the Bonds is no longer required by law to be delivered in connection with sales of the Bonds by an Underwriter or dealer, including in circumstances where such requirement may be satisfied pursuant to Rule 172 of the Securities Act (the “</w:t>
      </w:r>
      <w:r>
        <w:rPr>
          <w:rFonts w:ascii="Times New Roman" w:hAnsi="Times New Roman"/>
          <w:b/>
          <w:sz w:val="20"/>
        </w:rPr>
        <w:t>Prospectus Delivery Period</w:t>
      </w:r>
      <w:r>
        <w:rPr>
          <w:rFonts w:ascii="Times New Roman" w:hAnsi="Times New Roman"/>
          <w:sz w:val="20"/>
        </w:rPr>
        <w:t xml:space="preserve">”), prior to amending or supplementing the Registration Statement, the Disclosure Package or the Prospectus (including any amendment or supplement through incorporation by reference of any report filed under the Exchange Act), the Company shall furnish, within a reasonable time prior to filing such amendment or supplement, to the Representatives for review a copy of each such proposed amendment or supplement, and the Company shall not file or use any such proposed amendment or supplement (except for any amendment or supplement filed under the Exchange Act after the Closing Date)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Delivery of Registration Statements. </w:t>
      </w:r>
      <w:r>
        <w:rPr>
          <w:rFonts w:ascii="Times New Roman" w:hAnsi="Times New Roman"/>
          <w:sz w:val="20"/>
        </w:rPr>
        <w:t xml:space="preserve">If requested, the Company will furnish or deliver to the Representatives and counsel for the Underwriters, without charge, copies of the Registration Statement as originally filed and of each amendment thereto (including exhibits filed therewith or incorporated by reference therein and documents incorporated or deemed to be incorporated by reference therein) and copies of all consents and certificates of experts, and will also deliver to the Representatives, without charge, a conformed copy of the Registration Statement as originally filed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Delivery of Prospectuses. </w:t>
      </w:r>
      <w:r>
        <w:rPr>
          <w:rFonts w:ascii="Times New Roman" w:hAnsi="Times New Roman"/>
          <w:sz w:val="20"/>
        </w:rPr>
        <w:t xml:space="preserve">The Company will deliver to each Underwriter, without charge, as many copies of each Preliminary Prospectus as such Underwriter may reasonably request, and the Company hereby consents to the use of such copies for purposes permitted by the Securities Act. The Company will furnish to each Underwriter, without charge, during the Prospectus Delivery Period, such number of copies of the Prospectus as such Underwriter may reasonably request. Each Preliminary Prospectus and the Prospectus and any amendments or supplements thereto furnished to the Underwriters will be identical to any electronically transmitted copies thereof filed with the Commission pursuant to EDGAR, except to the extent permitted by the Commission’s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Continued Compliance with Securities Laws</w:t>
      </w:r>
      <w:r>
        <w:rPr>
          <w:rFonts w:ascii="Times New Roman" w:hAnsi="Times New Roman"/>
          <w:sz w:val="20"/>
        </w:rPr>
        <w:t xml:space="preserve">. The Company will comply with the Securities Act and the Exchange Act so as to permit the completion of the distribution of the Bonds as contemplated in this Agreement and the Prospectus. If, at any time during the Prospectus Delivery Period, any event shall occur or condition shall exist as a result of which it is necessary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in the light of the circumstances existing at the Initial Sale Time or at the time it is delivered or conveyed to a purchaser, not misleading, or if it shall be necessary at any such time to amend the Registration Statement or amend or supplement the Disclosure Package or the Prospectus in order to comply with the requirements of the Securities Act, the Company will (i) notify the Representatives of any such event, development or condition, (ii) promptly prepare and file with the Commission, subject to Section 3(b) hereof, such amendment or supplement (including by filing under the Exchange Act any document incorporated by reference in the Disclosure Package or the Prospectus) as may be necessary to correct such statement or omission or to make the Registration Statement, the Disclosure Package or the Prospectus comply with such requirements and (iii) the Company will furnish to the Underwriters, without charge, such number of copies of such amendment or supplement to the Disclosure Package or the Prospectus as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Blue Sky Compliance. </w:t>
      </w:r>
      <w:r>
        <w:rPr>
          <w:rFonts w:ascii="Times New Roman" w:hAnsi="Times New Roman"/>
          <w:sz w:val="20"/>
        </w:rPr>
        <w:t xml:space="preserve">The Company shall cooperate with the Representatives and counsel for the Underwriters to qualify or register the Bonds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Bonds. The Company shall not be required to qualify to transact business or to take any action that would subject it to general service of process in any such jurisdiction where it is not presently qualified or where it would be subject to taxation as a foreign business. The Company will advise the Representatives promptly of the suspension of the qualification or registration of (or any such exemption relating to) the Bonds for offering, sale or trading in any jurisdiction or any initiation or threat of any proceeding for any such purpose, and in the event of the issuance of any order suspending such qualification, registration or exemption, the Company shall use every reasonable effort to obtain the withdrawal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Use of Proceeds. </w:t>
      </w:r>
      <w:r>
        <w:rPr>
          <w:rFonts w:ascii="Times New Roman" w:hAnsi="Times New Roman"/>
          <w:sz w:val="20"/>
        </w:rPr>
        <w:t xml:space="preserve">The Company shall apply the net proceeds from the sale of the Bonds sold by it in the manner described under the caption “Use of Proceeds” in each of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Depositary. </w:t>
      </w:r>
      <w:r>
        <w:rPr>
          <w:rFonts w:ascii="Times New Roman" w:hAnsi="Times New Roman"/>
          <w:sz w:val="20"/>
        </w:rPr>
        <w:t xml:space="preserve">The Company will cooperate with the Underwriters and use every reasonable effort to permit the Bonds to be eligible for clearance and settlement through the facilities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Periodic Reporting Obligations. </w:t>
      </w:r>
      <w:r>
        <w:rPr>
          <w:rFonts w:ascii="Times New Roman" w:hAnsi="Times New Roman"/>
          <w:sz w:val="20"/>
        </w:rPr>
        <w:t xml:space="preserve">During the Prospectus Delivery Period and subject to Section 3(b) hereof, the Company shall file, on a timely basis, with the Commission all reports and documents required to be filed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Agreement Not to Offer or Sell Additional Securities. </w:t>
      </w:r>
      <w:r>
        <w:rPr>
          <w:rFonts w:ascii="Times New Roman" w:hAnsi="Times New Roman"/>
          <w:sz w:val="20"/>
        </w:rPr>
        <w:t xml:space="preserve">During the period commencing on the date hereof and ending on the Closing Date, the Company will not, without the prior written consent of the Representatives (which consent may be withheld at the sole discretion of the Representatives), directly or indirectly, sell, offer, contract or grant any option to sell, transfer or establish an open “put equivalent position” within the meaning of Rule 16a-1(h) of the Exchange Act, or otherwise dispose of or transfer, or announce the offering of, or file any registration statement under the Securities Act in respect of, any debt securities of the Company similar to the Bonds or securities exchangeable for or convertible into debt securities similar to the Bonds, other than as contemplated by this Agreement with respect to the Bonds.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Final Term Sheet</w:t>
      </w:r>
      <w:r>
        <w:rPr>
          <w:rFonts w:ascii="Times New Roman" w:hAnsi="Times New Roman"/>
          <w:sz w:val="20"/>
        </w:rPr>
        <w:t>. The Company will prepare a final term sheet containing only a description of the Bonds, in substantially the form previously agreed to by the Company and the Representatives, and will file such term sheet pursuant to Rule 433(d) within the time required by Rule 433 (the “</w:t>
      </w:r>
      <w:r>
        <w:rPr>
          <w:rFonts w:ascii="Times New Roman" w:hAnsi="Times New Roman"/>
          <w:b/>
          <w:sz w:val="20"/>
        </w:rPr>
        <w:t>Final Term Sheet</w:t>
      </w:r>
      <w:r>
        <w:rPr>
          <w:rFonts w:ascii="Times New Roman" w:hAnsi="Times New Roman"/>
          <w:sz w:val="20"/>
        </w:rPr>
        <w:t xml:space="preserve">”). The Final Term Sheet is an Issuer Free Writing Prospectus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Permitted Free Writing Prospectuses</w:t>
      </w:r>
      <w:r>
        <w:rPr>
          <w:rFonts w:ascii="Times New Roman" w:hAnsi="Times New Roman"/>
          <w:sz w:val="20"/>
        </w:rPr>
        <w:t>. The Company represents that it has not made, and agrees that, unless it obtains the prior written consent of the Representatives, and each Underwriter, severally and not jointly, represents that it has not made, and agrees with the Company that, unless it obtains the prior written consent of the Company, it will not make, any offer relating to the Bonds that would constitute an “issuer free writing prospectus” or that would otherwise constitute a “free writing prospectus” (as such terms are defined in Rule 405) required to be filed by the Company with the Commission or retained by the Company under Rule 433; provided that the prior written consent of the Representatives shall be deemed to have been given in respect of the Issuer General Use Free Writing Prospectuses and the Issuer Limited Use Free Writing Prospectuses identified in Annex I hereto. Any such free writing prospectus consented to by the Representatives is hereinafter referred to as a “</w:t>
      </w:r>
      <w:r>
        <w:rPr>
          <w:rFonts w:ascii="Times New Roman" w:hAnsi="Times New Roman"/>
          <w:b/>
          <w:sz w:val="20"/>
        </w:rPr>
        <w:t>Permitted Free Writing Prospectus</w:t>
      </w:r>
      <w:r>
        <w:rPr>
          <w:rFonts w:ascii="Times New Roman" w:hAnsi="Times New Roman"/>
          <w:sz w:val="20"/>
        </w:rPr>
        <w:t xml:space="preserve">.” The Company agrees that it has (i) treated and will treat, as the case may be, each Permitted Free Writing Prospectus as an Issuer Free Writing Prospectus and (ii) complied and will comply, as the case may be, with the requirements of Rules 164 and 433 of the Securities Act applicable to any Permitted Free Writing Prospectus, including in respect of timely filing with the Commission, legending and record keeping.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Notice of Inability to Use Automatic Shelf Registration Statement Form.</w:t>
      </w:r>
      <w:r>
        <w:rPr>
          <w:rFonts w:ascii="Times New Roman" w:hAnsi="Times New Roman"/>
          <w:sz w:val="20"/>
        </w:rPr>
        <w:t xml:space="preserve"> If at any time during the Prospectus Delivery Period the Company 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Bonds, in a form satisfactory to the Representatives, (iii) use its best efforts to cause such registration statement or post-effective amendment to be declared effective and (iv) promptly notify the Representatives of such effectiveness. The Company will take all other action necessary or appropriate to permit the public offering and sale of the Bonds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Registration Statement Renewal Deadline.</w:t>
      </w:r>
      <w:r>
        <w:rPr>
          <w:rFonts w:ascii="Times New Roman" w:hAnsi="Times New Roman"/>
          <w:sz w:val="20"/>
        </w:rPr>
        <w:t xml:space="preserve"> If immediately prior to the third anniversary (the “</w:t>
      </w:r>
      <w:r>
        <w:rPr>
          <w:rFonts w:ascii="Times New Roman" w:hAnsi="Times New Roman"/>
          <w:b/>
          <w:sz w:val="20"/>
        </w:rPr>
        <w:t>Renewal Deadline</w:t>
      </w:r>
      <w:r>
        <w:rPr>
          <w:rFonts w:ascii="Times New Roman" w:hAnsi="Times New Roman"/>
          <w:sz w:val="20"/>
        </w:rPr>
        <w:t xml:space="preserve">”) of the initial effective date of the Registration Statement, any of the Bonds remain unsold by the Underwriters, the Company will prior to the Renewal Deadline file, if it has not already done so and is eligible to do so, a new automatic shelf registration statement relating to the Bonds, in a form satisfactory to the Representatives. If the Company is no longer eligible to file an automatic shelf registration statement, the Company will prior to the Renewal Deadline, if it has not already done so, file a new shelf registration statement relating to the Bonds, in a form satisfactory to the Representatives, and will use its best efforts to cause such registration statement to be declared effective within 60 days after the Renewal Deadline. The Company will take all other action necessary or appropriate to permit the public offering and sale of the Bonds to continue as contemplated in the expired registration statement relating to the Bonds.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Filing Fees</w:t>
      </w:r>
      <w:r>
        <w:rPr>
          <w:rFonts w:ascii="Times New Roman" w:hAnsi="Times New Roman"/>
          <w:sz w:val="20"/>
        </w:rPr>
        <w:t xml:space="preserve">. The Company agrees to pay the required Commission filing fees relating to the Bonds within the time required by Rule 456(b)(1) of the Securities Act without regard to the proviso therein and otherwise in accordance with Rules 456(b) and 457(r)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Manipulation of Price. </w:t>
      </w:r>
      <w:r>
        <w:rPr>
          <w:rFonts w:ascii="Times New Roman" w:hAnsi="Times New Roman"/>
          <w:sz w:val="20"/>
        </w:rPr>
        <w:t xml:space="preserve">The Company will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Bonds.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Earning Statement</w:t>
      </w:r>
      <w:r>
        <w:rPr>
          <w:rFonts w:ascii="Times New Roman" w:hAnsi="Times New Roman"/>
          <w:sz w:val="20"/>
        </w:rPr>
        <w:t xml:space="preserve">. The Company will make generally available to the Company’s security holders and to the Representatives as soon as practicable an earning statement covering a period of at least twelve months beginning with the first fiscal quarter of the Company occurring after the date of this Agreement that will satisfy the provisions of Section 11(a)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of any one or more of the foregoing covenants or extend the time for their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i/>
          <w:sz w:val="20"/>
        </w:rPr>
        <w:t xml:space="preserve">. </w:t>
      </w:r>
      <w:r>
        <w:rPr>
          <w:rFonts w:ascii="Times New Roman" w:hAnsi="Times New Roman"/>
          <w:sz w:val="20"/>
        </w:rPr>
        <w:t xml:space="preserve">The Company agrees to pay all costs, fees and expenses incurred in connection with the performance of its obligations hereunder and in connection with the transactions contemplated hereby, including (i) all expenses incident to the issuance and delivery of the Bonds (including all printing and engraving costs), (ii) all necessary issue, transfer and other stamp taxes in connection with the issuance and sale of the Bonds to the Underwriters, (iii) all fees and expenses of the Company’s counsel, independent public or certified public accountants and other advisors to the Company, (iv) all costs and expenses incurred in connection with the preparation, printing, filing, shipping and distribution of the Registration Statement (including financial statements, exhibits, schedules, consents and certificates of experts), each Issuer Free Writing Prospectus, each Preliminary Prospectus and the Prospectus, and all amendments and supplements thereto, and this Agreement, the Mortgage Indenture, the DTC Agreement and the Bonds, (v) all filing fees, reasonable attorneys’ fees and expenses incurred by the Company or the Underwriters in connection with qualifying or registering (or obtaining exemptions from the qualification or registration of) all or any part of the Bonds for offer and sale under the state securities or blue sky laws, and, if requested by the Representatives, preparing a “Blue Sky Survey” or memorandum, and any supplements thereto, advising the Underwriters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qualifications, registrations and exemptions, (vi) the filing fees incident to, and the reasonable fees and disbursements of counsel to the Underwriters in connection with, the review, if any, by the Financial Industry Regulatory Authority, Inc. (“</w:t>
      </w:r>
      <w:r>
        <w:rPr>
          <w:rFonts w:ascii="Times New Roman" w:hAnsi="Times New Roman"/>
          <w:b/>
          <w:sz w:val="20"/>
        </w:rPr>
        <w:t>FINRA</w:t>
      </w:r>
      <w:r>
        <w:rPr>
          <w:rFonts w:ascii="Times New Roman" w:hAnsi="Times New Roman"/>
          <w:sz w:val="20"/>
        </w:rPr>
        <w:t xml:space="preserve">”) of the terms of the sale of the Bonds, (vii) the fees and expenses of the Trustee, including the reasonable fees and disbursements of counsel for the Trustee in connection with the Mortgage Indenture and the Bonds, (viii) any fees payable in connection with the rating of the Bonds with the ratings agencies, (ix) all fees and expenses (including reasonable fees and expenses of counsel) of the Company in connection with approval of the Bonds by the Depositary for “book-entry” transfer, (x) all other applicable fees, costs and expenses referred to in Item 14 of Part II of the Registration Statement, (xi) all reasonable out-of-pocket expenses incurred by the Representatives with respect to any road show, including expenses relating to slide production, internet road show taping and travel, and (xii) all other fees, costs and expenses incurred in connection with the performance of its obligations hereunder for which provision is not otherwise made in this Section 4. Except as provided in this Section 4, Section 6, Section 7 and Section 8 hereof, the Underwriters shall pay their own expenses, including the fees and disbursements of their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Obligations of the Underwriters</w:t>
      </w:r>
      <w:r>
        <w:rPr>
          <w:rFonts w:ascii="Times New Roman" w:hAnsi="Times New Roman"/>
          <w:sz w:val="20"/>
        </w:rPr>
        <w:t xml:space="preserve">. The obligations of the several Underwriters to purchase and pay for the Bonds as provided herein on the Closing Date shall be subject to the accuracy of the representations and warranties on the part of the Company set forth in Section 1 hereof as of each Representation Date as though then made and to the timely performance by the Company of its covenants and other obligations hereunder, and to each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shall remain effective under the Securities Act and no stop order suspending the effectiveness of the Registration Statement shall have been issued under the Securities Act and no proceedings for that purpose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objecting to use of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Filings under Rule 424(b) and Rule 433. </w:t>
      </w:r>
      <w:r>
        <w:rPr>
          <w:rFonts w:ascii="Times New Roman" w:hAnsi="Times New Roman"/>
          <w:sz w:val="20"/>
        </w:rPr>
        <w:t xml:space="preserve">For the period from the Execution Time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filed any Preliminary Prospectus not previously filed and the Prospectus with the Commission (including the information required by Rule 430B) in the manner and within the time period required by Rule 424(b) (or the Company shall have filed a post-effective amendment to the Registration Statement containing the information required by Rule 430B, and such post-effective amendment shall have become effective); and </w:t>
      </w:r>
    </w:p>
    <w:p>
      <w:pPr>
        <w:pStyle w:val="TextBody"/>
        <w:bidi w:val="0"/>
        <w:spacing w:before="120" w:after="0"/>
        <w:jc w:val="left"/>
        <w:rPr>
          <w:rFonts w:ascii="Times New Roman" w:hAnsi="Times New Roman"/>
          <w:sz w:val="20"/>
        </w:rPr>
      </w:pPr>
      <w:r>
        <w:rPr>
          <w:rFonts w:ascii="Times New Roman" w:hAnsi="Times New Roman"/>
          <w:sz w:val="20"/>
        </w:rPr>
        <w:t xml:space="preserve">(ii) the Final Term Sheet and any other material required to be filed by the Company pursuant to Rule 433(d) shall have been filed with the Commission within the applicable time periods prescribed for such filings under Rule 433.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Accountants</w:t>
      </w:r>
      <w:r>
        <w:rPr>
          <w:rFonts w:ascii="Times New Roman" w:hAnsi="Times New Roman"/>
          <w:sz w:val="20"/>
        </w:rPr>
        <w:t xml:space="preserve">’ </w:t>
      </w:r>
      <w:r>
        <w:rPr>
          <w:rFonts w:ascii="Times New Roman" w:hAnsi="Times New Roman"/>
          <w:i/>
          <w:sz w:val="20"/>
        </w:rPr>
        <w:t xml:space="preserve">Comfort Letter. </w:t>
      </w:r>
      <w:r>
        <w:rPr>
          <w:rFonts w:ascii="Times New Roman" w:hAnsi="Times New Roman"/>
          <w:sz w:val="20"/>
        </w:rPr>
        <w:t xml:space="preserve">On the date hereof, the Representatives shall have received from Deloitte &amp; Touche LLP, independent public or certified public accountants for the Company, a letter dated the date hereof addressed to the Underwriters, in form and substance satisfactory to the Representatives with respect to the audited and any unaudited consolidated financial statements and certain financial information of the Company included or incorporated by reference in the Registration Statement, any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Bring-down Comfort Letter</w:t>
      </w:r>
      <w:r>
        <w:rPr>
          <w:rFonts w:ascii="Times New Roman" w:hAnsi="Times New Roman"/>
          <w:sz w:val="20"/>
        </w:rPr>
        <w:t xml:space="preserve">. On the Closing Date, the Representatives shall have received from Deloitte &amp; Touche LLP, independent public or certified public accountants for the Company, a letter dated such date, in form and substance satisfactory to the Representatives, to the effect that they reaffirm the statements made in the letter furnished by them pursuant to Section 5(c) hereof, except that the specified date referred to therein for the carrying out of procedures shall be no more than two business days prior to the Closing Date and in any case no earlier than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Material Adverse Change or Ratings Agency Change. </w:t>
      </w:r>
      <w:r>
        <w:rPr>
          <w:rFonts w:ascii="Times New Roman" w:hAnsi="Times New Roman"/>
          <w:sz w:val="20"/>
        </w:rPr>
        <w:t xml:space="preserve">For the period from the Execution Time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in the judgment of the Representatives, there shall not have occurred any Material Adverse Change, except as reflected in or contemplated by the Disclosure Package; and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Opinion of Counsel for the Company. </w:t>
      </w:r>
      <w:r>
        <w:rPr>
          <w:rFonts w:ascii="Times New Roman" w:hAnsi="Times New Roman"/>
          <w:sz w:val="20"/>
        </w:rPr>
        <w:t xml:space="preserve">On the Closing Date, the Representatives shall have received the favorable opinions of (i) Hunton Andrews Kurth LLP, counsel for the Company, dated the Closing Date, the form of which is attached as Exhibit A-1, and (ii) Heather A. Humphrey, Senior Vice President, General Counsel and Corporate Secretary of the Company, dated the Closing Date, the form of which is attached as Exhibit A-2.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Opinion of Counsel for the Underwriters. </w:t>
      </w:r>
      <w:r>
        <w:rPr>
          <w:rFonts w:ascii="Times New Roman" w:hAnsi="Times New Roman"/>
          <w:sz w:val="20"/>
        </w:rPr>
        <w:t xml:space="preserve">On the Closing Date, the Representatives shall have received the favorable opinion of Bracewell LLP, counsel for the Underwriters, dated the Closing Date, with respect to such matters as may be reasonably requested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Officers’ Certificate. </w:t>
      </w:r>
      <w:r>
        <w:rPr>
          <w:rFonts w:ascii="Times New Roman" w:hAnsi="Times New Roman"/>
          <w:sz w:val="20"/>
        </w:rPr>
        <w:t xml:space="preserve">On the Closing Date, the Representatives shall have received a written certificate executed by the Chief Executive Officer, President or a Vice President of the Company and the Chief Financial Officer, Chief Accounting Officer or Treasurer or Assistant Treasurer of the Company, dated the Closing Date, to the effect that, to the best of their knowledge after reasonable investigation: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received no stop order suspending the effectiveness of the Registration Statement, and no proceedings for such purpose have been instituted or threatened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has not received from the Commission any notice pursuant to Rule 401(g)(2) objecting to use of the automatic shelf registration statement form; </w:t>
      </w:r>
    </w:p>
    <w:p>
      <w:pPr>
        <w:pStyle w:val="TextBody"/>
        <w:bidi w:val="0"/>
        <w:spacing w:before="120" w:after="0"/>
        <w:jc w:val="left"/>
        <w:rPr>
          <w:rFonts w:ascii="Times New Roman" w:hAnsi="Times New Roman"/>
          <w:sz w:val="20"/>
        </w:rPr>
      </w:pPr>
      <w:r>
        <w:rPr>
          <w:rFonts w:ascii="Times New Roman" w:hAnsi="Times New Roman"/>
          <w:sz w:val="20"/>
        </w:rPr>
        <w:t xml:space="preserve">(iii) for the period from the Execution Time to the Closing Date, there has not occurred any downgrading, and the Company has not received any notice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for the period from the Execution Time to the Closing Date, there has not occurred any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(v) the representations and warranties of the Company set forth in Section 1 hereof are true and correct with the same force and effect as though expressly made on and as of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complied with all the agreements hereunder and satisfied all the conditions on its part to be performed or satisfied hereunder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Recordation of the Supplemental Indenture</w:t>
      </w:r>
      <w:r>
        <w:rPr>
          <w:rFonts w:ascii="Times New Roman" w:hAnsi="Times New Roman"/>
          <w:sz w:val="20"/>
        </w:rPr>
        <w:t xml:space="preserve">. The Company shall have caused the Supplemental Indenture to be duly recorded and filed in each place in which such recording or filing is required to establish, protect and preserve the lien of the Mortgage Indenture on the Mortgaged Property.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Additional Documents. </w:t>
      </w:r>
      <w:r>
        <w:rPr>
          <w:rFonts w:ascii="Times New Roman" w:hAnsi="Times New Roman"/>
          <w:sz w:val="20"/>
        </w:rPr>
        <w:t xml:space="preserve">On or before the Closing Date, the Representatives and counsel for the Underwriters shall have received such information, documents and opinions as they may reasonably require for the purposes of enabling such counsel to pass upon the issuance and sale of the Bonds as contemplated herein, or in order to evidence the accuracy of any of the representations and warranties, or the satisfaction of any of the conditions or agreements,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 4, Section 6,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of Underwriters’ Expenses</w:t>
      </w:r>
      <w:r>
        <w:rPr>
          <w:rFonts w:ascii="Times New Roman" w:hAnsi="Times New Roman"/>
          <w:i/>
          <w:sz w:val="20"/>
        </w:rPr>
        <w:t>.</w:t>
      </w:r>
      <w:r>
        <w:rPr>
          <w:rFonts w:ascii="Times New Roman" w:hAnsi="Times New Roman"/>
          <w:sz w:val="20"/>
        </w:rPr>
        <w:t xml:space="preserve"> If this Agreement is terminated by the Representatives pursuant to Section 5, Section 10(i) or Section 10(iv) hereof, the Company agrees to reimburse the Representatives and the other Underwriters, severally, upon demand for all out-of-pocket expenses that shall have been reasonably incurred by the Representatives and the Underwriters in connection with the proposed purchase and the offering and sale of the Bonds, including fees and disbursements of counsel, printing expenses, travel expenses, postage, facsimile and telephone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Indemnification</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directors, officers, employees and agents, and each person, if any, who controls any Underwriter within the meaning of the Securities Act and the Exchange Act against any loss, claim, damage, liability or expense, as incurred, to which such Underwriter, director, officer, employee, agent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including any information deemed to be a part thereof pursuant to Rule 430B, or the omission or alleged omission therefrom of a material fact required to be stated therein or necessary to make the statements therein not misleading or (ii) any untrue statement or alleged untrue statement of a material fact included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and to reimburse each Underwriter, its officers, directors, employees, agents and controlling persons for any and all expenses (including the reasonable fees and disbursements of counsel chosen by the Representatives) as such expenses are reasonably incurred by such Underwriter, officer, director, employee, agent or controlling person in connection with investigating, defending, settling, compromising or paying any such loss, claim, damage, liability, expense or action; </w:t>
      </w:r>
      <w:r>
        <w:rPr>
          <w:rFonts w:ascii="Times New Roman" w:hAnsi="Times New Roman"/>
          <w:i/>
          <w:sz w:val="20"/>
        </w:rPr>
        <w:t>provided</w:t>
      </w:r>
      <w:r>
        <w:rPr>
          <w:rFonts w:ascii="Times New Roman" w:hAnsi="Times New Roman"/>
          <w:sz w:val="20"/>
        </w:rPr>
        <w:t xml:space="preserve">,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furnished in writing to the Company by any Underwriter through the Representatives expressly for use in the Registration Statement, any Preliminary Prospectus, any Issuer Free Writing Prospectus or the Prospectus (or any amendment or supplement thereto), it being understood and agreed that the only such information consists of the information described in Section 7(b) hereof. The indemnity agreement set forth in this Section 7(a)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 its Directors and Officers</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or the omission or alleged omission therefrom of a material fact required to be stated therein or necessary to make the statements therein not misleading or (ii) any untrue statement or alleged untrue statement of a material fact contained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in each case to the extent, and only to the extent, that such untrue statement or alleged untrue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omission or alleged omission was made in the Registration Statement, such Preliminary Prospectus, such Issuer Free Writing Prospectus or the Prospectus (or any amendment or supplement thereto), in reliance upon and in conformity with information furnished in writing to the Company by any Underwriter through the Representatives expressly for use therein; and to reimburse the Company, such director, officer or controlling person for any and all expenses (including the reasonable fees and disbursements of counsel chosen by the Company) as such expenses are reasonably incurred by the Company, such director, officer or controlling person in connection with investigating, defending, settling, compromising or paying any such loss, claim, damage, liability, expense or action. The Company hereby acknowledges that the only information that the Underwriters have furnished to the Company in writing expressly for use in the Registration Statement, any Preliminary Prospectus, any Issuer Free Writing Prospectus or the Prospectus (or any amendment or supplement thereto) are the statements set forth in the sixth paragraph, the third sentence of the eighth paragraph and the ninth paragraph, each under the caption “Underwriting (Conflicts of Interest)” in the Prospectus. The indemnity agreement set forth in this Section 7(b)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Notifications and Other Indemnification Procedures</w:t>
      </w:r>
      <w:r>
        <w:rPr>
          <w:rFonts w:ascii="Times New Roman" w:hAnsi="Times New Roman"/>
          <w:sz w:val="20"/>
        </w:rPr>
        <w:t xml:space="preserve">. Promptly after receipt by an indemnified party under this Section 7 of notice of the commencement of any action, such indemnified party will, if a claim in respect thereof is to be made against an indemnifying party under this Section 7, notify the indemnifying party in writing of the commencement thereof; but the failure to so notify the indemnifying party (i) will not relieve it from liability under Section 7(a) or 7(b) hereof unless and to the extent it did not otherwise learn of such action and such failure results in the forfeiture by the indemnifying party of substantial rights and defenses and (ii) will not, in any event, relieve the indemnifying party from any liability other than the indemnification obligation provided in Section 7(a) or 7(b) hereof.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satisfactory to such indemnified party; </w:t>
      </w:r>
      <w:r>
        <w:rPr>
          <w:rFonts w:ascii="Times New Roman" w:hAnsi="Times New Roman"/>
          <w:i/>
          <w:sz w:val="20"/>
        </w:rPr>
        <w:t>provided</w:t>
      </w:r>
      <w:r>
        <w:rPr>
          <w:rFonts w:ascii="Times New Roman" w:hAnsi="Times New Roman"/>
          <w:sz w:val="20"/>
        </w:rPr>
        <w:t xml:space="preserve">, however, such indemnified party shall have the right to employ its own counsel in any such action and to participate in the defense thereof, but the fees and expenses of such counsel shall be at the expense of such indemnified party, unless (i) the employment of such counsel has been specifically authorized by the indemnifying party, (ii) the indemnifying party has failed promptly to assume the defense and employ counsel reasonably satisfactory to the indemnified party or (iii) the named parties to any such action (including any impleaded parties) include both such indemnified party and the indemnifying party or any affiliate of the indemnifying party, and such indemnified party shall have reasonably concluded that either (x) there may be one or more legal defenses available to it that are different from or additional to those available to the indemnifying party or such affiliate of the indemnifying party or (y) a conflict may exist between such indemnified party and the indemnifying party or such affiliate of the indemnifying party (it being understood, however, that the indemnifying party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 single firm of local counsel) for all such indemnified parties, which firm shall be designated in writing by (i) the Representatives, in the case of indemnification pursuant to Section 7(a) hereof or (ii) the Company, in the case of indemnification pursuant to Section 7(b) hereof, and that all such reasonable fees and expenses shall be reimbursed as they are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Settlements</w:t>
      </w:r>
      <w:r>
        <w:rPr>
          <w:rFonts w:ascii="Times New Roman" w:hAnsi="Times New Roman"/>
          <w:sz w:val="20"/>
        </w:rPr>
        <w:t xml:space="preserve">. The indemnifying party under this Section 7 shall not be liable for any settlement of any proceeding effected without its written consent, but if settled with such consent or if there is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7(c)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Contribution</w:t>
      </w:r>
      <w:r>
        <w:rPr>
          <w:rFonts w:ascii="Times New Roman" w:hAnsi="Times New Roman"/>
          <w:sz w:val="20"/>
        </w:rPr>
        <w:t xml:space="preserve">. If the indemnification provided for in Section 7 hereof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Bonds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that resulted in such losses, claims, damages, liabilities or expenses, as well as any other relevant equitable considerations. The relative benefits received by the Company, on the one hand, and the Underwriters, on the other hand, in connection with the offering of the Bonds pursuant to this Agreement shall be deemed to be in the same respective proportions as the total net proceeds from the offering of the Bonds pursuant to this Agreement (before deducting expenses) received by the Company, and the total underwriting discount received by the Underwriters, in each case as set forth on the front cover page of the Prospectus bear to the aggregate initial public offering price of the Bonds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7(c) hereof, any legal or other fees or expenses reasonably incurred by such party in connection with investigating or defending any action or claim. The provisions set forth in Section 7(c) hereof with respect to notice of commencement of any action shall apply if a claim for contribution is to be made under this Section 8; </w:t>
      </w:r>
      <w:r>
        <w:rPr>
          <w:rFonts w:ascii="Times New Roman" w:hAnsi="Times New Roman"/>
          <w:i/>
          <w:sz w:val="20"/>
        </w:rPr>
        <w:t>provided</w:t>
      </w:r>
      <w:r>
        <w:rPr>
          <w:rFonts w:ascii="Times New Roman" w:hAnsi="Times New Roman"/>
          <w:sz w:val="20"/>
        </w:rPr>
        <w:t xml:space="preserve">, however, that no additional notice shall be required with respect to any action for which notice has been given under Section 7(c) hereof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8 were determined by pro rata allocation (even if the Underwriters were treated as one entity for such purpose) or by any other method of allocation that does not take account of the equitable considerations referred to in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8, no Underwriter shall be required to contribute any amount in excess of the underwriting discount received by such Underwriter in connection with the Bonds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8 are several, and not joint, in proportion to their respective underwriting commitments as set forth opposite their names in Schedule A hereto. For purposes of this Section 8, each director, officer, employee and agent of an Underwriter and each person, if any, who controls an Underwriter within the meaning of the Securities Act and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Default of One or More of the Several Underwriters</w:t>
      </w:r>
      <w:r>
        <w:rPr>
          <w:rFonts w:ascii="Times New Roman" w:hAnsi="Times New Roman"/>
          <w:i/>
          <w:sz w:val="20"/>
        </w:rPr>
        <w:t xml:space="preserve">. </w:t>
      </w:r>
      <w:r>
        <w:rPr>
          <w:rFonts w:ascii="Times New Roman" w:hAnsi="Times New Roman"/>
          <w:sz w:val="20"/>
        </w:rPr>
        <w:t>If, on the Closing Date, any one or more of the several Underwriters shall fail or refuse to purchase Bonds that it or they have agreed to purchase hereunder on such date (the “</w:t>
      </w:r>
      <w:r>
        <w:rPr>
          <w:rFonts w:ascii="Times New Roman" w:hAnsi="Times New Roman"/>
          <w:b/>
          <w:sz w:val="20"/>
        </w:rPr>
        <w:t>Defaulted Securities</w:t>
      </w:r>
      <w:r>
        <w:rPr>
          <w:rFonts w:ascii="Times New Roman" w:hAnsi="Times New Roman"/>
          <w:sz w:val="20"/>
        </w:rPr>
        <w:t xml:space="preserve">”), then the Representatives shall have the right, within 36 hours thereafter, to make arrangements for one or more of the non-defaulting Underwriters, or any other underwriters, to purchase all, but not less than all, of the aggregate principal amount of the Defaulted Securities in such amounts as may be agreed upon and upon the terms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If, however, the Underwriters shall not have completed such arrangements within such 36-hour period, and if the aggregate principal amount of the Defaulted Securities does not exceed 10% of the aggregate principal amount of Bonds to be purchased on such date, the non-defaulting Underwriters shall be obligated, severally, in the proportion that the aggregate principal amount of the Bonds set forth opposite their respective names on Schedule A hereto bears to the aggregate principal amount of such Bonds set forth opposite the names of all such non-defaulting Underwriters, or in such other proportions as may be specified by the Representatives with the consent of the non-defaulting Underwriters, to purchase such Bonds that such defaulting Underwriter or Underwriters agreed but failed or refused to purchase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such Bonds and the aggregate principal amount of such Bonds with respect to which such default occurs exceeds 10% of the aggregate principal amount of Bonds to be purchased on such date, and arrangements satisfactory to the Representatives and the Company for the purchase of such Bonds are not made within 48 hours after such default, this Agreement shall terminate without liability of any party to any other party except that the provisions of Section 4,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either the Representatives or the Company shall have the right to postpone the Closing Date, but in no event for longer than seven days in order that the required changes, if any, to the Registration Statement, each Issuer Free Writing Prospectus, each Preliminary Prospectus or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9. Any action taken under this Section 9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Termination of this Agreement</w:t>
      </w:r>
      <w:r>
        <w:rPr>
          <w:rFonts w:ascii="Times New Roman" w:hAnsi="Times New Roman"/>
          <w:i/>
          <w:sz w:val="20"/>
        </w:rPr>
        <w:t xml:space="preserve">. </w:t>
      </w:r>
      <w:r>
        <w:rPr>
          <w:rFonts w:ascii="Times New Roman" w:hAnsi="Times New Roman"/>
          <w:sz w:val="20"/>
        </w:rPr>
        <w:t xml:space="preserve">Prior to the Closing Date, this Agreement may be terminated by the Representatives by notice given to the Company if at any time: (i) trading or quotation in any of the Company’s securities shall have been suspended or materially limited by the New York Stock Exchange or the Commission, or trading in securities generally on the NASDAQ Global Market or the New York Stock Exchange shall have been suspended or materially limited, or minimum or maximum prices shall have been generally established on either of such stock exchanges by the Commission or FINRA; (ii) a general banking moratorium shall have been declared by any federal or New York authorities; (iii) there shall have occurred any outbreak or escalation of national or international hostilities or any crisis or calamity, or any material adverse change in the United States or international financial markets, or any change or development involving a prospective substantial change in United States’ or international political, financial or economic conditions, as in the judgment of the Representatives makes it impracticable or inadvisable to proceed with the offering, sale or delivery of the Bonds in the manner and on the terms described in the Disclosure Package or the Prospectus or to enforce contracts for the sale of securities; (iv) in the judgment of the Representatives, there shall have occurred any Material Adverse Change; or (v) there shall have occurred a material disruption in commercial banking or securities settlement or clearance services in the United States. Any termination pursuant to this Section 10 shall be without liability on the part of (A) the Company to any Underwriter, except that the Company shall be obligated to reimburse the expenses of the Representatives and the Underwriters pursuant to Section 4 and Section 6 hereof, (B) any Underwriter to the Company or (C) any party hereto to any other party except that the provisions of Section 7, Section 8 and Section 16 hereof shall at all times be effective and shall survive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 Fiduciary Duty; No Advisory or Fiduciary Responsibility</w:t>
      </w:r>
      <w:r>
        <w:rPr>
          <w:rFonts w:ascii="Times New Roman" w:hAnsi="Times New Roman"/>
          <w:i/>
          <w:sz w:val="20"/>
        </w:rPr>
        <w:t>.</w:t>
      </w:r>
      <w:r>
        <w:rPr>
          <w:rFonts w:ascii="Times New Roman" w:hAnsi="Times New Roman"/>
          <w:sz w:val="20"/>
        </w:rPr>
        <w:t xml:space="preserve"> The Company acknowledges and agrees that: (i) the purchase and sale of the Bonds pursuant to this Agreement, including the determination of the public offering price of the Bonds and any related discounts and commissions, is an arm’s-length commercial transaction between the Company, on the one hand, and the several Underwriters, on the other hand; (ii) in connection with the offering contemplated hereby and the process leading to such transaction each Underwriter is and has been acting solely as a principal and is not the financial advisor, agent or fiduciary of the Company or its affiliates, stockholders, creditors or employees or any other party; (iii) no Underwriter has assumed or will assume an advisory, agency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(v) the Underwriters have not provided any legal, accounting, regulatory or tax advice with respect to the offering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waives and releases, to the fullest extent permitted by law, any claims that the Company may have against the several Underwriters with respect to any breach or alleged breach of agency or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Representations and Indemnities to Survive Delivery</w:t>
      </w:r>
      <w:r>
        <w:rPr>
          <w:rFonts w:ascii="Times New Roman" w:hAnsi="Times New Roman"/>
          <w:i/>
          <w:sz w:val="20"/>
        </w:rPr>
        <w:t xml:space="preserve">. </w:t>
      </w:r>
      <w:r>
        <w:rPr>
          <w:rFonts w:ascii="Times New Roman" w:hAnsi="Times New Roman"/>
          <w:sz w:val="20"/>
        </w:rPr>
        <w:t xml:space="preserve">The respective indemnities, agreements, representations, warranties and other statements of the Company, of its officers and of the several Underwriters set forth in or made pursuant to this Agreement (i) will remain operative and in full force and effect, regardless of (A) any investigation, or statement as to the results thereof, made by or on behalf of any Underwriter or the Company or any of the officers, directors, employees, agents or controlling persons referred to in Section 7(a) or Section 7(b) hereof, as the case may be or (B) acceptance of the Bonds and payment for them hereunder and (ii) will survive delivery of and payment for the Bonds sold hereunder and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Notices</w:t>
      </w:r>
      <w:r>
        <w:rPr>
          <w:rFonts w:ascii="Times New Roman" w:hAnsi="Times New Roman"/>
          <w:i/>
          <w:sz w:val="20"/>
        </w:rPr>
        <w:t xml:space="preserve">. </w:t>
      </w:r>
      <w:r>
        <w:rPr>
          <w:rFonts w:ascii="Times New Roman" w:hAnsi="Times New Roman"/>
          <w:sz w:val="20"/>
        </w:rPr>
        <w:t xml:space="preserve">All communications hereunder shall be in writing and shall be delivered by mail, hand or electronic means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300 Fifth Avenue, 10th Floor </w:t>
      </w:r>
    </w:p>
    <w:p>
      <w:pPr>
        <w:pStyle w:val="TextBody"/>
        <w:bidi w:val="0"/>
        <w:spacing w:before="0" w:after="0"/>
        <w:jc w:val="left"/>
        <w:rPr>
          <w:rFonts w:ascii="Times New Roman" w:hAnsi="Times New Roman"/>
          <w:sz w:val="20"/>
        </w:rPr>
      </w:pPr>
      <w:r>
        <w:rPr>
          <w:rFonts w:ascii="Times New Roman" w:hAnsi="Times New Roman"/>
          <w:sz w:val="20"/>
        </w:rPr>
        <w:t xml:space="preserve">Pittsburgh, Pennsylvania 15222 </w:t>
      </w:r>
    </w:p>
    <w:p>
      <w:pPr>
        <w:pStyle w:val="TextBody"/>
        <w:bidi w:val="0"/>
        <w:spacing w:before="0" w:after="0"/>
        <w:jc w:val="left"/>
        <w:rPr>
          <w:rFonts w:ascii="Times New Roman" w:hAnsi="Times New Roman"/>
          <w:sz w:val="20"/>
        </w:rPr>
      </w:pPr>
      <w:r>
        <w:rPr>
          <w:rFonts w:ascii="Times New Roman" w:hAnsi="Times New Roman"/>
          <w:sz w:val="20"/>
        </w:rPr>
        <w:t xml:space="preserve">Email: capitalmarketsnotices@pnc.com </w:t>
      </w:r>
    </w:p>
    <w:p>
      <w:pPr>
        <w:pStyle w:val="TextBody"/>
        <w:bidi w:val="0"/>
        <w:spacing w:before="0" w:after="0"/>
        <w:jc w:val="left"/>
        <w:rPr>
          <w:rFonts w:ascii="Times New Roman" w:hAnsi="Times New Roman"/>
          <w:sz w:val="20"/>
        </w:rPr>
      </w:pPr>
      <w:r>
        <w:rPr>
          <w:rFonts w:ascii="Times New Roman" w:hAnsi="Times New Roman"/>
          <w:sz w:val="20"/>
        </w:rPr>
        <w:t xml:space="preserve">Attention: Debt Capital Markets, Fixed Income Transaction Execution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Brookfield Place </w:t>
      </w:r>
    </w:p>
    <w:p>
      <w:pPr>
        <w:pStyle w:val="TextBody"/>
        <w:bidi w:val="0"/>
        <w:spacing w:before="0" w:after="0"/>
        <w:jc w:val="left"/>
        <w:rPr>
          <w:rFonts w:ascii="Times New Roman" w:hAnsi="Times New Roman"/>
          <w:sz w:val="20"/>
        </w:rPr>
      </w:pPr>
      <w:r>
        <w:rPr>
          <w:rFonts w:ascii="Times New Roman" w:hAnsi="Times New Roman"/>
          <w:sz w:val="20"/>
        </w:rPr>
        <w:t xml:space="preserve">200 Vesey Street, 8th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10281 </w:t>
      </w:r>
    </w:p>
    <w:p>
      <w:pPr>
        <w:pStyle w:val="TextBody"/>
        <w:bidi w:val="0"/>
        <w:spacing w:before="0" w:after="0"/>
        <w:jc w:val="left"/>
        <w:rPr>
          <w:rFonts w:ascii="Times New Roman" w:hAnsi="Times New Roman"/>
          <w:sz w:val="20"/>
        </w:rPr>
      </w:pPr>
      <w:r>
        <w:rPr>
          <w:rFonts w:ascii="Times New Roman" w:hAnsi="Times New Roman"/>
          <w:sz w:val="20"/>
        </w:rPr>
        <w:t xml:space="preserve">Email: TMGUS@rbccm.com </w:t>
      </w:r>
    </w:p>
    <w:p>
      <w:pPr>
        <w:pStyle w:val="TextBody"/>
        <w:bidi w:val="0"/>
        <w:spacing w:before="0" w:after="0"/>
        <w:jc w:val="left"/>
        <w:rPr>
          <w:rFonts w:ascii="Times New Roman" w:hAnsi="Times New Roman"/>
          <w:sz w:val="20"/>
        </w:rPr>
      </w:pPr>
      <w:r>
        <w:rPr>
          <w:rFonts w:ascii="Times New Roman" w:hAnsi="Times New Roman"/>
          <w:sz w:val="20"/>
        </w:rPr>
        <w:t xml:space="preserve">Attention: DCM Transaction Management/Scott Primrose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3333 Peachtree Road, NE </w:t>
      </w:r>
    </w:p>
    <w:p>
      <w:pPr>
        <w:pStyle w:val="TextBody"/>
        <w:bidi w:val="0"/>
        <w:spacing w:before="0" w:after="0"/>
        <w:jc w:val="left"/>
        <w:rPr>
          <w:rFonts w:ascii="Times New Roman" w:hAnsi="Times New Roman"/>
          <w:sz w:val="20"/>
        </w:rPr>
      </w:pPr>
      <w:r>
        <w:rPr>
          <w:rFonts w:ascii="Times New Roman" w:hAnsi="Times New Roman"/>
          <w:sz w:val="20"/>
        </w:rPr>
        <w:t xml:space="preserve">Atlanta, Georgia 30326 </w:t>
      </w:r>
    </w:p>
    <w:p>
      <w:pPr>
        <w:pStyle w:val="TextBody"/>
        <w:bidi w:val="0"/>
        <w:spacing w:before="0" w:after="0"/>
        <w:jc w:val="left"/>
        <w:rPr>
          <w:rFonts w:ascii="Times New Roman" w:hAnsi="Times New Roman"/>
          <w:sz w:val="20"/>
        </w:rPr>
      </w:pPr>
      <w:r>
        <w:rPr>
          <w:rFonts w:ascii="Times New Roman" w:hAnsi="Times New Roman"/>
          <w:sz w:val="20"/>
        </w:rPr>
        <w:t xml:space="preserve">Facsimile: (404) 926-4027 </w:t>
      </w:r>
    </w:p>
    <w:p>
      <w:pPr>
        <w:pStyle w:val="TextBody"/>
        <w:bidi w:val="0"/>
        <w:spacing w:before="0" w:after="0"/>
        <w:jc w:val="left"/>
        <w:rPr>
          <w:rFonts w:ascii="Times New Roman" w:hAnsi="Times New Roman"/>
          <w:sz w:val="20"/>
        </w:rPr>
      </w:pPr>
      <w:r>
        <w:rPr>
          <w:rFonts w:ascii="Times New Roman" w:hAnsi="Times New Roman"/>
          <w:sz w:val="20"/>
        </w:rPr>
        <w:t xml:space="preserve">Attention: Investment Grade Debt Capital Markets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0" w:after="0"/>
        <w:jc w:val="left"/>
        <w:rPr>
          <w:rFonts w:ascii="Times New Roman" w:hAnsi="Times New Roman"/>
          <w:sz w:val="20"/>
        </w:rPr>
      </w:pPr>
      <w:r>
        <w:rPr>
          <w:rFonts w:ascii="Times New Roman" w:hAnsi="Times New Roman"/>
          <w:sz w:val="20"/>
        </w:rPr>
        <w:t xml:space="preserve">214 North Tryon Street, 26th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0" w:after="0"/>
        <w:jc w:val="left"/>
        <w:rPr>
          <w:rFonts w:ascii="Times New Roman" w:hAnsi="Times New Roman"/>
          <w:sz w:val="20"/>
        </w:rPr>
      </w:pPr>
      <w:r>
        <w:rPr>
          <w:rFonts w:ascii="Times New Roman" w:hAnsi="Times New Roman"/>
          <w:sz w:val="20"/>
        </w:rPr>
        <w:t xml:space="preserve">Facsimile: (877) 774-3462 </w:t>
      </w:r>
    </w:p>
    <w:p>
      <w:pPr>
        <w:pStyle w:val="TextBody"/>
        <w:bidi w:val="0"/>
        <w:spacing w:before="0" w:after="0"/>
        <w:jc w:val="left"/>
        <w:rPr>
          <w:rFonts w:ascii="Times New Roman" w:hAnsi="Times New Roman"/>
          <w:sz w:val="20"/>
        </w:rPr>
      </w:pPr>
      <w:r>
        <w:rPr>
          <w:rFonts w:ascii="Times New Roman" w:hAnsi="Times New Roman"/>
          <w:sz w:val="20"/>
        </w:rPr>
        <w:t xml:space="preserve">Attention: High Grade Syndicate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Bracewell LLP </w:t>
      </w:r>
    </w:p>
    <w:p>
      <w:pPr>
        <w:pStyle w:val="TextBody"/>
        <w:bidi w:val="0"/>
        <w:spacing w:before="0" w:after="0"/>
        <w:jc w:val="left"/>
        <w:rPr>
          <w:rFonts w:ascii="Times New Roman" w:hAnsi="Times New Roman"/>
          <w:sz w:val="20"/>
        </w:rPr>
      </w:pPr>
      <w:r>
        <w:rPr>
          <w:rFonts w:ascii="Times New Roman" w:hAnsi="Times New Roman"/>
          <w:sz w:val="20"/>
        </w:rPr>
        <w:t xml:space="preserve">31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10020-1100 </w:t>
      </w:r>
    </w:p>
    <w:p>
      <w:pPr>
        <w:pStyle w:val="TextBody"/>
        <w:bidi w:val="0"/>
        <w:spacing w:before="0" w:after="0"/>
        <w:jc w:val="left"/>
        <w:rPr>
          <w:rFonts w:ascii="Times New Roman" w:hAnsi="Times New Roman"/>
          <w:sz w:val="20"/>
        </w:rPr>
      </w:pPr>
      <w:r>
        <w:rPr>
          <w:rFonts w:ascii="Times New Roman" w:hAnsi="Times New Roman"/>
          <w:sz w:val="20"/>
        </w:rPr>
        <w:t xml:space="preserve">Facsimile: (800) 404-3970 </w:t>
      </w:r>
    </w:p>
    <w:p>
      <w:pPr>
        <w:pStyle w:val="TextBody"/>
        <w:bidi w:val="0"/>
        <w:spacing w:before="0" w:after="0"/>
        <w:jc w:val="left"/>
        <w:rPr>
          <w:rFonts w:ascii="Times New Roman" w:hAnsi="Times New Roman"/>
          <w:sz w:val="20"/>
        </w:rPr>
      </w:pPr>
      <w:r>
        <w:rPr>
          <w:rFonts w:ascii="Times New Roman" w:hAnsi="Times New Roman"/>
          <w:sz w:val="20"/>
        </w:rPr>
        <w:t xml:space="preserve">Attention: Todd W. Eckland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Evergy Kansas Central, Inc. </w:t>
      </w:r>
    </w:p>
    <w:p>
      <w:pPr>
        <w:pStyle w:val="TextBody"/>
        <w:bidi w:val="0"/>
        <w:spacing w:before="0" w:after="0"/>
        <w:jc w:val="left"/>
        <w:rPr>
          <w:rFonts w:ascii="Times New Roman" w:hAnsi="Times New Roman"/>
          <w:sz w:val="20"/>
        </w:rPr>
      </w:pPr>
      <w:r>
        <w:rPr>
          <w:rFonts w:ascii="Times New Roman" w:hAnsi="Times New Roman"/>
          <w:sz w:val="20"/>
        </w:rPr>
        <w:t xml:space="preserve">818 South Kansas Avenue </w:t>
      </w:r>
    </w:p>
    <w:p>
      <w:pPr>
        <w:pStyle w:val="TextBody"/>
        <w:bidi w:val="0"/>
        <w:spacing w:before="0" w:after="0"/>
        <w:jc w:val="left"/>
        <w:rPr>
          <w:rFonts w:ascii="Times New Roman" w:hAnsi="Times New Roman"/>
          <w:sz w:val="20"/>
        </w:rPr>
      </w:pPr>
      <w:r>
        <w:rPr>
          <w:rFonts w:ascii="Times New Roman" w:hAnsi="Times New Roman"/>
          <w:sz w:val="20"/>
        </w:rPr>
        <w:t xml:space="preserve">Topeka, Kansas 66612 </w:t>
      </w:r>
    </w:p>
    <w:p>
      <w:pPr>
        <w:pStyle w:val="TextBody"/>
        <w:bidi w:val="0"/>
        <w:spacing w:before="0" w:after="0"/>
        <w:jc w:val="left"/>
        <w:rPr>
          <w:rFonts w:ascii="Times New Roman" w:hAnsi="Times New Roman"/>
          <w:sz w:val="20"/>
        </w:rPr>
      </w:pPr>
      <w:r>
        <w:rPr>
          <w:rFonts w:ascii="Times New Roman" w:hAnsi="Times New Roman"/>
          <w:sz w:val="20"/>
        </w:rPr>
        <w:t xml:space="preserve">Facsimile: (816) 556-2924 </w:t>
      </w:r>
    </w:p>
    <w:p>
      <w:pPr>
        <w:pStyle w:val="TextBody"/>
        <w:bidi w:val="0"/>
        <w:spacing w:before="0" w:after="0"/>
        <w:jc w:val="left"/>
        <w:rPr>
          <w:rFonts w:ascii="Times New Roman" w:hAnsi="Times New Roman"/>
          <w:sz w:val="20"/>
        </w:rPr>
      </w:pPr>
      <w:r>
        <w:rPr>
          <w:rFonts w:ascii="Times New Roman" w:hAnsi="Times New Roman"/>
          <w:sz w:val="20"/>
        </w:rPr>
        <w:t xml:space="preserve">Attention: Heather A. Humphrey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Hunton Andrews Kurth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10166 </w:t>
      </w:r>
    </w:p>
    <w:p>
      <w:pPr>
        <w:pStyle w:val="TextBody"/>
        <w:bidi w:val="0"/>
        <w:spacing w:before="0" w:after="0"/>
        <w:jc w:val="left"/>
        <w:rPr>
          <w:rFonts w:ascii="Times New Roman" w:hAnsi="Times New Roman"/>
          <w:sz w:val="20"/>
        </w:rPr>
      </w:pPr>
      <w:r>
        <w:rPr>
          <w:rFonts w:ascii="Times New Roman" w:hAnsi="Times New Roman"/>
          <w:sz w:val="20"/>
        </w:rPr>
        <w:t xml:space="preserve">Facsimile: (212) 309-1024 </w:t>
      </w:r>
    </w:p>
    <w:p>
      <w:pPr>
        <w:pStyle w:val="TextBody"/>
        <w:bidi w:val="0"/>
        <w:spacing w:before="0" w:after="0"/>
        <w:jc w:val="left"/>
        <w:rPr>
          <w:rFonts w:ascii="Times New Roman" w:hAnsi="Times New Roman"/>
          <w:sz w:val="20"/>
        </w:rPr>
      </w:pPr>
      <w:r>
        <w:rPr>
          <w:rFonts w:ascii="Times New Roman" w:hAnsi="Times New Roman"/>
          <w:sz w:val="20"/>
        </w:rPr>
        <w:t xml:space="preserve">Attention: Peter K. O’Brien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Successors</w:t>
      </w:r>
      <w:r>
        <w:rPr>
          <w:rFonts w:ascii="Times New Roman" w:hAnsi="Times New Roman"/>
          <w:i/>
          <w:sz w:val="20"/>
        </w:rPr>
        <w:t xml:space="preserve">. </w:t>
      </w:r>
      <w:r>
        <w:rPr>
          <w:rFonts w:ascii="Times New Roman" w:hAnsi="Times New Roman"/>
          <w:sz w:val="20"/>
        </w:rPr>
        <w:t>This Agreement will inure to the benefit of and be binding upon the parties hereto, including any substitute Underwriters pursuant to Section 9 hereof, and to the benefit of the directors, officers, employees, agents and controlling persons referred to in Section 7 and Section 8 hereof, and in each case their respective successors and assigns, and no other person will have any right or obligation hereunder. The term “</w:t>
      </w:r>
      <w:r>
        <w:rPr>
          <w:rFonts w:ascii="Times New Roman" w:hAnsi="Times New Roman"/>
          <w:b/>
          <w:sz w:val="20"/>
        </w:rPr>
        <w:t>successors and assigns</w:t>
      </w:r>
      <w:r>
        <w:rPr>
          <w:rFonts w:ascii="Times New Roman" w:hAnsi="Times New Roman"/>
          <w:sz w:val="20"/>
        </w:rPr>
        <w:t xml:space="preserve">” shall not include any purchaser of the Bonds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Partial Unenforceability</w:t>
      </w:r>
      <w:r>
        <w:rPr>
          <w:rFonts w:ascii="Times New Roman" w:hAnsi="Times New Roman"/>
          <w:i/>
          <w:sz w:val="20"/>
        </w:rPr>
        <w:t xml:space="preserve">. </w:t>
      </w:r>
      <w:r>
        <w:rPr>
          <w:rFonts w:ascii="Times New Roman" w:hAnsi="Times New Roman"/>
          <w:sz w:val="20"/>
        </w:rPr>
        <w:t xml:space="preserve">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 Provisions</w:t>
      </w:r>
      <w:r>
        <w:rPr>
          <w:rFonts w:ascii="Times New Roman" w:hAnsi="Times New Roman"/>
          <w:i/>
          <w:sz w:val="20"/>
        </w:rPr>
        <w:t xml:space="preserve">. </w:t>
      </w:r>
      <w:r>
        <w:rPr>
          <w:rFonts w:ascii="Times New Roman" w:hAnsi="Times New Roman"/>
          <w:sz w:val="20"/>
        </w:rPr>
        <w:t xml:space="preserve">THIS AGREEMENT SHALL BE GOVERNED BY, AND CONSTRUED AND INTERPRETED IN ACCORDANCE WITH, THE INTERNAL LAWS OF THE STATE OF NEW YORK APPLICABLE TO AGREEMENTS MADE AND TO BE PERFORMED IN THAT STATE.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General Provisions</w:t>
      </w:r>
      <w:r>
        <w:rPr>
          <w:rFonts w:ascii="Times New Roman" w:hAnsi="Times New Roman"/>
          <w:i/>
          <w:sz w:val="20"/>
        </w:rPr>
        <w:t>.</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the indemnification provisions of Section 7 hereof and the contribution provisions of Section 8 hereof, and is fully informed regarding such provisions. Each of the parties hereto further acknowledges that the provisions of Section 7 and Section 8 hereof fairly allocate the risks in light of the ability of the parties to investigate the Company, its affairs and its business in order to assure that adequate disclosure has been made in the Registration Statement, the Disclosure Package and the Prospectus (and any amendments and supplements thereto), as required by the Securities Act and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Recognition of U.S. Special Resolution Regimes</w:t>
      </w:r>
      <w:r>
        <w:rPr>
          <w:rFonts w:ascii="Times New Roman" w:hAnsi="Times New Roman"/>
          <w:sz w:val="20"/>
        </w:rPr>
        <w:t xml:space="preserve">. In the event that (a)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18, (i) a “BHC Act Affiliate” has the meaning assigned to the term “affiliate” in, and shall be interpreted in accordance with, 12 U.S.C. § 1841(k), (ii) “Covered Entity” means (A) a “covered entity” (as such term is defined in, and interpreted in accordance with, 12 C.F.R. § 252.82(b)), (B) a “covered bank” (as such term is defined in, and interpreted in accordance with, 12 C.F.R. § 47.3(b)) or (C) a “covered FSI” (as such term is defined in, and interpreted in accordance with, 12 C.F.R. § 382.2(b)), (iii) “Default Right” has the meaning assigned to that term in, and shall be interpreted in accordance with, 12 C.F.R. §§ 252.81, 47.2 or 382.1, as applicable, and (iv) “U.S. Special Resolution Regime” means each of (A) the Federal Deposit Insurance Act and the regulations thereunder and (B) Title II of the Dodd-Frank Wall Street Reform and Consumer Protection Act and the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19. </w:t>
      </w:r>
      <w:r>
        <w:rPr>
          <w:rFonts w:ascii="Times New Roman" w:hAnsi="Times New Roman"/>
          <w:sz w:val="20"/>
          <w:u w:val="single"/>
        </w:rPr>
        <w:t>Waiver of Trial by Jury</w:t>
      </w:r>
      <w:r>
        <w:rPr>
          <w:rFonts w:ascii="Times New Roman" w:hAnsi="Times New Roman"/>
          <w:sz w:val="20"/>
        </w:rPr>
        <w:t xml:space="preserve">. EACH OF THE PARTIES HERETO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EVERGY KANSAS CENTRAL,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Geoffrey T. Ley</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283"/>
              <w:jc w:val="left"/>
              <w:rPr/>
            </w:pPr>
            <w:r>
              <w:rPr/>
              <w:t>Name: Geoffrey T. Ley</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283"/>
              <w:jc w:val="left"/>
              <w:rPr/>
            </w:pPr>
            <w:r>
              <w:rPr/>
              <w:t>Title: Senior Vice President, Corporate Planning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is hereby confirmed and accepted by the Representatives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PNC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RBC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TRUIST SECURITIES, INC.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240" w:after="0"/>
        <w:jc w:val="left"/>
        <w:rPr>
          <w:rFonts w:ascii="Times New Roman" w:hAnsi="Times New Roman"/>
          <w:sz w:val="20"/>
        </w:rPr>
      </w:pPr>
      <w:r>
        <w:rPr>
          <w:rFonts w:ascii="Times New Roman" w:hAnsi="Times New Roman"/>
          <w:sz w:val="20"/>
        </w:rPr>
        <w:t xml:space="preserve">Acting 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A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PNC CAPITAL MARKETS LLC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Valerie Shadeck</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Valerie Shadeck</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RBC CAPITAL MARKETS, LLC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Scott J. Tuchfeld</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Scott J. Tuchfeld</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TRUIST SECURITIES,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Rob Nordlinger</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Rob Nordlinger</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/s/ Michael Priore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Name: Michael Priore</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9"/>
        <w:gridCol w:w="240"/>
        <w:gridCol w:w="140"/>
        <w:gridCol w:w="1254"/>
        <w:gridCol w:w="62"/>
      </w:tblGrid>
      <w:tr>
        <w:trPr/>
        <w:tc>
          <w:tcPr>
            <w:tcW w:w="850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5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24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Bonds to be</w:t>
              <w:br/>
              <w:t>Purchased</w:t>
            </w:r>
          </w:p>
        </w:tc>
        <w:tc>
          <w:tcPr>
            <w:tcW w:w="62"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84,000,000</w:t>
            </w:r>
          </w:p>
        </w:tc>
        <w:tc>
          <w:tcPr>
            <w:tcW w:w="62"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84,000,000</w:t>
            </w:r>
          </w:p>
        </w:tc>
        <w:tc>
          <w:tcPr>
            <w:tcW w:w="62"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Truist Securities, Inc.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84,000,000</w:t>
            </w:r>
          </w:p>
        </w:tc>
        <w:tc>
          <w:tcPr>
            <w:tcW w:w="62"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84,000,000</w:t>
            </w:r>
          </w:p>
        </w:tc>
        <w:tc>
          <w:tcPr>
            <w:tcW w:w="62"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UMB Financial Services, Inc.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8,400,000</w:t>
            </w:r>
          </w:p>
        </w:tc>
        <w:tc>
          <w:tcPr>
            <w:tcW w:w="62"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5,600,000</w:t>
            </w:r>
          </w:p>
        </w:tc>
        <w:tc>
          <w:tcPr>
            <w:tcW w:w="62" w:type="dxa"/>
            <w:tcBorders/>
            <w:vAlign w:val="bottom"/>
          </w:tcPr>
          <w:p>
            <w:pPr>
              <w:pStyle w:val="TableContents"/>
              <w:bidi w:val="0"/>
              <w:spacing w:before="0" w:after="283"/>
              <w:jc w:val="left"/>
              <w:rPr/>
            </w:pPr>
            <w:r>
              <w:rPr/>
              <w:t> </w:t>
            </w:r>
          </w:p>
        </w:tc>
      </w:tr>
      <w:tr>
        <w:trPr/>
        <w:tc>
          <w:tcPr>
            <w:tcW w:w="850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350,000,000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sz w:val="20"/>
        </w:rPr>
      </w:pPr>
      <w:r>
        <w:rPr>
          <w:rFonts w:ascii="Times New Roman" w:hAnsi="Times New Roman"/>
          <w:sz w:val="20"/>
        </w:rPr>
        <w:t xml:space="preserve">LIST OF ISSUER GENERAL USE 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1. Final Term Sheet dated September 10, 2026 </w:t>
      </w:r>
    </w:p>
    <w:p>
      <w:pPr>
        <w:pStyle w:val="TextBody"/>
        <w:bidi w:val="0"/>
        <w:spacing w:before="240" w:after="0"/>
        <w:jc w:val="center"/>
        <w:rPr>
          <w:rFonts w:ascii="Times New Roman" w:hAnsi="Times New Roman"/>
          <w:sz w:val="20"/>
        </w:rPr>
      </w:pPr>
      <w:r>
        <w:rPr>
          <w:rFonts w:ascii="Times New Roman" w:hAnsi="Times New Roman"/>
          <w:sz w:val="20"/>
        </w:rPr>
        <w:t xml:space="preserve">LIST OF ISSUER LIMITED USE FREE WRITING PROSPECTUSES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Company’s Counsel </w:t>
      </w:r>
    </w:p>
    <w:p>
      <w:pPr>
        <w:pStyle w:val="TextBody"/>
        <w:bidi w:val="0"/>
        <w:spacing w:before="240" w:after="0"/>
        <w:jc w:val="left"/>
        <w:rPr>
          <w:rFonts w:ascii="Times New Roman" w:hAnsi="Times New Roman"/>
          <w:sz w:val="20"/>
        </w:rPr>
      </w:pPr>
      <w:r>
        <w:rPr>
          <w:rFonts w:ascii="Times New Roman" w:hAnsi="Times New Roman"/>
          <w:sz w:val="20"/>
        </w:rPr>
        <w:t xml:space="preserve">(a) The Registration Statement has become effective under the Securities Act; each of the Preliminary Prospectus and the Prospectus has been filed pursuant to Rule 424(b) in accordance with Rule 424(b); the Final Term Sheet has been filed pursuant to Rule 433 in accordance with Rule 433; and, to our knowledge, no stop order suspending the effectiveness of the Registration Statement is in effect nor are any proceedings for such purpose pending before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(i) The Registration Statement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Underwriting Agreement, (ii) the Preliminary Prospectus (other than the financial statements, financial data, statistical data and supporting schedules included therein or omitted therefrom and other than the documents incorporated by reference therein, as to none of which we express any opinion pursuant to this paragraph (b)), at the Initial Sale Time, and (iii) the Prospectus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Prospectus Supplement and as of the date hereof, appear on their face to have complied as to form in all material respects with the requirements of the Trust Indenture Act of 1939, as amended (the “Trust Indenture Act”), the Securities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(c) Each document incorporated by reference in the Preliminary Prospectus and the Prospectus (other than the financial statements, financial data, statistical data and supporting schedules included therein or omitted therefrom, as to which we express no opinion), at the respective time such document was filed with the Commission, appeared on its face to have complied as to form in all material respects with the applicable requirements of the Exchange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Mortgage Indenture has been duly qualified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by the Company of the Underwriting Agreement, the Mortgage Indenture and the Bonds and the consummation by the Company of the transactions contemplated thereby (including the issuance and sale of the Bonds and the use of the proceeds from the sale of the Bonds as described in the Disclosure Package (as such term is defined in Annex A hereto) and in the Prospectus under the caption “Use of Proceeds”) and compliance by the Company with its obligations under the Underwriting Agreement, the Mortgage Indenture and the Bonds do not and will not violate any provision of Applicable Laws. As used in this paragraph (e) and paragraph (f) below, the term “Applicable Laws” means the laws of the State of New York and the federal laws of the United States of America (including the Federal Power Act) that, in our experience and without independent investigation, are normally applicable to transactions of the type contemplated by the Underwriting Agreement and the Mortgage Indenture (provided that the term “Applicable Laws” shall not include federal or state securities or blue sky laws, including the Securities Act, the Exchange Act, the Trust Indenture Act and the Investment Company Act of 1940, as amended (the “Investment Company Act”), and the respective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 consent, approval, qualification, authorization, certificate or order of, or registration or filing with, any court or other governmental commission or regulatory authority or agency is required under Applicable Laws for the execution and delivery by the Company of, or the performance of the Company’s obligations under, the Underwriting Agreement or the Mortgage Indenture, or for the issue and sale of the Bonds as contemplated therein. </w:t>
      </w:r>
    </w:p>
    <w:p>
      <w:pPr>
        <w:pStyle w:val="TextBody"/>
        <w:bidi w:val="0"/>
        <w:spacing w:before="240" w:after="0"/>
        <w:jc w:val="left"/>
        <w:rPr>
          <w:rFonts w:ascii="Times New Roman" w:hAnsi="Times New Roman"/>
          <w:sz w:val="20"/>
        </w:rPr>
      </w:pPr>
      <w:r>
        <w:rPr>
          <w:rFonts w:ascii="Times New Roman" w:hAnsi="Times New Roman"/>
          <w:sz w:val="20"/>
        </w:rPr>
        <w:t xml:space="preserve">(g) The statements set forth in the Disclosure Package and the Prospectus under the captions “Description of First Mortgage Bonds” and “Description of the Bonds” (insofar as such statements purport to summarize certain provisions of the Bonds and the Mortgage Indenture)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(h) The statements set forth in the Disclosure Package and the Prospectus under the captions “Plan of Distribution” and “Underwriting (Conflicts of Interest)” (insofar as such statements purport to summarize certain provisions of the Underwriting Agreement)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(i) The statements set forth in the Disclosure Package and the Prospectus under the caption “Material U.S. Federal Income Tax Considerations,” insofar as they purport to constitute summaries of matters of United States federal income tax law, constitute accurate and complete summaries, in all material respects, subject to the qualifications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not, and will not be after giving effect to the offer and sale of the Bonds and application of the proceeds therefrom as described in the Prospectus, required to register as an “investment company”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(k) No facts came to the attention of such counsel that gave such counsel reason to believe that (i) any part of the Registration Statement, as of the date of the Underwriting Agreement, contained an untrue statement of a material fact or omitted to state a material fact required to be stated therein or necessary to make the statements therein not misleading, (ii) the Disclosure Package, as of the Initial Sale Time, contained an untrue statement of a material fact or omitted to state a material fact necessary in order to make the statements therein, in the light of the circumstances under which they were made, not misleading or (iii) the Prospectus contained, as of the date of the Underwriting Agreement, or contains, on the date hereof, an untrue statement of a material fact or omitted, as of the date of the Underwriting Agreement, or omits, on the date hereof, to state a material fact necessary in order to make the statements therein, in the light of the circumstances under which they were made, not misleading, except that in each case such counsel may express no opinion or belief with respect to the financial statements, financial data, statistical data and supporting schedules included or incorporated or deemed to be incorporated by reference therein or omitted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120" w:after="0"/>
        <w:jc w:val="center"/>
        <w:rPr>
          <w:rFonts w:ascii="Times New Roman" w:hAnsi="Times New Roman"/>
          <w:sz w:val="20"/>
        </w:rPr>
      </w:pPr>
      <w:r>
        <w:rPr>
          <w:rFonts w:ascii="Times New Roman" w:hAnsi="Times New Roman"/>
          <w:sz w:val="20"/>
        </w:rPr>
        <w:t xml:space="preserve">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1. The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2. The Final Term Sheet.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“Disclosure Package,” the information contained in the foregoing documents shall be considered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Heather A. Humphrey, Senior Vice President, General Counsel and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validly organized and existing corporation in good standing under the laws of the State of Kansas with corporate power and authority to own, lease and operate its properties and to conduct its business as set forth in the Disclosure Package and the Prospectus and to enter into and perform its obligations under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Underwriting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Mortgage Indenture is in due and proper form, has been duly and validly authorized by all necessary corporate action, has been duly and validly executed and delivered, and is a valid instrument legally binding on the Company enforceable in accordance with its terms,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 </w:t>
      </w:r>
      <w:r>
        <w:rPr>
          <w:rFonts w:ascii="Times New Roman" w:hAnsi="Times New Roman"/>
          <w:i/>
          <w:sz w:val="20"/>
        </w:rPr>
        <w:t>provided</w:t>
      </w:r>
      <w:r>
        <w:rPr>
          <w:rFonts w:ascii="Times New Roman" w:hAnsi="Times New Roman"/>
          <w:sz w:val="20"/>
        </w:rPr>
        <w:t xml:space="preserve">, however, that certain remedial provisions of the Mortgage Indenture may not be enforceable, but such unenforceability will not render the Mortgage Indenture invalid as a whole or affect the judicial enforcement of (i) the obligation of the Company to repay the principal of the Bonds, together with the interest and any premium thereon, as provided in the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Bonds are in due and proper form; the issue and sale of the Bonds by the Company in accordance with the terms of the Underwriting Agreement have been duly and validly approved by the necessary corporate action of the Company; the Bonds have been duly authorized, executed and delivered by the Company and, when authenticated by the Trustee in accordance with the terms of the Mortgage Indenture and delivered against payment therefor pursuant to the terms of the Underwriting Agreement, will constitute legal, valid and binding obligations of the Company enforceable in accordance with their terms, secured by the lien of and entitled to the benefits provided by the Mortgage Indenture,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(e) Except as to property acquired subsequent to the execution and delivery of the Supplemental Indenture, the Company has good and sufficient title to, or a satisfactory easement in, the Mortgaged Property (as such term is defined in the Mortgage Indenture) (except such property as may have been disposed of or released from the lien of the Mortgage Indenture in accordance with the terms thereof), subject only to (i) the lien of the Mortgage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exceptions and reservations specifically set forth therein, (iii) Permitted Liens (as such term is defined in the Mortgage Indenture), (iv) leases and minor liens of judgments not prior to the lien of the Mortgage Indenture that, in my opinion, do not interfere with the Company’s business, (v) defects, irregularities and deficiencies in titles of properties and rights-of-way that, in my opinion, do not materially impair the use of such property and rights-of-way for the purposes for which they are held by the Company and (vi) matters specified in the Disclosure Package and the Prospectus under “Description of First Mortgage Bonds—Priority and Security;” the description in the Mortgage Indenture of such property is adequate to constitute the mortgage lien thereon; the Mortgage Indenture, subject only to the qualifications set forth in this paragraph (e) and to such other matters as do not materially affect the security for the Bonds, constitutes a valid, direct first mortgage lien on the Mortgaged Property, and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Permitted Liens and such other exceptions as are permitted by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Mortgage Indenture has been duly recorded and filed in each place in which such recording or filing is required to establish, protect and preserve the lien of the Mortgage Indenture on the Mortgaged Property, and all taxes and recording or filing fees required to be paid in connection with the execution, recording or filing of the Mortgage Indenture have been duly paid. </w:t>
      </w:r>
    </w:p>
    <w:p>
      <w:pPr>
        <w:pStyle w:val="TextBody"/>
        <w:bidi w:val="0"/>
        <w:spacing w:before="240" w:after="0"/>
        <w:jc w:val="left"/>
        <w:rPr>
          <w:rFonts w:ascii="Times New Roman" w:hAnsi="Times New Roman"/>
          <w:sz w:val="20"/>
        </w:rPr>
      </w:pPr>
      <w:r>
        <w:rPr>
          <w:rFonts w:ascii="Times New Roman" w:hAnsi="Times New Roman"/>
          <w:sz w:val="20"/>
        </w:rPr>
        <w:t xml:space="preserve">(g) The Subsidiary has been duly organized and is validly existing as a corporation in good standing under the laws of the jurisdiction of its incorporation, has the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to the best of such counsel’s knowledge, such shares of capital stock are owned directly by the Company free and clear of any security interest, mortgage, pledge, lien, encumbrance or claim; and none of the outstanding shares of capital stock of the Subsidiary was issued in violation of preemptive or other similar rights of any securityholder of the Subsidiary.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obtained all necessary consents, orders or approvals in connection with the issuance and sale of the Bonds. No additional consent, approval, authorization, filing with or order of (i) the Federal Energy Regulatory Commission under the Federal Power Act, (ii) the State Corporation Commission of the State of Kansas or (iii) to the knowledge of the Company, any court or governmental agency or body is required in connection with the transactions contemplated by the Underwriting Agreement or the Mortgage Indenture, except as may be required under securities or blue sky laws of the various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and the Subsidiary hold, to the extent required, valid and subsisting franchises, certificates of convenience and authority, licenses and permits authorizing them to carry on the regulated utility businesses in which they are engaged, in the territories from which substantially all of their consolidated gross operating revenue is derived, except where the failure to hold such franchises, certificates of convenience and authority, licenses and permits would not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(j) To the best of such counsel’s knowledge, there are no legal or governmental proceedings pending or threatened that are required to be disclosed in the Disclosure Package and the Prospectus, other than those disclosed therein, and all pending legal or governmental proceedings to which the Company or any of its subsidiaries is a party or of which any of their property is the subject that are not described in the Disclosure Package and the Prospectus, including ordinary routine litigation incidental to the business of the Company, are, considered in the aggregate, not material to the consolidated financial condition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(k) To the best of such counsel’s knowledge, the Company is not in violation of its Amended and Restated Articles of Incorporation, as amended, or in default in the performance or observance of any material obligation, agreement, covenant or condition contained in any material Agreement or Instrument. </w:t>
      </w:r>
    </w:p>
    <w:p>
      <w:pPr>
        <w:pStyle w:val="TextBody"/>
        <w:bidi w:val="0"/>
        <w:spacing w:before="240" w:after="0"/>
        <w:jc w:val="left"/>
        <w:rPr>
          <w:rFonts w:ascii="Times New Roman" w:hAnsi="Times New Roman"/>
          <w:sz w:val="20"/>
        </w:rPr>
      </w:pPr>
      <w:r>
        <w:rPr>
          <w:rFonts w:ascii="Times New Roman" w:hAnsi="Times New Roman"/>
          <w:sz w:val="20"/>
        </w:rPr>
        <w:t xml:space="preserve">(l) The execution, delivery and performance of the Underwriting Agreement, the Mortgage Indenture and the Bonds and the consummation of the transactions contemplated therein (including the issuance and sale of the Bonds and the use of the proceeds received by the Company from the sale of the Bonds as described in the Disclosure Package and in the Prospectus under the caption “Use of Proceeds”) and compliance by the Company with its obligations under the Underwriting Agreement, the Mortgage Indenture and the Bonds do not and will not conflict with or violate or constitute a breach of, or default under, or result in the creation or imposition of any lien, charge or encumbrance (other than the lien of the Mortgage Indenture) upon any property or assets of the Company or the Subsidiary pursuant to any material Agreement or Instrument or any law, any regulation or any administrative or court order or decree known to such counsel to be applicable to the Company of any court or governmental agency, authority or body or any arbitrator having jurisdiction over the Company; nor will such action result in any violation of the provisions of the Company’s Amended and Restated Articles of Incorporation, as amended, or the Company’s Amended and Restated By-Laws, as amended. </w:t>
      </w:r>
    </w:p>
    <w:p>
      <w:pPr>
        <w:pStyle w:val="TextBody"/>
        <w:bidi w:val="0"/>
        <w:spacing w:before="240" w:after="0"/>
        <w:jc w:val="left"/>
        <w:rPr>
          <w:rFonts w:ascii="Times New Roman" w:hAnsi="Times New Roman"/>
          <w:sz w:val="20"/>
        </w:rPr>
      </w:pPr>
      <w:r>
        <w:rPr>
          <w:rFonts w:ascii="Times New Roman" w:hAnsi="Times New Roman"/>
          <w:sz w:val="20"/>
        </w:rPr>
        <w:t xml:space="preserve">(m) To the best of such counsel’s knowledge, there are no contracts, indentures, mortgages, loan agreements, notes, leases or other instruments or documents required to be described or referred to in the Disclosure Package or the Prospectus or to be filed as exhibits or incorporated by reference as exhibits to the Registration Statement other than those described or referred to therein or filed or incorporated by reference as exhibits to the Registration Statement, the descriptions thereof or references thereto are correct in all material respects, and no default exists in the due performance or observance of any material obligation, agreement, covenant or condition contained in any Agreement or Instrument described, referred to, filed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such opinion, such counsel may state that such counsel expresses no opinion as to the laws of any jurisdiction other than the laws of the State of Kansas and the federal laws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p>
    <w:p>
      <w:pPr>
        <w:pStyle w:val="TextBody"/>
        <w:bidi w:val="0"/>
        <w:spacing w:before="0" w:after="0"/>
        <w:jc w:val="right"/>
        <w:rPr>
          <w:rFonts w:ascii="Times New Roman" w:hAnsi="Times New Roman"/>
          <w:b/>
          <w:sz w:val="20"/>
        </w:rPr>
      </w:pPr>
      <w:bookmarkStart w:id="4" w:name="d504888dex41.htm"/>
      <w:bookmarkStart w:id="5" w:name="ksd504888dex41"/>
      <w:bookmarkEnd w:id="4"/>
      <w:bookmarkEnd w:id="5"/>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KANSAS CENTRAL, INC.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THE BANK OF NEW YORK MELLON TRUST COMPANY, N.A. </w:t>
      </w:r>
    </w:p>
    <w:p>
      <w:pPr>
        <w:pStyle w:val="TextBody"/>
        <w:bidi w:val="0"/>
        <w:spacing w:before="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(as Successor to </w:t>
      </w:r>
    </w:p>
    <w:p>
      <w:pPr>
        <w:pStyle w:val="TextBody"/>
        <w:bidi w:val="0"/>
        <w:spacing w:before="0" w:after="0"/>
        <w:jc w:val="center"/>
        <w:rPr>
          <w:rFonts w:ascii="Times New Roman" w:hAnsi="Times New Roman"/>
          <w:b/>
          <w:sz w:val="20"/>
        </w:rPr>
      </w:pPr>
      <w:r>
        <w:rPr>
          <w:rFonts w:ascii="Times New Roman" w:hAnsi="Times New Roman"/>
          <w:b/>
          <w:sz w:val="20"/>
        </w:rPr>
        <w:t xml:space="preserve">HARRIS TRUST AND SAVINGS BANK)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FIFTY-SIXTH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to Original Mortgage Filed with Shawnee County Register of Deeds </w:t>
      </w:r>
    </w:p>
    <w:p>
      <w:pPr>
        <w:pStyle w:val="TextBody"/>
        <w:bidi w:val="0"/>
        <w:spacing w:before="240" w:after="0"/>
        <w:jc w:val="center"/>
        <w:rPr>
          <w:rFonts w:ascii="Times New Roman" w:hAnsi="Times New Roman"/>
          <w:b/>
          <w:sz w:val="20"/>
        </w:rPr>
      </w:pPr>
      <w:r>
        <w:rPr>
          <w:rFonts w:ascii="Times New Roman" w:hAnsi="Times New Roman"/>
          <w:b/>
          <w:sz w:val="20"/>
        </w:rPr>
        <w:t xml:space="preserve">on July 1, 1939, at Book 778 Page 216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16, 2026 </w:t>
      </w:r>
    </w:p>
    <w:p>
      <w:pPr>
        <w:pStyle w:val="TextBody"/>
        <w:bidi w:val="0"/>
        <w:spacing w:before="0" w:after="0"/>
        <w:jc w:val="center"/>
        <w:rPr>
          <w:rFonts w:ascii="Times New Roman" w:hAnsi="Times New Roman"/>
          <w:sz w:val="20"/>
        </w:rPr>
      </w:pPr>
      <w:r>
        <w:rPr>
          <w:rFonts w:ascii="Times New Roman" w:hAnsi="Times New Roman"/>
          <w:sz w:val="20"/>
        </w:rPr>
        <w:t xml:space="preserve">First Mortgage Bonds, 5.600% Series due 2034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3"/>
        <w:gridCol w:w="169"/>
        <w:gridCol w:w="60"/>
        <w:gridCol w:w="260"/>
        <w:gridCol w:w="63"/>
      </w:tblGrid>
      <w:tr>
        <w:trPr/>
        <w:tc>
          <w:tcPr>
            <w:tcW w:w="9653"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Recitals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Granting Clause</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Habendum</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Exceptions and Reservations</w:t>
            </w:r>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4"/>
        <w:gridCol w:w="262"/>
        <w:gridCol w:w="102"/>
        <w:gridCol w:w="454"/>
        <w:gridCol w:w="63"/>
      </w:tblGrid>
      <w:tr>
        <w:trPr/>
        <w:tc>
          <w:tcPr>
            <w:tcW w:w="932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24"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556"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I</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D</w:t>
            </w:r>
            <w:r>
              <w:rPr>
                <w:sz w:val="20"/>
              </w:rPr>
              <w:t>ESCRIPTION</w:t>
            </w:r>
            <w:r>
              <w:rPr/>
              <w:t xml:space="preserve"> </w:t>
            </w:r>
            <w:r>
              <w:rPr>
                <w:sz w:val="20"/>
              </w:rPr>
              <w:t>OF</w:t>
            </w:r>
            <w:r>
              <w:rPr/>
              <w:t xml:space="preserve"> B</w:t>
            </w:r>
            <w:r>
              <w:rPr>
                <w:sz w:val="20"/>
              </w:rPr>
              <w:t>ONDS</w:t>
            </w:r>
            <w:r>
              <w:rPr/>
              <w:t xml:space="preserve"> </w:t>
            </w:r>
            <w:r>
              <w:rPr>
                <w:sz w:val="20"/>
              </w:rPr>
              <w:t>OF</w:t>
            </w:r>
            <w:r>
              <w:rPr/>
              <w:t xml:space="preserve"> </w:t>
            </w:r>
            <w:r>
              <w:rPr>
                <w:sz w:val="20"/>
              </w:rPr>
              <w:t>THE</w:t>
            </w:r>
            <w:r>
              <w:rPr/>
              <w:t xml:space="preserve"> 5.600% S</w:t>
            </w:r>
            <w:r>
              <w:rPr>
                <w:sz w:val="20"/>
              </w:rPr>
              <w:t>ERIES</w:t>
            </w:r>
            <w:r>
              <w:rPr/>
              <w:t xml:space="preserve"> </w:t>
            </w:r>
            <w:r>
              <w:rPr>
                <w:sz w:val="20"/>
              </w:rPr>
              <w:t>DUE</w:t>
            </w:r>
            <w:r>
              <w:rPr/>
              <w:t xml:space="preserve"> 2034</w:t>
            </w:r>
          </w:p>
        </w:tc>
        <w:tc>
          <w:tcPr>
            <w:tcW w:w="63" w:type="dxa"/>
            <w:tcBorders/>
          </w:tcPr>
          <w:p>
            <w:pPr>
              <w:pStyle w:val="TableContents"/>
              <w:bidi w:val="0"/>
              <w:spacing w:before="0" w:after="0"/>
              <w:jc w:val="left"/>
              <w:rPr/>
            </w:pPr>
            <w:r>
              <w:rPr/>
              <w:t xml:space="preserve">  </w:t>
            </w:r>
          </w:p>
        </w:tc>
      </w:tr>
      <w:tr>
        <w:trPr>
          <w:trHeight w:val="12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General Description of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Denominations of Bonds of the 5.600% Series due 2034 and Privilege of Exchange</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i/>
                <w:sz w:val="20"/>
              </w:rPr>
              <w:t>Form of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 </w:t>
            </w:r>
            <w:r>
              <w:rPr>
                <w:rFonts w:ascii="Times New Roman" w:hAnsi="Times New Roman"/>
                <w:i/>
                <w:sz w:val="20"/>
              </w:rPr>
              <w:t>Execution and Form of Temporary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II</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I</w:t>
            </w:r>
            <w:r>
              <w:rPr>
                <w:sz w:val="20"/>
              </w:rPr>
              <w:t>SSUE</w:t>
            </w:r>
            <w:r>
              <w:rPr/>
              <w:t xml:space="preserve"> </w:t>
            </w:r>
            <w:r>
              <w:rPr>
                <w:sz w:val="20"/>
              </w:rPr>
              <w:t>OF</w:t>
            </w:r>
            <w:r>
              <w:rPr/>
              <w:t xml:space="preserve"> B</w:t>
            </w:r>
            <w:r>
              <w:rPr>
                <w:sz w:val="20"/>
              </w:rPr>
              <w:t>ONDS</w:t>
            </w:r>
            <w:r>
              <w:rPr/>
              <w:t xml:space="preserve"> </w:t>
            </w:r>
            <w:r>
              <w:rPr>
                <w:sz w:val="20"/>
              </w:rPr>
              <w:t>OF</w:t>
            </w:r>
            <w:r>
              <w:rPr/>
              <w:t xml:space="preserve"> </w:t>
            </w:r>
            <w:r>
              <w:rPr>
                <w:sz w:val="20"/>
              </w:rPr>
              <w:t>THE</w:t>
            </w:r>
            <w:r>
              <w:rPr/>
              <w:t xml:space="preserve"> 5.600% S</w:t>
            </w:r>
            <w:r>
              <w:rPr>
                <w:sz w:val="20"/>
              </w:rPr>
              <w:t>ERIES</w:t>
            </w:r>
            <w:r>
              <w:rPr/>
              <w:t xml:space="preserve"> </w:t>
            </w:r>
            <w:r>
              <w:rPr>
                <w:sz w:val="20"/>
              </w:rPr>
              <w:t>DUE</w:t>
            </w:r>
            <w:r>
              <w:rPr/>
              <w:t xml:space="preserve"> 2034</w:t>
            </w:r>
          </w:p>
        </w:tc>
        <w:tc>
          <w:tcPr>
            <w:tcW w:w="63" w:type="dxa"/>
            <w:tcBorders/>
          </w:tcPr>
          <w:p>
            <w:pPr>
              <w:pStyle w:val="TableContents"/>
              <w:bidi w:val="0"/>
              <w:spacing w:before="0" w:after="0"/>
              <w:jc w:val="left"/>
              <w:rPr/>
            </w:pPr>
            <w:r>
              <w:rPr/>
              <w:t xml:space="preserve">  </w:t>
            </w:r>
          </w:p>
        </w:tc>
      </w:tr>
      <w:tr>
        <w:trPr>
          <w:trHeight w:val="12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Limitation as to Principal Amount of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Execution and Delivery of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i/>
                <w:sz w:val="20"/>
              </w:rPr>
              <w:t>Additional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III</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R</w:t>
            </w:r>
            <w:r>
              <w:rPr>
                <w:sz w:val="20"/>
              </w:rPr>
              <w:t>EDEMPTION</w:t>
            </w:r>
            <w:r>
              <w:rPr/>
              <w:t xml:space="preserve"> </w:t>
            </w:r>
            <w:r>
              <w:rPr>
                <w:sz w:val="20"/>
              </w:rPr>
              <w:t>AND</w:t>
            </w:r>
            <w:r>
              <w:rPr/>
              <w:t xml:space="preserve"> S</w:t>
            </w:r>
            <w:r>
              <w:rPr>
                <w:sz w:val="20"/>
              </w:rPr>
              <w:t>UBSTITUTION</w:t>
            </w:r>
            <w:r>
              <w:rPr/>
              <w:t xml:space="preserve"> </w:t>
            </w:r>
            <w:r>
              <w:rPr>
                <w:sz w:val="20"/>
              </w:rPr>
              <w:t>OF</w:t>
            </w:r>
            <w:r>
              <w:rPr/>
              <w:t xml:space="preserve"> B</w:t>
            </w:r>
            <w:r>
              <w:rPr>
                <w:sz w:val="20"/>
              </w:rPr>
              <w:t>ONDS</w:t>
            </w:r>
            <w:r>
              <w:rPr/>
              <w:t xml:space="preserve"> </w:t>
            </w:r>
            <w:r>
              <w:rPr>
                <w:sz w:val="20"/>
              </w:rPr>
              <w:t>OF</w:t>
            </w:r>
            <w:r>
              <w:rPr/>
              <w:t xml:space="preserve"> </w:t>
            </w:r>
            <w:r>
              <w:rPr>
                <w:sz w:val="20"/>
              </w:rPr>
              <w:t>THE</w:t>
            </w:r>
            <w:r>
              <w:rPr/>
              <w:t xml:space="preserve"> 5.600% S</w:t>
            </w:r>
            <w:r>
              <w:rPr>
                <w:sz w:val="20"/>
              </w:rPr>
              <w:t>ERIES</w:t>
            </w:r>
            <w:r>
              <w:rPr/>
              <w:t xml:space="preserve"> </w:t>
            </w:r>
            <w:r>
              <w:rPr>
                <w:sz w:val="20"/>
              </w:rPr>
              <w:t>DUE</w:t>
            </w:r>
            <w:r>
              <w:rPr/>
              <w:t xml:space="preserve"> 2034</w:t>
            </w:r>
          </w:p>
        </w:tc>
        <w:tc>
          <w:tcPr>
            <w:tcW w:w="63" w:type="dxa"/>
            <w:tcBorders/>
          </w:tcPr>
          <w:p>
            <w:pPr>
              <w:pStyle w:val="TableContents"/>
              <w:bidi w:val="0"/>
              <w:spacing w:before="0" w:after="0"/>
              <w:jc w:val="left"/>
              <w:rPr/>
            </w:pPr>
            <w:r>
              <w:rPr/>
              <w:t> </w:t>
            </w:r>
          </w:p>
        </w:tc>
      </w:tr>
      <w:tr>
        <w:trPr>
          <w:trHeight w:val="12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Optional Redemption of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Substitution of Bonds of the 5.600% Series due 2034</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IV</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A</w:t>
            </w:r>
            <w:r>
              <w:rPr>
                <w:sz w:val="20"/>
              </w:rPr>
              <w:t>DDITIONAL</w:t>
            </w:r>
            <w:r>
              <w:rPr/>
              <w:t xml:space="preserve"> C</w:t>
            </w:r>
            <w:r>
              <w:rPr>
                <w:sz w:val="20"/>
              </w:rPr>
              <w:t>OVENANTS</w:t>
            </w:r>
          </w:p>
        </w:tc>
        <w:tc>
          <w:tcPr>
            <w:tcW w:w="63" w:type="dxa"/>
            <w:tcBorders/>
          </w:tcPr>
          <w:p>
            <w:pPr>
              <w:pStyle w:val="TableContents"/>
              <w:bidi w:val="0"/>
              <w:spacing w:before="0" w:after="0"/>
              <w:jc w:val="left"/>
              <w:rPr/>
            </w:pPr>
            <w:r>
              <w:rPr/>
              <w:t> </w:t>
            </w:r>
          </w:p>
        </w:tc>
      </w:tr>
      <w:tr>
        <w:trPr>
          <w:trHeight w:val="12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Title to Mortgaged Property</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Tax Withholding Compliance</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575"/>
        <w:gridCol w:w="150"/>
        <w:gridCol w:w="60"/>
        <w:gridCol w:w="358"/>
        <w:gridCol w:w="62"/>
      </w:tblGrid>
      <w:tr>
        <w:trPr/>
        <w:tc>
          <w:tcPr>
            <w:tcW w:w="957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ARTICLE V</w:t>
            </w:r>
          </w:p>
        </w:tc>
        <w:tc>
          <w:tcPr>
            <w:tcW w:w="15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358"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R</w:t>
            </w:r>
            <w:r>
              <w:rPr>
                <w:sz w:val="20"/>
              </w:rPr>
              <w:t>ESERVATIONS</w:t>
            </w:r>
            <w:r>
              <w:rPr/>
              <w:t xml:space="preserve"> </w:t>
            </w:r>
            <w:r>
              <w:rPr>
                <w:sz w:val="20"/>
              </w:rPr>
              <w:t>OF</w:t>
            </w:r>
            <w:r>
              <w:rPr/>
              <w:t xml:space="preserve"> R</w:t>
            </w:r>
            <w:r>
              <w:rPr>
                <w:sz w:val="20"/>
              </w:rPr>
              <w:t>IGHTS</w:t>
            </w:r>
            <w:r>
              <w:rPr/>
              <w:t xml:space="preserve"> </w:t>
            </w:r>
            <w:r>
              <w:rPr>
                <w:sz w:val="20"/>
              </w:rPr>
              <w:t>TO</w:t>
            </w:r>
            <w:r>
              <w:rPr/>
              <w:t xml:space="preserve"> A</w:t>
            </w:r>
            <w:r>
              <w:rPr>
                <w:sz w:val="20"/>
              </w:rPr>
              <w:t>MEND</w:t>
            </w:r>
            <w:r>
              <w:rPr/>
              <w:t xml:space="preserve"> </w:t>
            </w:r>
            <w:r>
              <w:rPr>
                <w:sz w:val="20"/>
              </w:rPr>
              <w:t>THE</w:t>
            </w:r>
            <w:r>
              <w:rPr/>
              <w:t xml:space="preserve"> O</w:t>
            </w:r>
            <w:r>
              <w:rPr>
                <w:sz w:val="20"/>
              </w:rPr>
              <w:t>RIGINAL</w:t>
            </w:r>
            <w:r>
              <w:rPr/>
              <w:t xml:space="preserve"> I</w:t>
            </w:r>
            <w:r>
              <w:rPr>
                <w:sz w:val="20"/>
              </w:rPr>
              <w:t>NDENTURE</w:t>
            </w:r>
          </w:p>
        </w:tc>
        <w:tc>
          <w:tcPr>
            <w:tcW w:w="15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358"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rHeight w:val="12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Modernization of the Original Indenture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24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ARTICLE VI</w:t>
            </w:r>
          </w:p>
        </w:tc>
        <w:tc>
          <w:tcPr>
            <w:tcW w:w="15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358"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M</w:t>
            </w:r>
            <w:r>
              <w:rPr>
                <w:i/>
              </w:rPr>
              <w:t>iscellaneous</w:t>
            </w:r>
            <w:r>
              <w:rPr/>
              <w:t xml:space="preserve"> P</w:t>
            </w:r>
            <w:r>
              <w:rPr>
                <w:i/>
              </w:rPr>
              <w:t>rovisions</w:t>
            </w:r>
          </w:p>
        </w:tc>
        <w:tc>
          <w:tcPr>
            <w:tcW w:w="15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358"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rHeight w:val="12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Acceptance of Trust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Responsibility and Duty of Trustee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i/>
                <w:sz w:val="20"/>
              </w:rPr>
              <w:t>Parties to Include Successors and Assigns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 </w:t>
            </w:r>
            <w:r>
              <w:rPr>
                <w:rFonts w:ascii="Times New Roman" w:hAnsi="Times New Roman"/>
                <w:i/>
                <w:sz w:val="20"/>
              </w:rPr>
              <w:t>Benefits Restricted to Parties and to Holders of Bonds and Coupons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 </w:t>
            </w:r>
            <w:r>
              <w:rPr>
                <w:rFonts w:ascii="Times New Roman" w:hAnsi="Times New Roman"/>
                <w:i/>
                <w:sz w:val="20"/>
              </w:rPr>
              <w:t>Execution in Counterparts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 </w:t>
            </w:r>
            <w:r>
              <w:rPr>
                <w:rFonts w:ascii="Times New Roman" w:hAnsi="Times New Roman"/>
                <w:i/>
                <w:sz w:val="20"/>
              </w:rPr>
              <w:t>Titles of Articles Not Part of the Fifty-Sixth Supplemental Indenture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 </w:t>
            </w:r>
            <w:r>
              <w:rPr>
                <w:rFonts w:ascii="Times New Roman" w:hAnsi="Times New Roman"/>
                <w:i/>
                <w:sz w:val="20"/>
              </w:rPr>
              <w:t>Electronic Means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 </w:t>
            </w:r>
            <w:r>
              <w:rPr>
                <w:rFonts w:ascii="Times New Roman" w:hAnsi="Times New Roman"/>
                <w:i/>
                <w:sz w:val="20"/>
              </w:rPr>
              <w:t>OFAC Compliance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 </w:t>
            </w:r>
            <w:r>
              <w:rPr>
                <w:rFonts w:ascii="Times New Roman" w:hAnsi="Times New Roman"/>
                <w:i/>
                <w:sz w:val="20"/>
              </w:rPr>
              <w:t>FATCA</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24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TESTIMONIUM</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SIGNATURES AND SEALS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5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ACKNOWLEDGEMENTS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FIFTY-SIXTH SUPPLEMENTAL INDENTURE, dated as of the 16th day of September, Two Thousand and Twenty-Six, made by and between Evergy Kansas Central, Inc., formerly Westar Energy, Inc., a corporation organized and existing under the laws of the State of Kansas (and successor by the Merger (hereinafter defined) to Westar Energy, Inc., formerly The Kansas Power and Light Company, sometimes hereinafter called the “</w:t>
      </w:r>
      <w:r>
        <w:rPr>
          <w:rFonts w:ascii="Times New Roman" w:hAnsi="Times New Roman"/>
          <w:b/>
          <w:sz w:val="20"/>
        </w:rPr>
        <w:t>Company-Predecessor</w:t>
      </w:r>
      <w:r>
        <w:rPr>
          <w:rFonts w:ascii="Times New Roman" w:hAnsi="Times New Roman"/>
          <w:sz w:val="20"/>
        </w:rPr>
        <w:t>”) (hereinafter called the “</w:t>
      </w:r>
      <w:r>
        <w:rPr>
          <w:rFonts w:ascii="Times New Roman" w:hAnsi="Times New Roman"/>
          <w:b/>
          <w:sz w:val="20"/>
        </w:rPr>
        <w:t>Company</w:t>
      </w:r>
      <w:r>
        <w:rPr>
          <w:rFonts w:ascii="Times New Roman" w:hAnsi="Times New Roman"/>
          <w:sz w:val="20"/>
        </w:rPr>
        <w:t>”), party of the first part, and The Bank of New York Mellon Trust Company, N.A., a national banking association whose mailing address is 311 S. Wacker Drive, Suite 6200B Mailbox #44, Chicago, Illinois 60606 (hereinafter called the “</w:t>
      </w:r>
      <w:r>
        <w:rPr>
          <w:rFonts w:ascii="Times New Roman" w:hAnsi="Times New Roman"/>
          <w:b/>
          <w:sz w:val="20"/>
        </w:rPr>
        <w:t>Trustee</w:t>
      </w:r>
      <w:r>
        <w:rPr>
          <w:rFonts w:ascii="Times New Roman" w:hAnsi="Times New Roman"/>
          <w:sz w:val="20"/>
        </w:rPr>
        <w:t xml:space="preserve">”), as Trustee (as successor to Harris Trust and Savings Bank), under the Mortgage and Deed of Trust dated July 1, 1939, hereinafter mentioned, party of the second part; </w:t>
      </w:r>
    </w:p>
    <w:p>
      <w:pPr>
        <w:pStyle w:val="TextBody"/>
        <w:bidi w:val="0"/>
        <w:spacing w:before="240" w:after="0"/>
        <w:jc w:val="left"/>
        <w:rPr>
          <w:rFonts w:ascii="Times New Roman" w:hAnsi="Times New Roman"/>
          <w:sz w:val="20"/>
        </w:rPr>
      </w:pPr>
      <w:r>
        <w:rPr>
          <w:rFonts w:ascii="Times New Roman" w:hAnsi="Times New Roman"/>
          <w:sz w:val="20"/>
        </w:rPr>
        <w:t>WHEREAS, the Company has heretofore executed and delivered to the Trustee its Mortgage and Deed of Trust dated July 1, 1939 (hereinafter referred to as the “</w:t>
      </w:r>
      <w:r>
        <w:rPr>
          <w:rFonts w:ascii="Times New Roman" w:hAnsi="Times New Roman"/>
          <w:b/>
          <w:sz w:val="20"/>
        </w:rPr>
        <w:t>Original Indenture</w:t>
      </w:r>
      <w:r>
        <w:rPr>
          <w:rFonts w:ascii="Times New Roman" w:hAnsi="Times New Roman"/>
          <w:sz w:val="20"/>
        </w:rPr>
        <w:t xml:space="preserve">”), to provide for and to secure the issue of First Mortgage Bonds of the Company, issuable in series, and to declare the terms and conditions upon which the Bonds (as defined in the Original Indenture) are to be issued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heretofore executed and delivered to the Trustee fifty-five Supplemental Indentures, in addition to the Forty-Second Supplemental (Reopening) Indenture and the Fifty-Third Supplemental (Reopening) Indenture, supplemental to said Original Indenture, of which fifty-one provided for the issuance thereunder of series of the Company’s First Mortgage Bonds, and there is set forth below information with respect to such Supplemental Indentures as have provided for the issuance of Bonds, and the principal amount of Bonds which remain outstanding as of September 16,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1783"/>
        <w:gridCol w:w="164"/>
        <w:gridCol w:w="1802"/>
        <w:gridCol w:w="164"/>
        <w:gridCol w:w="2485"/>
        <w:gridCol w:w="164"/>
        <w:gridCol w:w="140"/>
        <w:gridCol w:w="1101"/>
        <w:gridCol w:w="60"/>
        <w:gridCol w:w="164"/>
        <w:gridCol w:w="126"/>
        <w:gridCol w:w="1169"/>
        <w:gridCol w:w="66"/>
      </w:tblGrid>
      <w:tr>
        <w:trPr/>
        <w:tc>
          <w:tcPr>
            <w:tcW w:w="1783"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7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64" w:type="dxa"/>
            <w:tcBorders/>
            <w:vAlign w:val="bottom"/>
          </w:tcPr>
          <w:p>
            <w:pPr>
              <w:pStyle w:val="TableContents"/>
              <w:bidi w:val="0"/>
              <w:spacing w:before="0" w:after="283"/>
              <w:jc w:val="left"/>
              <w:rPr/>
            </w:pPr>
            <w:r>
              <w:rPr/>
              <w:t>  </w:t>
            </w:r>
          </w:p>
        </w:tc>
        <w:tc>
          <w:tcPr>
            <w:tcW w:w="1802"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64" w:type="dxa"/>
            <w:tcBorders/>
            <w:vAlign w:val="bottom"/>
          </w:tcPr>
          <w:p>
            <w:pPr>
              <w:pStyle w:val="TableContents"/>
              <w:bidi w:val="0"/>
              <w:spacing w:before="0" w:after="283"/>
              <w:jc w:val="left"/>
              <w:rPr/>
            </w:pPr>
            <w:r>
              <w:rPr/>
              <w:t>  </w:t>
            </w:r>
          </w:p>
        </w:tc>
        <w:tc>
          <w:tcPr>
            <w:tcW w:w="248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w:t>
              <w:br/>
              <w:t>Provided For</w:t>
            </w:r>
          </w:p>
        </w:tc>
        <w:tc>
          <w:tcPr>
            <w:tcW w:w="16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6" w:type="dxa"/>
            <w:tcBorders/>
            <w:vAlign w:val="bottom"/>
          </w:tcPr>
          <w:p>
            <w:pPr>
              <w:pStyle w:val="TableContents"/>
              <w:bidi w:val="0"/>
              <w:spacing w:before="0" w:after="283"/>
              <w:jc w:val="left"/>
              <w:rPr/>
            </w:pPr>
            <w:r>
              <w:rPr/>
              <w:t> </w:t>
            </w:r>
          </w:p>
        </w:tc>
      </w:tr>
      <w:tr>
        <w:trPr/>
        <w:tc>
          <w:tcPr>
            <w:tcW w:w="17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Indenture</w:t>
            </w:r>
          </w:p>
        </w:tc>
        <w:tc>
          <w:tcPr>
            <w:tcW w:w="164" w:type="dxa"/>
            <w:tcBorders/>
            <w:shd w:fill="CCEEFF" w:val="clear"/>
            <w:vAlign w:val="bottom"/>
          </w:tcPr>
          <w:p>
            <w:pPr>
              <w:pStyle w:val="TableContents"/>
              <w:bidi w:val="0"/>
              <w:spacing w:before="0" w:after="283"/>
              <w:jc w:val="left"/>
              <w:rPr/>
            </w:pPr>
            <w:r>
              <w:rPr/>
              <w:t>  </w:t>
            </w:r>
          </w:p>
        </w:tc>
        <w:tc>
          <w:tcPr>
            <w:tcW w:w="1802" w:type="dxa"/>
            <w:tcBorders/>
            <w:shd w:fill="CCEEFF" w:val="clear"/>
            <w:vAlign w:val="bottom"/>
          </w:tcPr>
          <w:p>
            <w:pPr>
              <w:pStyle w:val="TableContents"/>
              <w:bidi w:val="0"/>
              <w:spacing w:before="0" w:after="283"/>
              <w:jc w:val="center"/>
              <w:rPr/>
            </w:pPr>
            <w:r>
              <w:rPr/>
              <w:t>July 1, 1939</w:t>
            </w:r>
          </w:p>
        </w:tc>
        <w:tc>
          <w:tcPr>
            <w:tcW w:w="164" w:type="dxa"/>
            <w:tcBorders/>
            <w:shd w:fill="CCEEFF" w:val="clear"/>
            <w:vAlign w:val="bottom"/>
          </w:tcPr>
          <w:p>
            <w:pPr>
              <w:pStyle w:val="TableContents"/>
              <w:bidi w:val="0"/>
              <w:spacing w:before="0" w:after="283"/>
              <w:jc w:val="left"/>
              <w:rPr/>
            </w:pPr>
            <w:r>
              <w:rPr/>
              <w:t>  </w:t>
            </w:r>
          </w:p>
        </w:tc>
        <w:tc>
          <w:tcPr>
            <w:tcW w:w="2485" w:type="dxa"/>
            <w:tcBorders/>
            <w:shd w:fill="CCEEFF" w:val="clear"/>
            <w:vAlign w:val="bottom"/>
          </w:tcPr>
          <w:p>
            <w:pPr>
              <w:pStyle w:val="TableContents"/>
              <w:bidi w:val="0"/>
              <w:spacing w:before="0" w:after="283"/>
              <w:jc w:val="center"/>
              <w:rPr/>
            </w:pPr>
            <w:r>
              <w:rPr/>
              <w:t>3-1/2% Series Due 1969</w:t>
            </w:r>
          </w:p>
        </w:tc>
        <w:tc>
          <w:tcPr>
            <w:tcW w:w="1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26,500,000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None</w:t>
            </w:r>
          </w:p>
        </w:tc>
        <w:tc>
          <w:tcPr>
            <w:tcW w:w="66" w:type="dxa"/>
            <w:tcBorders/>
            <w:shd w:fill="CCEEFF" w:val="clear"/>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Second Supplemental Indenture</w:t>
            </w:r>
          </w:p>
        </w:tc>
        <w:tc>
          <w:tcPr>
            <w:tcW w:w="164" w:type="dxa"/>
            <w:tcBorders/>
            <w:vAlign w:val="bottom"/>
          </w:tcPr>
          <w:p>
            <w:pPr>
              <w:pStyle w:val="TableContents"/>
              <w:bidi w:val="0"/>
              <w:spacing w:before="0" w:after="283"/>
              <w:jc w:val="left"/>
              <w:rPr/>
            </w:pPr>
            <w:r>
              <w:rPr/>
              <w:t>  </w:t>
            </w:r>
          </w:p>
        </w:tc>
        <w:tc>
          <w:tcPr>
            <w:tcW w:w="1802" w:type="dxa"/>
            <w:tcBorders/>
            <w:vAlign w:val="bottom"/>
          </w:tcPr>
          <w:p>
            <w:pPr>
              <w:pStyle w:val="TableContents"/>
              <w:bidi w:val="0"/>
              <w:spacing w:before="0" w:after="283"/>
              <w:jc w:val="center"/>
              <w:rPr/>
            </w:pPr>
            <w:r>
              <w:rPr/>
              <w:t>April 1, 1949</w:t>
            </w:r>
          </w:p>
        </w:tc>
        <w:tc>
          <w:tcPr>
            <w:tcW w:w="164" w:type="dxa"/>
            <w:tcBorders/>
            <w:vAlign w:val="bottom"/>
          </w:tcPr>
          <w:p>
            <w:pPr>
              <w:pStyle w:val="TableContents"/>
              <w:bidi w:val="0"/>
              <w:spacing w:before="0" w:after="283"/>
              <w:jc w:val="left"/>
              <w:rPr/>
            </w:pPr>
            <w:r>
              <w:rPr/>
              <w:t>  </w:t>
            </w:r>
          </w:p>
        </w:tc>
        <w:tc>
          <w:tcPr>
            <w:tcW w:w="2485" w:type="dxa"/>
            <w:tcBorders/>
            <w:vAlign w:val="bottom"/>
          </w:tcPr>
          <w:p>
            <w:pPr>
              <w:pStyle w:val="TableContents"/>
              <w:bidi w:val="0"/>
              <w:spacing w:before="0" w:after="283"/>
              <w:jc w:val="center"/>
              <w:rPr/>
            </w:pPr>
            <w:r>
              <w:rPr/>
              <w:t>2-7/8% Series Due 1979</w:t>
            </w:r>
          </w:p>
        </w:tc>
        <w:tc>
          <w:tcPr>
            <w:tcW w:w="1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None</w:t>
            </w:r>
          </w:p>
        </w:tc>
        <w:tc>
          <w:tcPr>
            <w:tcW w:w="66" w:type="dxa"/>
            <w:tcBorders/>
            <w:vAlign w:val="bottom"/>
          </w:tcPr>
          <w:p>
            <w:pPr>
              <w:pStyle w:val="TableContents"/>
              <w:bidi w:val="0"/>
              <w:spacing w:before="0" w:after="283"/>
              <w:jc w:val="left"/>
              <w:rPr/>
            </w:pPr>
            <w:r>
              <w:rPr/>
              <w:t> </w:t>
            </w:r>
          </w:p>
        </w:tc>
      </w:tr>
      <w:tr>
        <w:trPr/>
        <w:tc>
          <w:tcPr>
            <w:tcW w:w="17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Supplemental Indenture</w:t>
            </w:r>
          </w:p>
        </w:tc>
        <w:tc>
          <w:tcPr>
            <w:tcW w:w="164" w:type="dxa"/>
            <w:tcBorders/>
            <w:shd w:fill="CCEEFF" w:val="clear"/>
            <w:vAlign w:val="bottom"/>
          </w:tcPr>
          <w:p>
            <w:pPr>
              <w:pStyle w:val="TableContents"/>
              <w:bidi w:val="0"/>
              <w:spacing w:before="0" w:after="283"/>
              <w:jc w:val="left"/>
              <w:rPr/>
            </w:pPr>
            <w:r>
              <w:rPr/>
              <w:t>  </w:t>
            </w:r>
          </w:p>
        </w:tc>
        <w:tc>
          <w:tcPr>
            <w:tcW w:w="1802" w:type="dxa"/>
            <w:tcBorders/>
            <w:shd w:fill="CCEEFF" w:val="clear"/>
            <w:vAlign w:val="bottom"/>
          </w:tcPr>
          <w:p>
            <w:pPr>
              <w:pStyle w:val="TableContents"/>
              <w:bidi w:val="0"/>
              <w:spacing w:before="0" w:after="283"/>
              <w:jc w:val="center"/>
              <w:rPr/>
            </w:pPr>
            <w:r>
              <w:rPr/>
              <w:t>October 1, 1949</w:t>
            </w:r>
          </w:p>
        </w:tc>
        <w:tc>
          <w:tcPr>
            <w:tcW w:w="164" w:type="dxa"/>
            <w:tcBorders/>
            <w:shd w:fill="CCEEFF" w:val="clear"/>
            <w:vAlign w:val="bottom"/>
          </w:tcPr>
          <w:p>
            <w:pPr>
              <w:pStyle w:val="TableContents"/>
              <w:bidi w:val="0"/>
              <w:spacing w:before="0" w:after="283"/>
              <w:jc w:val="left"/>
              <w:rPr/>
            </w:pPr>
            <w:r>
              <w:rPr/>
              <w:t>  </w:t>
            </w:r>
          </w:p>
        </w:tc>
        <w:tc>
          <w:tcPr>
            <w:tcW w:w="2485" w:type="dxa"/>
            <w:tcBorders/>
            <w:shd w:fill="CCEEFF" w:val="clear"/>
            <w:vAlign w:val="bottom"/>
          </w:tcPr>
          <w:p>
            <w:pPr>
              <w:pStyle w:val="TableContents"/>
              <w:bidi w:val="0"/>
              <w:spacing w:before="0" w:after="283"/>
              <w:jc w:val="center"/>
              <w:rPr/>
            </w:pPr>
            <w:r>
              <w:rPr/>
              <w:t>2-3/4% Series Due 1979</w:t>
            </w:r>
          </w:p>
        </w:tc>
        <w:tc>
          <w:tcPr>
            <w:tcW w:w="1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6,500,000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69" w:type="dxa"/>
            <w:tcBorders/>
            <w:shd w:fill="CCEEFF" w:val="clear"/>
            <w:vAlign w:val="bottom"/>
          </w:tcPr>
          <w:p>
            <w:pPr>
              <w:pStyle w:val="TableContents"/>
              <w:bidi w:val="0"/>
              <w:spacing w:before="0" w:after="283"/>
              <w:jc w:val="right"/>
              <w:rPr/>
            </w:pPr>
            <w:r>
              <w:rPr/>
              <w:t>None</w:t>
            </w:r>
          </w:p>
        </w:tc>
        <w:tc>
          <w:tcPr>
            <w:tcW w:w="66" w:type="dxa"/>
            <w:tcBorders/>
            <w:shd w:fill="CCEEFF" w:val="clear"/>
            <w:vAlign w:val="bottom"/>
          </w:tcPr>
          <w:p>
            <w:pPr>
              <w:pStyle w:val="TableContents"/>
              <w:bidi w:val="0"/>
              <w:spacing w:before="0" w:after="283"/>
              <w:jc w:val="left"/>
              <w:rPr/>
            </w:pPr>
            <w:r>
              <w:rPr/>
              <w:t> </w:t>
            </w:r>
          </w:p>
        </w:tc>
      </w:tr>
      <w:tr>
        <w:trPr/>
        <w:tc>
          <w:tcPr>
            <w:tcW w:w="1783" w:type="dxa"/>
            <w:tcBorders/>
          </w:tcPr>
          <w:p>
            <w:pPr>
              <w:pStyle w:val="TableContents"/>
              <w:bidi w:val="0"/>
              <w:spacing w:before="0" w:after="0"/>
              <w:jc w:val="left"/>
              <w:rPr>
                <w:rFonts w:ascii="Times New Roman" w:hAnsi="Times New Roman"/>
                <w:sz w:val="20"/>
              </w:rPr>
            </w:pPr>
            <w:r>
              <w:rPr>
                <w:rFonts w:ascii="Times New Roman" w:hAnsi="Times New Roman"/>
                <w:sz w:val="20"/>
              </w:rPr>
              <w:t>Fifth Supplemental Indenture</w:t>
            </w:r>
          </w:p>
        </w:tc>
        <w:tc>
          <w:tcPr>
            <w:tcW w:w="164" w:type="dxa"/>
            <w:tcBorders/>
            <w:vAlign w:val="bottom"/>
          </w:tcPr>
          <w:p>
            <w:pPr>
              <w:pStyle w:val="TableContents"/>
              <w:bidi w:val="0"/>
              <w:spacing w:before="0" w:after="283"/>
              <w:jc w:val="left"/>
              <w:rPr/>
            </w:pPr>
            <w:r>
              <w:rPr/>
              <w:t>  </w:t>
            </w:r>
          </w:p>
        </w:tc>
        <w:tc>
          <w:tcPr>
            <w:tcW w:w="1802" w:type="dxa"/>
            <w:tcBorders/>
            <w:vAlign w:val="bottom"/>
          </w:tcPr>
          <w:p>
            <w:pPr>
              <w:pStyle w:val="TableContents"/>
              <w:bidi w:val="0"/>
              <w:spacing w:before="0" w:after="283"/>
              <w:jc w:val="center"/>
              <w:rPr/>
            </w:pPr>
            <w:r>
              <w:rPr/>
              <w:t>December 1, 1949</w:t>
            </w:r>
          </w:p>
        </w:tc>
        <w:tc>
          <w:tcPr>
            <w:tcW w:w="164" w:type="dxa"/>
            <w:tcBorders/>
            <w:vAlign w:val="bottom"/>
          </w:tcPr>
          <w:p>
            <w:pPr>
              <w:pStyle w:val="TableContents"/>
              <w:bidi w:val="0"/>
              <w:spacing w:before="0" w:after="283"/>
              <w:jc w:val="left"/>
              <w:rPr/>
            </w:pPr>
            <w:r>
              <w:rPr/>
              <w:t>  </w:t>
            </w:r>
          </w:p>
        </w:tc>
        <w:tc>
          <w:tcPr>
            <w:tcW w:w="2485" w:type="dxa"/>
            <w:tcBorders/>
            <w:vAlign w:val="bottom"/>
          </w:tcPr>
          <w:p>
            <w:pPr>
              <w:pStyle w:val="TableContents"/>
              <w:bidi w:val="0"/>
              <w:spacing w:before="0" w:after="283"/>
              <w:jc w:val="center"/>
              <w:rPr/>
            </w:pPr>
            <w:r>
              <w:rPr/>
              <w:t>2-3/4% Series Due 1984</w:t>
            </w:r>
          </w:p>
        </w:tc>
        <w:tc>
          <w:tcPr>
            <w:tcW w:w="1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32,500,000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69" w:type="dxa"/>
            <w:tcBorders/>
            <w:vAlign w:val="bottom"/>
          </w:tcPr>
          <w:p>
            <w:pPr>
              <w:pStyle w:val="TableContents"/>
              <w:bidi w:val="0"/>
              <w:spacing w:before="0" w:after="283"/>
              <w:jc w:val="right"/>
              <w:rPr/>
            </w:pPr>
            <w:r>
              <w:rPr/>
              <w:t>None</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10030" w:type="dxa"/>
        <w:jc w:val="center"/>
        <w:tblInd w:w="0" w:type="dxa"/>
        <w:tblLayout w:type="fixed"/>
        <w:tblCellMar>
          <w:top w:w="0" w:type="dxa"/>
          <w:left w:w="0" w:type="dxa"/>
          <w:bottom w:w="0" w:type="dxa"/>
          <w:right w:w="0" w:type="dxa"/>
        </w:tblCellMar>
      </w:tblPr>
      <w:tblGrid>
        <w:gridCol w:w="1145"/>
        <w:gridCol w:w="120"/>
        <w:gridCol w:w="1805"/>
        <w:gridCol w:w="120"/>
        <w:gridCol w:w="4040"/>
        <w:gridCol w:w="120"/>
        <w:gridCol w:w="60"/>
        <w:gridCol w:w="1100"/>
        <w:gridCol w:w="60"/>
        <w:gridCol w:w="120"/>
        <w:gridCol w:w="126"/>
        <w:gridCol w:w="1154"/>
        <w:gridCol w:w="6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20" w:type="dxa"/>
            <w:tcBorders/>
            <w:vAlign w:val="bottom"/>
          </w:tcPr>
          <w:p>
            <w:pPr>
              <w:pStyle w:val="TableContents"/>
              <w:bidi w:val="0"/>
              <w:spacing w:before="0" w:after="283"/>
              <w:jc w:val="left"/>
              <w:rPr/>
            </w:pPr>
            <w:r>
              <w:rPr/>
              <w:t>  </w:t>
            </w:r>
          </w:p>
        </w:tc>
        <w:tc>
          <w:tcPr>
            <w:tcW w:w="180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0" w:type="dxa"/>
            <w:tcBorders/>
            <w:vAlign w:val="bottom"/>
          </w:tcPr>
          <w:p>
            <w:pPr>
              <w:pStyle w:val="TableContents"/>
              <w:bidi w:val="0"/>
              <w:spacing w:before="0" w:after="283"/>
              <w:jc w:val="left"/>
              <w:rPr/>
            </w:pPr>
            <w:r>
              <w:rPr/>
              <w:t>  </w:t>
            </w:r>
          </w:p>
        </w:tc>
        <w:tc>
          <w:tcPr>
            <w:tcW w:w="40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w:t>
              <w:br/>
              <w:t>Provided For</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Supplemental Indenture</w:t>
            </w:r>
          </w:p>
        </w:tc>
        <w:tc>
          <w:tcPr>
            <w:tcW w:w="12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center"/>
              <w:rPr/>
            </w:pPr>
            <w:r>
              <w:rPr/>
              <w:t>December 1, 1951</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3-1/4% Series Due 1981</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5,250,000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Eighth Supplemental Indenture</w:t>
            </w:r>
          </w:p>
        </w:tc>
        <w:tc>
          <w:tcPr>
            <w:tcW w:w="12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center"/>
              <w:rPr/>
            </w:pPr>
            <w:r>
              <w:rPr/>
              <w:t>May 1, 1952</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3-1/4% Series Due 1982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4,750,000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Ninth Supplemental Indenture</w:t>
            </w:r>
          </w:p>
        </w:tc>
        <w:tc>
          <w:tcPr>
            <w:tcW w:w="12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center"/>
              <w:rPr/>
            </w:pPr>
            <w:r>
              <w:rPr/>
              <w:t>October 1, 1954</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3-1/8% Series Due 1984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Tenth Supplemental Indenture</w:t>
            </w:r>
          </w:p>
        </w:tc>
        <w:tc>
          <w:tcPr>
            <w:tcW w:w="12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center"/>
              <w:rPr/>
            </w:pPr>
            <w:r>
              <w:rPr/>
              <w:t>September 1, 1961</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4-3/4% Series Due 1991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Eleventh Supplemental Indenture</w:t>
            </w:r>
          </w:p>
        </w:tc>
        <w:tc>
          <w:tcPr>
            <w:tcW w:w="12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center"/>
              <w:rPr/>
            </w:pPr>
            <w:r>
              <w:rPr/>
              <w:t>April 1, 1969</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7-5/8% Series Due 1999</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Twelfth Supplemental Indenture</w:t>
            </w:r>
          </w:p>
        </w:tc>
        <w:tc>
          <w:tcPr>
            <w:tcW w:w="12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center"/>
              <w:rPr/>
            </w:pPr>
            <w:r>
              <w:rPr/>
              <w:t>September 1, 1970</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8-3/4% Series Due 2000</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Thirteenth Supplemental Indenture</w:t>
            </w:r>
          </w:p>
        </w:tc>
        <w:tc>
          <w:tcPr>
            <w:tcW w:w="12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center"/>
              <w:rPr/>
            </w:pPr>
            <w:r>
              <w:rPr/>
              <w:t>February 1, 1975</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8-5/8% Series Due 2005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Fourteenth Supplemental Indenture</w:t>
            </w:r>
          </w:p>
        </w:tc>
        <w:tc>
          <w:tcPr>
            <w:tcW w:w="12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center"/>
              <w:rPr/>
            </w:pPr>
            <w:r>
              <w:rPr/>
              <w:t>May 1, 1976</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8-5/8% Series Due 2006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Fifteenth Supplemental Indenture</w:t>
            </w:r>
          </w:p>
        </w:tc>
        <w:tc>
          <w:tcPr>
            <w:tcW w:w="12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center"/>
              <w:rPr/>
            </w:pPr>
            <w:r>
              <w:rPr/>
              <w:t>April 1, 1977</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5.90% Pollution Control Series Due 2007</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32,000,000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Sixteenth Supplemental Indenture</w:t>
            </w:r>
          </w:p>
        </w:tc>
        <w:tc>
          <w:tcPr>
            <w:tcW w:w="12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center"/>
              <w:rPr/>
            </w:pPr>
            <w:r>
              <w:rPr/>
              <w:t>June 1, 1977</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8-1/8% Series Due 2007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Seventeenth Supplemental Indenture</w:t>
            </w:r>
          </w:p>
        </w:tc>
        <w:tc>
          <w:tcPr>
            <w:tcW w:w="12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center"/>
              <w:rPr/>
            </w:pPr>
            <w:r>
              <w:rPr/>
              <w:t>February 1, 1978</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8-3/4% Series Due 2008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Eighteenth Supplemental Indenture</w:t>
            </w:r>
          </w:p>
        </w:tc>
        <w:tc>
          <w:tcPr>
            <w:tcW w:w="12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center"/>
              <w:rPr/>
            </w:pPr>
            <w:r>
              <w:rPr/>
              <w:t>January 1, 1979</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6-3/4% Pollution Control Series Due 2009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1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Nineteenth Supplemental Indenture</w:t>
            </w:r>
          </w:p>
        </w:tc>
        <w:tc>
          <w:tcPr>
            <w:tcW w:w="120" w:type="dxa"/>
            <w:tcBorders/>
            <w:shd w:fill="CCEEFF" w:val="clear"/>
            <w:vAlign w:val="bottom"/>
          </w:tcPr>
          <w:p>
            <w:pPr>
              <w:pStyle w:val="TableContents"/>
              <w:bidi w:val="0"/>
              <w:spacing w:before="0" w:after="283"/>
              <w:jc w:val="left"/>
              <w:rPr/>
            </w:pPr>
            <w:r>
              <w:rPr/>
              <w:t>  </w:t>
            </w:r>
          </w:p>
        </w:tc>
        <w:tc>
          <w:tcPr>
            <w:tcW w:w="1805" w:type="dxa"/>
            <w:tcBorders/>
            <w:shd w:fill="CCEEFF" w:val="clear"/>
            <w:vAlign w:val="bottom"/>
          </w:tcPr>
          <w:p>
            <w:pPr>
              <w:pStyle w:val="TableContents"/>
              <w:bidi w:val="0"/>
              <w:spacing w:before="0" w:after="283"/>
              <w:jc w:val="center"/>
              <w:rPr/>
            </w:pPr>
            <w:r>
              <w:rPr/>
              <w:t>May 1, 1980</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8-1/4% Pollution Control Series Due 1983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145" w:type="dxa"/>
            <w:tcBorders/>
          </w:tcPr>
          <w:p>
            <w:pPr>
              <w:pStyle w:val="TableContents"/>
              <w:bidi w:val="0"/>
              <w:spacing w:before="0" w:after="0"/>
              <w:jc w:val="left"/>
              <w:rPr>
                <w:rFonts w:ascii="Times New Roman" w:hAnsi="Times New Roman"/>
                <w:sz w:val="20"/>
              </w:rPr>
            </w:pPr>
            <w:r>
              <w:rPr>
                <w:rFonts w:ascii="Times New Roman" w:hAnsi="Times New Roman"/>
                <w:sz w:val="20"/>
              </w:rPr>
              <w:t>Twentieth Supplemental Indenture</w:t>
            </w:r>
          </w:p>
        </w:tc>
        <w:tc>
          <w:tcPr>
            <w:tcW w:w="120" w:type="dxa"/>
            <w:tcBorders/>
            <w:vAlign w:val="bottom"/>
          </w:tcPr>
          <w:p>
            <w:pPr>
              <w:pStyle w:val="TableContents"/>
              <w:bidi w:val="0"/>
              <w:spacing w:before="0" w:after="283"/>
              <w:jc w:val="left"/>
              <w:rPr/>
            </w:pPr>
            <w:r>
              <w:rPr/>
              <w:t>  </w:t>
            </w:r>
          </w:p>
        </w:tc>
        <w:tc>
          <w:tcPr>
            <w:tcW w:w="1805" w:type="dxa"/>
            <w:tcBorders/>
            <w:vAlign w:val="bottom"/>
          </w:tcPr>
          <w:p>
            <w:pPr>
              <w:pStyle w:val="TableContents"/>
              <w:bidi w:val="0"/>
              <w:spacing w:before="0" w:after="283"/>
              <w:jc w:val="center"/>
              <w:rPr/>
            </w:pPr>
            <w:r>
              <w:rPr/>
              <w:t>November 1, 1981</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16.95% Series Due 1988</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10330" w:type="dxa"/>
        <w:jc w:val="center"/>
        <w:tblInd w:w="0" w:type="dxa"/>
        <w:tblLayout w:type="fixed"/>
        <w:tblCellMar>
          <w:top w:w="0" w:type="dxa"/>
          <w:left w:w="0" w:type="dxa"/>
          <w:bottom w:w="0" w:type="dxa"/>
          <w:right w:w="0" w:type="dxa"/>
        </w:tblCellMar>
      </w:tblPr>
      <w:tblGrid>
        <w:gridCol w:w="1355"/>
        <w:gridCol w:w="120"/>
        <w:gridCol w:w="1775"/>
        <w:gridCol w:w="120"/>
        <w:gridCol w:w="4040"/>
        <w:gridCol w:w="120"/>
        <w:gridCol w:w="60"/>
        <w:gridCol w:w="1220"/>
        <w:gridCol w:w="60"/>
        <w:gridCol w:w="120"/>
        <w:gridCol w:w="126"/>
        <w:gridCol w:w="1154"/>
        <w:gridCol w:w="60"/>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20" w:type="dxa"/>
            <w:tcBorders/>
            <w:vAlign w:val="bottom"/>
          </w:tcPr>
          <w:p>
            <w:pPr>
              <w:pStyle w:val="TableContents"/>
              <w:bidi w:val="0"/>
              <w:spacing w:before="0" w:after="283"/>
              <w:jc w:val="left"/>
              <w:rPr/>
            </w:pPr>
            <w:r>
              <w:rPr/>
              <w:t>  </w:t>
            </w:r>
          </w:p>
        </w:tc>
        <w:tc>
          <w:tcPr>
            <w:tcW w:w="177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0" w:type="dxa"/>
            <w:tcBorders/>
            <w:vAlign w:val="bottom"/>
          </w:tcPr>
          <w:p>
            <w:pPr>
              <w:pStyle w:val="TableContents"/>
              <w:bidi w:val="0"/>
              <w:spacing w:before="0" w:after="283"/>
              <w:jc w:val="left"/>
              <w:rPr/>
            </w:pPr>
            <w:r>
              <w:rPr/>
              <w:t>  </w:t>
            </w:r>
          </w:p>
        </w:tc>
        <w:tc>
          <w:tcPr>
            <w:tcW w:w="40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w:t>
              <w:br/>
              <w:t>Provided For</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Twenty-First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April 1, 1982</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15% Series Due 1992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Twenty-Second Supplemental Indenture</w:t>
            </w:r>
          </w:p>
        </w:tc>
        <w:tc>
          <w:tcPr>
            <w:tcW w:w="12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February 1, 1983</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9-5/8% Pollution Control Series Due 2013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58,500,000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Twenty-Third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July 1, 1986</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8-1/4% Series Due 1996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Twenty-Fourth Supplemental Indenture</w:t>
            </w:r>
          </w:p>
        </w:tc>
        <w:tc>
          <w:tcPr>
            <w:tcW w:w="12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March 1, 1987</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8-5/8% Series Due 2020</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Twenty-Fifth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October 15, 1988</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9.35% Series Due 1998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Twenty-Sixth Supplemental Indenture</w:t>
            </w:r>
          </w:p>
        </w:tc>
        <w:tc>
          <w:tcPr>
            <w:tcW w:w="12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February 15, 1990</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8-7/8% Series Due 2000</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Twenty-Seventh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March 12, 1992</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7.46% Demand Series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370,000,000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Twenty-Eighth Supplemental Indenture</w:t>
            </w:r>
          </w:p>
        </w:tc>
        <w:tc>
          <w:tcPr>
            <w:tcW w:w="12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July 1, 1992</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7-1/4% Series Due 1999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8-1/2% Series Due 2022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Twenty-Ninth Supplemental Indenture</w:t>
            </w:r>
          </w:p>
        </w:tc>
        <w:tc>
          <w:tcPr>
            <w:tcW w:w="12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August 20, 1992</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7-1/4% Series Due 2002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Thirtieth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February 1, 1993</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6% Pollution Control</w:t>
              <w:br/>
              <w:t>Revenue Refunding Series Due 2033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58,500,000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Thirty-First Supplemental Indenture</w:t>
            </w:r>
          </w:p>
        </w:tc>
        <w:tc>
          <w:tcPr>
            <w:tcW w:w="12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center"/>
              <w:rPr/>
            </w:pPr>
            <w:r>
              <w:rPr/>
              <w:t>April 15, 1993</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7.65% Series Due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Thirty-Second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vAlign w:val="bottom"/>
          </w:tcPr>
          <w:p>
            <w:pPr>
              <w:pStyle w:val="TableContents"/>
              <w:bidi w:val="0"/>
              <w:spacing w:before="0" w:after="283"/>
              <w:jc w:val="center"/>
              <w:rPr/>
            </w:pPr>
            <w:r>
              <w:rPr/>
              <w:t>April 15, 1994</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7-1/2% Pollution Control</w:t>
              <w:br/>
              <w:t>Revenue Refunding</w:t>
            </w:r>
          </w:p>
          <w:p>
            <w:pPr>
              <w:pStyle w:val="TableContents"/>
              <w:bidi w:val="0"/>
              <w:spacing w:before="0" w:after="20"/>
              <w:jc w:val="center"/>
              <w:rPr>
                <w:rFonts w:ascii="Times New Roman" w:hAnsi="Times New Roman"/>
                <w:sz w:val="20"/>
              </w:rPr>
            </w:pPr>
            <w:r>
              <w:rPr>
                <w:rFonts w:ascii="Times New Roman" w:hAnsi="Times New Roman"/>
                <w:sz w:val="20"/>
              </w:rPr>
              <w:t>City of St. Marys Series</w:t>
              <w:br/>
              <w:t>Due 2032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3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7-1/2% Pollution Control</w:t>
              <w:br/>
              <w:t>Revenue Refunding</w:t>
            </w:r>
          </w:p>
          <w:p>
            <w:pPr>
              <w:pStyle w:val="TableContents"/>
              <w:bidi w:val="0"/>
              <w:spacing w:before="0" w:after="20"/>
              <w:jc w:val="center"/>
              <w:rPr>
                <w:rFonts w:ascii="Times New Roman" w:hAnsi="Times New Roman"/>
                <w:sz w:val="20"/>
              </w:rPr>
            </w:pPr>
            <w:r>
              <w:rPr>
                <w:rFonts w:ascii="Times New Roman" w:hAnsi="Times New Roman"/>
                <w:sz w:val="20"/>
              </w:rPr>
              <w:t>City of Wamego Series</w:t>
              <w:br/>
              <w:t>Due 2032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30,500,000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9850" w:type="dxa"/>
        <w:jc w:val="center"/>
        <w:tblInd w:w="0" w:type="dxa"/>
        <w:tblLayout w:type="fixed"/>
        <w:tblCellMar>
          <w:top w:w="0" w:type="dxa"/>
          <w:left w:w="0" w:type="dxa"/>
          <w:bottom w:w="0" w:type="dxa"/>
          <w:right w:w="0" w:type="dxa"/>
        </w:tblCellMar>
      </w:tblPr>
      <w:tblGrid>
        <w:gridCol w:w="1250"/>
        <w:gridCol w:w="120"/>
        <w:gridCol w:w="1925"/>
        <w:gridCol w:w="120"/>
        <w:gridCol w:w="3515"/>
        <w:gridCol w:w="120"/>
        <w:gridCol w:w="60"/>
        <w:gridCol w:w="1220"/>
        <w:gridCol w:w="60"/>
        <w:gridCol w:w="120"/>
        <w:gridCol w:w="126"/>
        <w:gridCol w:w="1154"/>
        <w:gridCol w:w="60"/>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20" w:type="dxa"/>
            <w:tcBorders/>
            <w:vAlign w:val="bottom"/>
          </w:tcPr>
          <w:p>
            <w:pPr>
              <w:pStyle w:val="TableContents"/>
              <w:bidi w:val="0"/>
              <w:spacing w:before="0" w:after="283"/>
              <w:jc w:val="left"/>
              <w:rPr/>
            </w:pPr>
            <w:r>
              <w:rPr/>
              <w:t>  </w:t>
            </w:r>
          </w:p>
        </w:tc>
        <w:tc>
          <w:tcPr>
            <w:tcW w:w="192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0" w:type="dxa"/>
            <w:tcBorders/>
            <w:vAlign w:val="bottom"/>
          </w:tcPr>
          <w:p>
            <w:pPr>
              <w:pStyle w:val="TableContents"/>
              <w:bidi w:val="0"/>
              <w:spacing w:before="0" w:after="283"/>
              <w:jc w:val="left"/>
              <w:rPr/>
            </w:pPr>
            <w:r>
              <w:rPr/>
              <w:t>  </w:t>
            </w:r>
          </w:p>
        </w:tc>
        <w:tc>
          <w:tcPr>
            <w:tcW w:w="351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w:t>
              <w:br/>
              <w:t>Provided For</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Thirty-Third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August 11, 1997</w:t>
            </w:r>
          </w:p>
        </w:tc>
        <w:tc>
          <w:tcPr>
            <w:tcW w:w="120" w:type="dxa"/>
            <w:tcBorders/>
            <w:shd w:fill="CCEEFF" w:val="clear"/>
            <w:vAlign w:val="bottom"/>
          </w:tcPr>
          <w:p>
            <w:pPr>
              <w:pStyle w:val="TableContents"/>
              <w:bidi w:val="0"/>
              <w:spacing w:before="0" w:after="283"/>
              <w:jc w:val="left"/>
              <w:rPr/>
            </w:pPr>
            <w:r>
              <w:rPr/>
              <w:t>  </w:t>
            </w:r>
          </w:p>
        </w:tc>
        <w:tc>
          <w:tcPr>
            <w:tcW w:w="3515" w:type="dxa"/>
            <w:tcBorders/>
            <w:shd w:fill="CCEEFF" w:val="clear"/>
            <w:vAlign w:val="bottom"/>
          </w:tcPr>
          <w:p>
            <w:pPr>
              <w:pStyle w:val="TableContents"/>
              <w:bidi w:val="0"/>
              <w:spacing w:before="0" w:after="283"/>
              <w:jc w:val="center"/>
              <w:rPr/>
            </w:pPr>
            <w:r>
              <w:rPr/>
              <w:t>6-7/8% Convertible Series Due 2004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370,000,000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center"/>
              <w:rPr/>
            </w:pPr>
            <w:r>
              <w:rPr/>
              <w:t>7-1/8% Convertible Series Due 2009</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Thirty-Fourth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June 28, 2000</w:t>
            </w:r>
          </w:p>
        </w:tc>
        <w:tc>
          <w:tcPr>
            <w:tcW w:w="120" w:type="dxa"/>
            <w:tcBorders/>
            <w:shd w:fill="CCEEFF" w:val="clear"/>
            <w:vAlign w:val="bottom"/>
          </w:tcPr>
          <w:p>
            <w:pPr>
              <w:pStyle w:val="TableContents"/>
              <w:bidi w:val="0"/>
              <w:spacing w:before="0" w:after="283"/>
              <w:jc w:val="left"/>
              <w:rPr/>
            </w:pPr>
            <w:r>
              <w:rPr/>
              <w:t>  </w:t>
            </w:r>
          </w:p>
        </w:tc>
        <w:tc>
          <w:tcPr>
            <w:tcW w:w="3515" w:type="dxa"/>
            <w:tcBorders/>
            <w:shd w:fill="CCEEFF" w:val="clear"/>
            <w:vAlign w:val="bottom"/>
          </w:tcPr>
          <w:p>
            <w:pPr>
              <w:pStyle w:val="TableContents"/>
              <w:bidi w:val="0"/>
              <w:spacing w:before="0" w:after="283"/>
              <w:jc w:val="center"/>
              <w:rPr/>
            </w:pPr>
            <w:r>
              <w:rPr/>
              <w:t>9-1/2% Series Due 2003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397,800,000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Thirty-Fifth Supplemental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May 10, 2002</w:t>
            </w:r>
          </w:p>
        </w:tc>
        <w:tc>
          <w:tcPr>
            <w:tcW w:w="12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center"/>
              <w:rPr/>
            </w:pPr>
            <w:r>
              <w:rPr/>
              <w:t>7-7/8% Series Due 2007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365,000,000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Thirty-Sixth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June 1, 2004</w:t>
            </w:r>
          </w:p>
        </w:tc>
        <w:tc>
          <w:tcPr>
            <w:tcW w:w="120" w:type="dxa"/>
            <w:tcBorders/>
            <w:shd w:fill="CCEEFF" w:val="clear"/>
            <w:vAlign w:val="bottom"/>
          </w:tcPr>
          <w:p>
            <w:pPr>
              <w:pStyle w:val="TableContents"/>
              <w:bidi w:val="0"/>
              <w:spacing w:before="0" w:after="283"/>
              <w:jc w:val="left"/>
              <w:rPr/>
            </w:pPr>
            <w:r>
              <w:rPr/>
              <w:t>  </w:t>
            </w:r>
          </w:p>
        </w:tc>
        <w:tc>
          <w:tcPr>
            <w:tcW w:w="3515" w:type="dxa"/>
            <w:tcBorders/>
            <w:shd w:fill="CCEEFF" w:val="clear"/>
            <w:vAlign w:val="bottom"/>
          </w:tcPr>
          <w:p>
            <w:pPr>
              <w:pStyle w:val="TableContents"/>
              <w:bidi w:val="0"/>
              <w:spacing w:before="0" w:after="283"/>
              <w:jc w:val="center"/>
              <w:rPr/>
            </w:pPr>
            <w:r>
              <w:rPr/>
              <w:t>5.00% Series Pollution Control</w:t>
              <w:br/>
              <w:t>Refunding Revenue Due 2033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58,340,000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Thirty-Seventh Supplemental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June 17, 2004</w:t>
            </w:r>
          </w:p>
        </w:tc>
        <w:tc>
          <w:tcPr>
            <w:tcW w:w="12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center"/>
              <w:rPr/>
            </w:pPr>
            <w:r>
              <w:rPr/>
              <w:t>6.00% Series Due 2014</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Thirty-Eighth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January 18, 2005</w:t>
            </w:r>
          </w:p>
        </w:tc>
        <w:tc>
          <w:tcPr>
            <w:tcW w:w="120" w:type="dxa"/>
            <w:tcBorders/>
            <w:shd w:fill="CCEEFF" w:val="clear"/>
            <w:vAlign w:val="bottom"/>
          </w:tcPr>
          <w:p>
            <w:pPr>
              <w:pStyle w:val="TableContents"/>
              <w:bidi w:val="0"/>
              <w:spacing w:before="0" w:after="283"/>
              <w:jc w:val="left"/>
              <w:rPr/>
            </w:pPr>
            <w:r>
              <w:rPr/>
              <w:t>  </w:t>
            </w:r>
          </w:p>
        </w:tc>
        <w:tc>
          <w:tcPr>
            <w:tcW w:w="3515" w:type="dxa"/>
            <w:tcBorders/>
            <w:shd w:fill="CCEEFF" w:val="clear"/>
            <w:vAlign w:val="bottom"/>
          </w:tcPr>
          <w:p>
            <w:pPr>
              <w:pStyle w:val="TableContents"/>
              <w:bidi w:val="0"/>
              <w:spacing w:before="0" w:after="283"/>
              <w:jc w:val="center"/>
              <w:rPr/>
            </w:pPr>
            <w:r>
              <w:rPr/>
              <w:t>5.15% Series Due 2017</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center"/>
              <w:rPr/>
            </w:pPr>
            <w:r>
              <w:rPr/>
              <w:t>5.95% Series Due 2035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Thirty-Ninth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June 30, 2005</w:t>
            </w:r>
          </w:p>
        </w:tc>
        <w:tc>
          <w:tcPr>
            <w:tcW w:w="120" w:type="dxa"/>
            <w:tcBorders/>
            <w:shd w:fill="CCEEFF" w:val="clear"/>
            <w:vAlign w:val="bottom"/>
          </w:tcPr>
          <w:p>
            <w:pPr>
              <w:pStyle w:val="TableContents"/>
              <w:bidi w:val="0"/>
              <w:spacing w:before="0" w:after="283"/>
              <w:jc w:val="left"/>
              <w:rPr/>
            </w:pPr>
            <w:r>
              <w:rPr/>
              <w:t>  </w:t>
            </w:r>
          </w:p>
        </w:tc>
        <w:tc>
          <w:tcPr>
            <w:tcW w:w="3515" w:type="dxa"/>
            <w:tcBorders/>
            <w:shd w:fill="CCEEFF" w:val="clear"/>
            <w:vAlign w:val="bottom"/>
          </w:tcPr>
          <w:p>
            <w:pPr>
              <w:pStyle w:val="TableContents"/>
              <w:bidi w:val="0"/>
              <w:spacing w:before="0" w:after="283"/>
              <w:jc w:val="center"/>
              <w:rPr/>
            </w:pPr>
            <w:r>
              <w:rPr/>
              <w:t>5.10% Series Due 2020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center"/>
              <w:rPr/>
            </w:pPr>
            <w:r>
              <w:rPr/>
              <w:t>5.875% Series Due 2036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Fortieth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May 15, 2007</w:t>
            </w:r>
          </w:p>
        </w:tc>
        <w:tc>
          <w:tcPr>
            <w:tcW w:w="120" w:type="dxa"/>
            <w:tcBorders/>
            <w:shd w:fill="CCEEFF" w:val="clear"/>
            <w:vAlign w:val="bottom"/>
          </w:tcPr>
          <w:p>
            <w:pPr>
              <w:pStyle w:val="TableContents"/>
              <w:bidi w:val="0"/>
              <w:spacing w:before="0" w:after="283"/>
              <w:jc w:val="left"/>
              <w:rPr/>
            </w:pPr>
            <w:r>
              <w:rPr/>
              <w:t>  </w:t>
            </w:r>
          </w:p>
        </w:tc>
        <w:tc>
          <w:tcPr>
            <w:tcW w:w="3515" w:type="dxa"/>
            <w:tcBorders/>
            <w:shd w:fill="CCEEFF" w:val="clear"/>
            <w:vAlign w:val="bottom"/>
          </w:tcPr>
          <w:p>
            <w:pPr>
              <w:pStyle w:val="TableContents"/>
              <w:bidi w:val="0"/>
              <w:spacing w:before="0" w:after="283"/>
              <w:jc w:val="center"/>
              <w:rPr/>
            </w:pPr>
            <w:r>
              <w:rPr/>
              <w:t>6.10% Series Due 2047</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Forty-First Supplemental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November 25, 2008</w:t>
            </w:r>
          </w:p>
        </w:tc>
        <w:tc>
          <w:tcPr>
            <w:tcW w:w="120" w:type="dxa"/>
            <w:tcBorders/>
            <w:vAlign w:val="bottom"/>
          </w:tcPr>
          <w:p>
            <w:pPr>
              <w:pStyle w:val="TableContents"/>
              <w:bidi w:val="0"/>
              <w:spacing w:before="0" w:after="283"/>
              <w:jc w:val="left"/>
              <w:rPr/>
            </w:pPr>
            <w:r>
              <w:rPr/>
              <w:t>  </w:t>
            </w:r>
          </w:p>
        </w:tc>
        <w:tc>
          <w:tcPr>
            <w:tcW w:w="3515" w:type="dxa"/>
            <w:tcBorders/>
            <w:vAlign w:val="bottom"/>
          </w:tcPr>
          <w:p>
            <w:pPr>
              <w:pStyle w:val="TableContents"/>
              <w:bidi w:val="0"/>
              <w:spacing w:before="0" w:after="283"/>
              <w:jc w:val="center"/>
              <w:rPr/>
            </w:pPr>
            <w:r>
              <w:rPr/>
              <w:t>8.625% Series Due 2018</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None</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9445" w:type="dxa"/>
        <w:jc w:val="center"/>
        <w:tblInd w:w="0" w:type="dxa"/>
        <w:tblLayout w:type="fixed"/>
        <w:tblCellMar>
          <w:top w:w="0" w:type="dxa"/>
          <w:left w:w="0" w:type="dxa"/>
          <w:bottom w:w="0" w:type="dxa"/>
          <w:right w:w="0" w:type="dxa"/>
        </w:tblCellMar>
      </w:tblPr>
      <w:tblGrid>
        <w:gridCol w:w="1970"/>
        <w:gridCol w:w="120"/>
        <w:gridCol w:w="1925"/>
        <w:gridCol w:w="120"/>
        <w:gridCol w:w="2390"/>
        <w:gridCol w:w="120"/>
        <w:gridCol w:w="60"/>
        <w:gridCol w:w="1220"/>
        <w:gridCol w:w="60"/>
        <w:gridCol w:w="120"/>
        <w:gridCol w:w="60"/>
        <w:gridCol w:w="1220"/>
        <w:gridCol w:w="60"/>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20" w:type="dxa"/>
            <w:tcBorders/>
            <w:vAlign w:val="bottom"/>
          </w:tcPr>
          <w:p>
            <w:pPr>
              <w:pStyle w:val="TableContents"/>
              <w:bidi w:val="0"/>
              <w:spacing w:before="0" w:after="283"/>
              <w:jc w:val="left"/>
              <w:rPr/>
            </w:pPr>
            <w:r>
              <w:rPr/>
              <w:t>  </w:t>
            </w:r>
          </w:p>
        </w:tc>
        <w:tc>
          <w:tcPr>
            <w:tcW w:w="192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0" w:type="dxa"/>
            <w:tcBorders/>
            <w:vAlign w:val="bottom"/>
          </w:tcPr>
          <w:p>
            <w:pPr>
              <w:pStyle w:val="TableContents"/>
              <w:bidi w:val="0"/>
              <w:spacing w:before="0" w:after="283"/>
              <w:jc w:val="left"/>
              <w:rPr/>
            </w:pPr>
            <w:r>
              <w:rPr/>
              <w:t>  </w:t>
            </w:r>
          </w:p>
        </w:tc>
        <w:tc>
          <w:tcPr>
            <w:tcW w:w="239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w:t>
              <w:br/>
              <w:t>Provided For</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Forty-Second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March 1, 2012</w:t>
            </w:r>
          </w:p>
        </w:tc>
        <w:tc>
          <w:tcPr>
            <w:tcW w:w="12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center"/>
              <w:rPr/>
            </w:pPr>
            <w:r>
              <w:rPr/>
              <w:t>4.125% Series Due 2042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250,000,000</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Forty-Second Supplemental (Reopening)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May 17, 2012</w:t>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center"/>
              <w:rPr/>
            </w:pPr>
            <w:r>
              <w:rPr/>
              <w:t>4.125% Series Due 2042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Forty-Third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March 28, 2013</w:t>
            </w:r>
          </w:p>
        </w:tc>
        <w:tc>
          <w:tcPr>
            <w:tcW w:w="12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center"/>
              <w:rPr/>
            </w:pPr>
            <w:r>
              <w:rPr/>
              <w:t>4.10% Series Due 2043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430,000,000</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Forty-Fourth Supplemental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August 19, 2013</w:t>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center"/>
              <w:rPr/>
            </w:pPr>
            <w:r>
              <w:rPr/>
              <w:t>4.625% Series Due 2043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250,000,000</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Forty-Fifth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November 13, 2015</w:t>
            </w:r>
          </w:p>
        </w:tc>
        <w:tc>
          <w:tcPr>
            <w:tcW w:w="12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center"/>
              <w:rPr/>
            </w:pPr>
            <w:r>
              <w:rPr/>
              <w:t>3.25% Series Due 2025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center"/>
              <w:rPr/>
            </w:pPr>
            <w:r>
              <w:rPr/>
              <w:t>4.25% Series Due 2045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Forty-Sixth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June 20, 2016</w:t>
            </w:r>
          </w:p>
        </w:tc>
        <w:tc>
          <w:tcPr>
            <w:tcW w:w="12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center"/>
              <w:rPr/>
            </w:pPr>
            <w:r>
              <w:rPr/>
              <w:t>2.55% Series Due 2026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None</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Forty-Seventh Supplemental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March 6, 2017</w:t>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center"/>
              <w:rPr/>
            </w:pPr>
            <w:r>
              <w:rPr/>
              <w:t>3.10% Series Due 2027</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Forty-Ninth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August 19, 2019</w:t>
            </w:r>
          </w:p>
        </w:tc>
        <w:tc>
          <w:tcPr>
            <w:tcW w:w="12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center"/>
              <w:rPr/>
            </w:pPr>
            <w:r>
              <w:rPr/>
              <w:t>3.25% Series Due 2049</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Fiftieth Supplemental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April 9, 2020</w:t>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center"/>
              <w:rPr/>
            </w:pPr>
            <w:r>
              <w:rPr/>
              <w:t>3.45% Series Due 2050</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Fifty-First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March 14, 2023</w:t>
            </w:r>
          </w:p>
        </w:tc>
        <w:tc>
          <w:tcPr>
            <w:tcW w:w="12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center"/>
              <w:rPr/>
            </w:pPr>
            <w:r>
              <w:rPr/>
              <w:t>5.70% Series Due 2053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400,000,000</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Fifty-Second Supplemental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November 15, 2023</w:t>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center"/>
              <w:rPr/>
            </w:pPr>
            <w:r>
              <w:rPr/>
              <w:t>5.90% Series Due 2033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r>
      <w:tr>
        <w:trPr/>
        <w:tc>
          <w:tcPr>
            <w:tcW w:w="19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Fifty-Third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center"/>
              <w:rPr/>
            </w:pPr>
            <w:r>
              <w:rPr/>
              <w:t>March 13, 2025</w:t>
            </w:r>
          </w:p>
        </w:tc>
        <w:tc>
          <w:tcPr>
            <w:tcW w:w="120" w:type="dxa"/>
            <w:tcBorders/>
            <w:shd w:fill="CCEEFF" w:val="clear"/>
            <w:vAlign w:val="bottom"/>
          </w:tcPr>
          <w:p>
            <w:pPr>
              <w:pStyle w:val="TableContents"/>
              <w:bidi w:val="0"/>
              <w:spacing w:before="0" w:after="283"/>
              <w:jc w:val="left"/>
              <w:rPr/>
            </w:pPr>
            <w:r>
              <w:rPr/>
              <w:t>  </w:t>
            </w:r>
          </w:p>
        </w:tc>
        <w:tc>
          <w:tcPr>
            <w:tcW w:w="2390" w:type="dxa"/>
            <w:tcBorders/>
            <w:shd w:fill="CCEEFF" w:val="clear"/>
            <w:vAlign w:val="bottom"/>
          </w:tcPr>
          <w:p>
            <w:pPr>
              <w:pStyle w:val="TableContents"/>
              <w:bidi w:val="0"/>
              <w:spacing w:before="0" w:after="283"/>
              <w:jc w:val="center"/>
              <w:rPr/>
            </w:pPr>
            <w:r>
              <w:rPr/>
              <w:t>5.25% Series Due 2035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r>
      <w:tr>
        <w:trPr/>
        <w:tc>
          <w:tcPr>
            <w:tcW w:w="1970" w:type="dxa"/>
            <w:tcBorders/>
          </w:tcPr>
          <w:p>
            <w:pPr>
              <w:pStyle w:val="TableContents"/>
              <w:bidi w:val="0"/>
              <w:spacing w:before="0" w:after="0"/>
              <w:jc w:val="left"/>
              <w:rPr>
                <w:rFonts w:ascii="Times New Roman" w:hAnsi="Times New Roman"/>
                <w:sz w:val="20"/>
              </w:rPr>
            </w:pPr>
            <w:r>
              <w:rPr>
                <w:rFonts w:ascii="Times New Roman" w:hAnsi="Times New Roman"/>
                <w:sz w:val="20"/>
              </w:rPr>
              <w:t>Fifty-Third Supplemental (Reopening) Indenture</w:t>
            </w:r>
          </w:p>
        </w:tc>
        <w:tc>
          <w:tcPr>
            <w:tcW w:w="12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center"/>
              <w:rPr/>
            </w:pPr>
            <w:r>
              <w:rPr/>
              <w:t>December 5, 2025</w:t>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center"/>
              <w:rPr/>
            </w:pPr>
            <w:r>
              <w:rPr/>
              <w:t>5.25% Series Due 2035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4600" w:type="pct"/>
        <w:jc w:val="center"/>
        <w:tblInd w:w="0" w:type="dxa"/>
        <w:tblLayout w:type="fixed"/>
        <w:tblCellMar>
          <w:top w:w="0" w:type="dxa"/>
          <w:left w:w="0" w:type="dxa"/>
          <w:bottom w:w="0" w:type="dxa"/>
          <w:right w:w="0" w:type="dxa"/>
        </w:tblCellMar>
      </w:tblPr>
      <w:tblGrid>
        <w:gridCol w:w="2383"/>
        <w:gridCol w:w="161"/>
        <w:gridCol w:w="1198"/>
        <w:gridCol w:w="161"/>
        <w:gridCol w:w="2479"/>
        <w:gridCol w:w="161"/>
        <w:gridCol w:w="60"/>
        <w:gridCol w:w="1220"/>
        <w:gridCol w:w="60"/>
        <w:gridCol w:w="160"/>
        <w:gridCol w:w="60"/>
        <w:gridCol w:w="1220"/>
        <w:gridCol w:w="65"/>
      </w:tblGrid>
      <w:tr>
        <w:trPr/>
        <w:tc>
          <w:tcPr>
            <w:tcW w:w="238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61" w:type="dxa"/>
            <w:tcBorders/>
            <w:vAlign w:val="bottom"/>
          </w:tcPr>
          <w:p>
            <w:pPr>
              <w:pStyle w:val="TableContents"/>
              <w:bidi w:val="0"/>
              <w:spacing w:before="0" w:after="283"/>
              <w:jc w:val="left"/>
              <w:rPr/>
            </w:pPr>
            <w:r>
              <w:rPr/>
              <w:t>  </w:t>
            </w:r>
          </w:p>
        </w:tc>
        <w:tc>
          <w:tcPr>
            <w:tcW w:w="1198"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61" w:type="dxa"/>
            <w:tcBorders/>
            <w:vAlign w:val="bottom"/>
          </w:tcPr>
          <w:p>
            <w:pPr>
              <w:pStyle w:val="TableContents"/>
              <w:bidi w:val="0"/>
              <w:spacing w:before="0" w:after="283"/>
              <w:jc w:val="left"/>
              <w:rPr/>
            </w:pPr>
            <w:r>
              <w:rPr/>
              <w:t>  </w:t>
            </w:r>
          </w:p>
        </w:tc>
        <w:tc>
          <w:tcPr>
            <w:tcW w:w="247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w:t>
              <w:br/>
              <w:t>Provided For</w:t>
            </w:r>
          </w:p>
        </w:tc>
        <w:tc>
          <w:tcPr>
            <w:tcW w:w="161"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65" w:type="dxa"/>
            <w:tcBorders/>
            <w:vAlign w:val="bottom"/>
          </w:tcPr>
          <w:p>
            <w:pPr>
              <w:pStyle w:val="TableContents"/>
              <w:bidi w:val="0"/>
              <w:spacing w:before="0" w:after="283"/>
              <w:jc w:val="left"/>
              <w:rPr/>
            </w:pPr>
            <w:r>
              <w:rPr/>
              <w:t> </w:t>
            </w:r>
          </w:p>
        </w:tc>
      </w:tr>
      <w:tr>
        <w:trPr/>
        <w:tc>
          <w:tcPr>
            <w:tcW w:w="23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Fifty-Fifth Supplemental Indenture</w:t>
            </w:r>
          </w:p>
        </w:tc>
        <w:tc>
          <w:tcPr>
            <w:tcW w:w="161" w:type="dxa"/>
            <w:tcBorders/>
            <w:shd w:fill="CCEEFF" w:val="clear"/>
            <w:vAlign w:val="bottom"/>
          </w:tcPr>
          <w:p>
            <w:pPr>
              <w:pStyle w:val="TableContents"/>
              <w:bidi w:val="0"/>
              <w:spacing w:before="0" w:after="283"/>
              <w:jc w:val="left"/>
              <w:rPr/>
            </w:pPr>
            <w:r>
              <w:rPr/>
              <w:t>  </w:t>
            </w:r>
          </w:p>
        </w:tc>
        <w:tc>
          <w:tcPr>
            <w:tcW w:w="1198" w:type="dxa"/>
            <w:tcBorders/>
            <w:shd w:fill="CCEEFF" w:val="clear"/>
          </w:tcPr>
          <w:p>
            <w:pPr>
              <w:pStyle w:val="TableContents"/>
              <w:bidi w:val="0"/>
              <w:spacing w:before="0" w:after="283"/>
              <w:jc w:val="center"/>
              <w:rPr/>
            </w:pPr>
            <w:r>
              <w:rPr/>
              <w:t>July 1, 2026</w:t>
            </w:r>
          </w:p>
        </w:tc>
        <w:tc>
          <w:tcPr>
            <w:tcW w:w="161" w:type="dxa"/>
            <w:tcBorders/>
            <w:shd w:fill="CCEEFF" w:val="clear"/>
            <w:vAlign w:val="bottom"/>
          </w:tcPr>
          <w:p>
            <w:pPr>
              <w:pStyle w:val="TableContents"/>
              <w:bidi w:val="0"/>
              <w:spacing w:before="0" w:after="283"/>
              <w:jc w:val="left"/>
              <w:rPr/>
            </w:pPr>
            <w:r>
              <w:rPr/>
              <w:t>  </w:t>
            </w:r>
          </w:p>
        </w:tc>
        <w:tc>
          <w:tcPr>
            <w:tcW w:w="2479" w:type="dxa"/>
            <w:tcBorders/>
            <w:shd w:fill="CCEEFF" w:val="clear"/>
            <w:vAlign w:val="bottom"/>
          </w:tcPr>
          <w:p>
            <w:pPr>
              <w:pStyle w:val="TableContents"/>
              <w:bidi w:val="0"/>
              <w:spacing w:before="0" w:after="283"/>
              <w:jc w:val="center"/>
              <w:rPr/>
            </w:pPr>
            <w:r>
              <w:rPr/>
              <w:t>5.300% Series Due 2036</w:t>
            </w:r>
          </w:p>
        </w:tc>
        <w:tc>
          <w:tcPr>
            <w:tcW w:w="16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350,000,000</w:t>
            </w:r>
          </w:p>
        </w:tc>
        <w:tc>
          <w:tcPr>
            <w:tcW w:w="60" w:type="dxa"/>
            <w:tcBorders/>
            <w:shd w:fill="CCEEFF" w:val="clear"/>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350,000,000</w:t>
            </w:r>
          </w:p>
        </w:tc>
        <w:tc>
          <w:tcPr>
            <w:tcW w:w="65" w:type="dxa"/>
            <w:tcBorders/>
            <w:shd w:fill="CCEEFF" w:val="cle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pursuant to that Amended and Restated Agreement and Plan of Merger, dated as of July 9, 2017, by and among the Company-Predecessor, Great Plains Energy Incorporated, a corporation organized and existing under the laws of the State of Missouri, Monarch Energy Holding, Inc., a corporation organized and existing under the laws of the State of Missouri (“</w:t>
      </w:r>
      <w:r>
        <w:rPr>
          <w:rFonts w:ascii="Times New Roman" w:hAnsi="Times New Roman"/>
          <w:b/>
          <w:sz w:val="20"/>
        </w:rPr>
        <w:t>Monarch Energy</w:t>
      </w:r>
      <w:r>
        <w:rPr>
          <w:rFonts w:ascii="Times New Roman" w:hAnsi="Times New Roman"/>
          <w:sz w:val="20"/>
        </w:rPr>
        <w:t>”), and King Energy, Inc., a corporation organized and existing under the laws of the State of Kansas and a wholly owned subsidiary of Monarch Energy (“</w:t>
      </w:r>
      <w:r>
        <w:rPr>
          <w:rFonts w:ascii="Times New Roman" w:hAnsi="Times New Roman"/>
          <w:b/>
          <w:sz w:val="20"/>
        </w:rPr>
        <w:t>Merger Sub</w:t>
      </w:r>
      <w:r>
        <w:rPr>
          <w:rFonts w:ascii="Times New Roman" w:hAnsi="Times New Roman"/>
          <w:sz w:val="20"/>
        </w:rPr>
        <w:t>”), on June 4, 2018 Merger Sub merged with and into the Company-Predecessor, with the Company surviving the merger (the “</w:t>
      </w:r>
      <w:r>
        <w:rPr>
          <w:rFonts w:ascii="Times New Roman" w:hAnsi="Times New Roman"/>
          <w:b/>
          <w:sz w:val="20"/>
        </w:rPr>
        <w:t>Merger</w:t>
      </w:r>
      <w:r>
        <w:rPr>
          <w:rFonts w:ascii="Times New Roman" w:hAnsi="Times New Roman"/>
          <w:sz w:val="20"/>
        </w:rPr>
        <w:t>”), on such terms as fully to preserve and in no respect impair the lien on the mortgaged property under the Original Indenture as amended by all indentures supplemental thereto (hereinafter sometimes collectively called the “</w:t>
      </w:r>
      <w:r>
        <w:rPr>
          <w:rFonts w:ascii="Times New Roman" w:hAnsi="Times New Roman"/>
          <w:b/>
          <w:sz w:val="20"/>
        </w:rPr>
        <w:t>Indenture</w:t>
      </w:r>
      <w:r>
        <w:rPr>
          <w:rFonts w:ascii="Times New Roman" w:hAnsi="Times New Roman"/>
          <w:sz w:val="20"/>
        </w:rPr>
        <w:t xml:space="preserve">”) or any of the rights or powers of the Trustee or of the holders of the Bonds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Forty-Eighth Supplemental Indenture to supplement the Original Indenture, the Company, as a successor corporation resulting from the Merger, assumed the due and punctual performance and observance of all the covenants and conditions to be kept or performed by the Company-Predecessor under the Indenture and the due and punctual payment of the principal of and interest on all Bonds now outstanding under the Indenture according to their tenor and to enable the Company to have and exercise powers and rights of the Company-Predecessor under the Indenture in accordance with the terms thereof;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on September 16, 2019, the Company formally changed its name from Westar Energy, Inc. to Evergy Kansas Central, Inc.;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is entitled at this time to have authenticated and delivered additional bonds, upon compliance with the provisions of Article III of the Original Indenture, as amended; and </w:t>
      </w:r>
    </w:p>
    <w:p>
      <w:pPr>
        <w:pStyle w:val="TextBody"/>
        <w:bidi w:val="0"/>
        <w:spacing w:before="240" w:after="0"/>
        <w:jc w:val="left"/>
        <w:rPr>
          <w:rFonts w:ascii="Times New Roman" w:hAnsi="Times New Roman"/>
          <w:sz w:val="20"/>
        </w:rPr>
      </w:pPr>
      <w:r>
        <w:rPr>
          <w:rFonts w:ascii="Times New Roman" w:hAnsi="Times New Roman"/>
          <w:sz w:val="20"/>
        </w:rPr>
        <w:t>WHEREAS, the Company desires by this Fifty-Sixth Supplemental Indenture (hereinafter referred to as this “</w:t>
      </w:r>
      <w:r>
        <w:rPr>
          <w:rFonts w:ascii="Times New Roman" w:hAnsi="Times New Roman"/>
          <w:b/>
          <w:sz w:val="20"/>
        </w:rPr>
        <w:t>Supplemental Indenture</w:t>
      </w:r>
      <w:r>
        <w:rPr>
          <w:rFonts w:ascii="Times New Roman" w:hAnsi="Times New Roman"/>
          <w:sz w:val="20"/>
        </w:rPr>
        <w:t>”) to supplement the Original Indenture and to provide for the creation of a new series of bonds under the Original Indenture to be designated “First Mortgage Bonds, 5.600% Series due 2034” (hereinafter called “</w:t>
      </w:r>
      <w:r>
        <w:rPr>
          <w:rFonts w:ascii="Times New Roman" w:hAnsi="Times New Roman"/>
          <w:b/>
          <w:sz w:val="20"/>
        </w:rPr>
        <w:t>Bonds of the 5.600% Series due 2034</w:t>
      </w:r>
      <w:r>
        <w:rPr>
          <w:rFonts w:ascii="Times New Roman" w:hAnsi="Times New Roman"/>
          <w:sz w:val="20"/>
        </w:rPr>
        <w:t xml:space="preserve">”); and the Original Indenture provides that certain terms and provisions, as determined by the Board of Directors of the Company, of the Bonds of any particular series may be expressed in and provided by the execution of an appropriate supplemental indenture;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Company in the exercise of the powers and authority conferred upon and reserved to it under the provisions of the Original Indenture and indentures supplemental thereto, and pursuant to appropriate resolutions of its Board of Directors, has duly resolved and determined to make, execute and deliver to the Trustee a supplemental indenture in the form hereof for the purposes herein provided;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conditions and requirements necessary to make this Supplemental Indenture a valid, binding and legal instrument have been done, performed and fulfilled, and the execution and delivery hereof have been in all respects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That, in consideration of the premises and of the mutual covenants herein contained and of the sum of One Dollar duly paid by the Company to the Trustee at or before the time of the execution of these presents, and of other valuable considerations, the receipt whereof is hereby acknowledged, and in order further to secure the payment of the principal of and interest and premium, if any, on all Bonds at any time issued and outstanding under the Indenture according to their tenor, purpose and effect, and to declare certain terms and conditions upon and subject to which Bonds are to be issued and secured, the Company has executed and delivered this Supplemental Indenture, and by these presents grants, bargains, sells, warrants, aliens, releases, conveys, assigns, transfers, mortgages, pledges, sets over and ratifies and confirms unto The Bank of New York Mellon Trust Company, N.A., as Trustee, and to its successors in trust under the Indenture forever, all and singular the following described properties (in addition to all other properties heretofore specifically subjected to the lien of the Indenture and not heretofore released from the lien thereof), that is to say: </w:t>
      </w:r>
    </w:p>
    <w:p>
      <w:pPr>
        <w:pStyle w:val="TextBody"/>
        <w:bidi w:val="0"/>
        <w:spacing w:before="480" w:after="0"/>
        <w:jc w:val="center"/>
        <w:rPr>
          <w:rFonts w:ascii="Times New Roman" w:hAnsi="Times New Roman"/>
          <w:b/>
          <w:sz w:val="20"/>
        </w:rPr>
      </w:pPr>
      <w:r>
        <w:rPr>
          <w:rFonts w:ascii="Times New Roman" w:hAnsi="Times New Roman"/>
          <w:b/>
          <w:sz w:val="20"/>
        </w:rPr>
        <w:t xml:space="preserve">FIRST. </w:t>
      </w:r>
    </w:p>
    <w:p>
      <w:pPr>
        <w:pStyle w:val="TextBody"/>
        <w:bidi w:val="0"/>
        <w:spacing w:before="240" w:after="0"/>
        <w:jc w:val="left"/>
        <w:rPr>
          <w:rFonts w:ascii="Times New Roman" w:hAnsi="Times New Roman"/>
          <w:sz w:val="20"/>
        </w:rPr>
      </w:pPr>
      <w:r>
        <w:rPr>
          <w:rFonts w:ascii="Times New Roman" w:hAnsi="Times New Roman"/>
          <w:sz w:val="20"/>
        </w:rPr>
        <w:t xml:space="preserve">All and singular the lands, real estate, chattels real, easements, servitudes, and leaseholds of the Company, or which, subject to the provisions of Article XII of the Original Indenture, the Company may hereafter acquire, together with all improvements of any type located thereon. </w:t>
      </w:r>
    </w:p>
    <w:p>
      <w:pPr>
        <w:pStyle w:val="TextBody"/>
        <w:bidi w:val="0"/>
        <w:spacing w:before="240" w:after="0"/>
        <w:jc w:val="left"/>
        <w:rPr>
          <w:rFonts w:ascii="Times New Roman" w:hAnsi="Times New Roman"/>
          <w:sz w:val="20"/>
        </w:rPr>
      </w:pPr>
      <w:r>
        <w:rPr>
          <w:rFonts w:ascii="Times New Roman" w:hAnsi="Times New Roman"/>
          <w:sz w:val="20"/>
        </w:rPr>
        <w:t xml:space="preserve">Also all power houses, plants, buildings and other structures, dams, dam sites, substations, heating plants, gas works, holders and tanks, compressor stations, gasoline extraction plants, together with all and singular the electric heating, gas and mechanical appliances appurtenant thereto of every nature whatsoever, now owned by the Company or which it may hereafter acquire, including all and singular the machinery, engines, boilers, furnaces, generators, dynamos, turbines and motors, and all and every character of mechanical appliance for generating or producing electricity, steam, water, gas and other agencies for light, heat, cold or power or any other purpose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SECOND. </w:t>
      </w:r>
    </w:p>
    <w:p>
      <w:pPr>
        <w:pStyle w:val="TextBody"/>
        <w:bidi w:val="0"/>
        <w:spacing w:before="240" w:after="0"/>
        <w:jc w:val="left"/>
        <w:rPr>
          <w:rFonts w:ascii="Times New Roman" w:hAnsi="Times New Roman"/>
          <w:sz w:val="20"/>
        </w:rPr>
      </w:pPr>
      <w:r>
        <w:rPr>
          <w:rFonts w:ascii="Times New Roman" w:hAnsi="Times New Roman"/>
          <w:sz w:val="20"/>
        </w:rPr>
        <w:t xml:space="preserve">Also all transmission and distribution systems used for the transmission and distribution of electricity, steam, water, gas and other agencies for light, heat, cold or power, or any other purpose whatsoever, whether underground or overhead or on the surface or otherwise of the Company, or which, subject to the provisions of Article XII of the Original Indenture, the Company may hereafter acquire, including all poles, posts, wires, cables, conduits, mains, pipes, tubes, drains, furnaces, switchboards, transformers, insulators, meters, lamps, fuses, junction boxes, water pumping stations, regulator stations, town border metering stations and other electric, steam, water and gas fixtures and apparatus. </w:t>
      </w:r>
    </w:p>
    <w:p>
      <w:pPr>
        <w:pStyle w:val="TextBody"/>
        <w:bidi w:val="0"/>
        <w:spacing w:before="480" w:after="0"/>
        <w:jc w:val="center"/>
        <w:rPr>
          <w:rFonts w:ascii="Times New Roman" w:hAnsi="Times New Roman"/>
          <w:b/>
          <w:sz w:val="20"/>
        </w:rPr>
      </w:pPr>
      <w:r>
        <w:rPr>
          <w:rFonts w:ascii="Times New Roman" w:hAnsi="Times New Roman"/>
          <w:b/>
          <w:sz w:val="20"/>
        </w:rPr>
        <w:t xml:space="preserve">THIRD. </w:t>
      </w:r>
    </w:p>
    <w:p>
      <w:pPr>
        <w:pStyle w:val="TextBody"/>
        <w:bidi w:val="0"/>
        <w:spacing w:before="240" w:after="0"/>
        <w:jc w:val="left"/>
        <w:rPr>
          <w:rFonts w:ascii="Times New Roman" w:hAnsi="Times New Roman"/>
          <w:sz w:val="20"/>
        </w:rPr>
      </w:pPr>
      <w:r>
        <w:rPr>
          <w:rFonts w:ascii="Times New Roman" w:hAnsi="Times New Roman"/>
          <w:sz w:val="20"/>
        </w:rPr>
        <w:t xml:space="preserve">Also all franchises and all permits, ordinances, easements, privileges and immunities and licenses, all rights to construct, maintain and operate overhead, surface and underground systems for the distribution and transmission of electricity, gas, water or steam for the supply to itself or others of light, heat, cold or power or any other purpose whatsoever, all rights-of-way, all waters, water rights and flowage rights and all grants and consents, now owned by the Company or, subject to the provisions of Article XII of the Original Indenture, which it may hereafter acquire. </w:t>
      </w:r>
    </w:p>
    <w:p>
      <w:pPr>
        <w:pStyle w:val="TextBody"/>
        <w:bidi w:val="0"/>
        <w:spacing w:before="240" w:after="0"/>
        <w:jc w:val="left"/>
        <w:rPr>
          <w:rFonts w:ascii="Times New Roman" w:hAnsi="Times New Roman"/>
          <w:sz w:val="20"/>
        </w:rPr>
      </w:pPr>
      <w:r>
        <w:rPr>
          <w:rFonts w:ascii="Times New Roman" w:hAnsi="Times New Roman"/>
          <w:sz w:val="20"/>
        </w:rPr>
        <w:t xml:space="preserve">Also all inventions, patent rights and licenses of every kind now owned by the Company or, subject to the provisions of Article XII of the Original Indenture, which it may hereafter acquire. </w:t>
      </w:r>
    </w:p>
    <w:p>
      <w:pPr>
        <w:pStyle w:val="TextBody"/>
        <w:bidi w:val="0"/>
        <w:spacing w:before="480" w:after="0"/>
        <w:jc w:val="center"/>
        <w:rPr>
          <w:rFonts w:ascii="Times New Roman" w:hAnsi="Times New Roman"/>
          <w:b/>
          <w:sz w:val="20"/>
        </w:rPr>
      </w:pPr>
      <w:r>
        <w:rPr>
          <w:rFonts w:ascii="Times New Roman" w:hAnsi="Times New Roman"/>
          <w:b/>
          <w:sz w:val="20"/>
        </w:rPr>
        <w:t xml:space="preserve">FOURTH. </w:t>
      </w:r>
    </w:p>
    <w:p>
      <w:pPr>
        <w:pStyle w:val="TextBody"/>
        <w:bidi w:val="0"/>
        <w:spacing w:before="240" w:after="0"/>
        <w:jc w:val="left"/>
        <w:rPr>
          <w:rFonts w:ascii="Times New Roman" w:hAnsi="Times New Roman"/>
          <w:sz w:val="20"/>
        </w:rPr>
      </w:pPr>
      <w:r>
        <w:rPr>
          <w:rFonts w:ascii="Times New Roman" w:hAnsi="Times New Roman"/>
          <w:sz w:val="20"/>
        </w:rPr>
        <w:t xml:space="preserve">Also, subject to the provisions of Article XII of the Original Indenture, all other property, real, personal and mixed (except as therein or herein expressly excepted) of every nature and kind and wheresoever situated now or hereafter possessed by or belonging to the Company, or to which it is now, or may at any time hereafter be, in any manner entitled at law or in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FIFTH. </w:t>
      </w:r>
    </w:p>
    <w:p>
      <w:pPr>
        <w:pStyle w:val="TextBody"/>
        <w:bidi w:val="0"/>
        <w:spacing w:before="240" w:after="0"/>
        <w:jc w:val="left"/>
        <w:rPr>
          <w:rFonts w:ascii="Times New Roman" w:hAnsi="Times New Roman"/>
          <w:sz w:val="20"/>
        </w:rPr>
      </w:pPr>
      <w:r>
        <w:rPr>
          <w:rFonts w:ascii="Times New Roman" w:hAnsi="Times New Roman"/>
          <w:sz w:val="20"/>
        </w:rPr>
        <w:t xml:space="preserve">Also any and all property of any kind or description which may from time to time after the date of the Original Indenture by delivery or by writing of any kind be conveyed, mortgaged, pledged, assigned or transferred to the Trustee by the Company or by any person, copartnership or corporation, with the consent of the Company or otherwise, and accepted by the Trustee, to be held as part of the mortgaged property; and the Trustee is hereby authorized to accept and receive any such property and any such conveyance, mortgage, pledge, assignment and transfer, as and for additional security hereunder, and to hold and apply any and all such property subject to and in accordance with the terms and provisions upon which such conveyance, mortgage, pledge, assignment or transfer shall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SIXTH. </w:t>
      </w:r>
    </w:p>
    <w:p>
      <w:pPr>
        <w:pStyle w:val="TextBody"/>
        <w:bidi w:val="0"/>
        <w:spacing w:before="240" w:after="0"/>
        <w:jc w:val="left"/>
        <w:rPr>
          <w:rFonts w:ascii="Times New Roman" w:hAnsi="Times New Roman"/>
          <w:sz w:val="20"/>
        </w:rPr>
      </w:pPr>
      <w:r>
        <w:rPr>
          <w:rFonts w:ascii="Times New Roman" w:hAnsi="Times New Roman"/>
          <w:sz w:val="20"/>
        </w:rPr>
        <w:t xml:space="preserve">Together with all and singular, the tenements, hereditaments and appurtenances belonging or in anywise appertaining to the aforesaid property or any part thereof, with the reversion and reversions, remainder and remainders, tolls, rents, revenues, issues, income, products and profits thereof, and all the estate, right, title, interest and claim whatsoever, at law and in equity, which the Company now has or may hereafter acquire in and to the aforesaid property and franchises and every part and parcel thereof. </w:t>
      </w:r>
    </w:p>
    <w:p>
      <w:pPr>
        <w:pStyle w:val="TextBody"/>
        <w:bidi w:val="0"/>
        <w:spacing w:before="240" w:after="0"/>
        <w:jc w:val="left"/>
        <w:rPr>
          <w:rFonts w:ascii="Times New Roman" w:hAnsi="Times New Roman"/>
          <w:sz w:val="20"/>
        </w:rPr>
      </w:pPr>
      <w:r>
        <w:rPr>
          <w:rFonts w:ascii="Times New Roman" w:hAnsi="Times New Roman"/>
          <w:sz w:val="20"/>
        </w:rPr>
        <w:t xml:space="preserve">EXPRESSLY EXCEPTING AND EXCLUDING, HOWEVER, all properties of the character excepted from the lien of the Original Indenture. </w:t>
      </w:r>
    </w:p>
    <w:p>
      <w:pPr>
        <w:pStyle w:val="TextBody"/>
        <w:bidi w:val="0"/>
        <w:spacing w:before="240" w:after="0"/>
        <w:jc w:val="left"/>
        <w:rPr>
          <w:rFonts w:ascii="Times New Roman" w:hAnsi="Times New Roman"/>
          <w:sz w:val="20"/>
        </w:rPr>
      </w:pPr>
      <w:r>
        <w:rPr>
          <w:rFonts w:ascii="Times New Roman" w:hAnsi="Times New Roman"/>
          <w:sz w:val="20"/>
        </w:rPr>
        <w:t xml:space="preserve">TO HAVE AND TO HOLD all said properties, real, personal and mixed, mortgaged, pledged and conveyed by the Company as aforesaid, or intended so to be, unto the Trustee and its successors and assigns forever; </w:t>
      </w:r>
    </w:p>
    <w:p>
      <w:pPr>
        <w:pStyle w:val="TextBody"/>
        <w:bidi w:val="0"/>
        <w:spacing w:before="240" w:after="0"/>
        <w:jc w:val="left"/>
        <w:rPr>
          <w:rFonts w:ascii="Times New Roman" w:hAnsi="Times New Roman"/>
          <w:sz w:val="20"/>
        </w:rPr>
      </w:pPr>
      <w:r>
        <w:rPr>
          <w:rFonts w:ascii="Times New Roman" w:hAnsi="Times New Roman"/>
          <w:sz w:val="20"/>
        </w:rPr>
        <w:t xml:space="preserve">SUBJECT, HOWEVER, to the exceptions and reservations hereinabove referred to, to existing leases other than leases which by their terms are subordinate to the lien of the Indenture, to existing liens upon rights-of-way for transmission or distribution line purposes, as defined in Article I of the Original Indenture; and any extensions thereof, and subject to existing easements for streets, alleys, highways, rights-of-way and railroad purposes over, upon and across certain of the property herein before described and subject also to all the terms, conditions, agreements, covenants, exceptions and reservations expressed or provided in the deeds or other instruments respectively under and by virtue of which the Company acquired the properties hereinabove described and to undetermined liens and charges, if any, incidental to construction or other existing permitted liens as defined in Article I of the Original Indenture; </w:t>
      </w:r>
    </w:p>
    <w:p>
      <w:pPr>
        <w:pStyle w:val="TextBody"/>
        <w:bidi w:val="0"/>
        <w:spacing w:before="240" w:after="0"/>
        <w:jc w:val="left"/>
        <w:rPr>
          <w:rFonts w:ascii="Times New Roman" w:hAnsi="Times New Roman"/>
          <w:sz w:val="20"/>
        </w:rPr>
      </w:pPr>
      <w:r>
        <w:rPr>
          <w:rFonts w:ascii="Times New Roman" w:hAnsi="Times New Roman"/>
          <w:sz w:val="20"/>
        </w:rPr>
        <w:t xml:space="preserve">IN TRUST, NEVERTHELESS, upon the terms and trusts in the Original Indenture, and the indentures supplemental thereto, including this Supplemental Indenture, set forth, for the equal and proportionate benefit and security of all present and future holders of the Bonds and coupons issued and to be issued thereunder, or any of them, without preference of any of said Bonds and coupons of any particular series over the Bonds and coupons of any other series by reason of priority in the time of issue, sale or negotiation thereof, or by reason of the purpose of issue or otherwise howsoever, except as otherwise provided in Section 2 of Article IV of the Original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IT IS HEREBY COVENANTED, DECLARED AND AGREED, by and between the parties hereto for the benefit of those who shall hold the Bonds and coupons, or any of them, to be issued under the Indenture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DESCRIPTION OF BONDS OF THE 5.600% SERIES DUE 2034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General</w:t>
      </w:r>
      <w:r>
        <w:rPr>
          <w:rFonts w:ascii="Times New Roman" w:hAnsi="Times New Roman"/>
          <w:sz w:val="20"/>
        </w:rPr>
        <w:t> </w:t>
      </w:r>
      <w:r>
        <w:rPr>
          <w:rFonts w:ascii="Times New Roman" w:hAnsi="Times New Roman"/>
          <w:i/>
          <w:sz w:val="20"/>
        </w:rPr>
        <w:t xml:space="preserve">Description of Bonds of the 5.600% Series due 2034. </w:t>
      </w:r>
      <w:r>
        <w:rPr>
          <w:rFonts w:ascii="Times New Roman" w:hAnsi="Times New Roman"/>
          <w:sz w:val="20"/>
        </w:rPr>
        <w:t xml:space="preserve">The Bonds of the 5.600% Series due 2034 to be executed, authenticated and delivered under and secured by the Original Indenture shall be designated as “First Mortgage Bonds, 5.600% Series due 2034” of the Company. The Bonds of the 5.600% Series due 2034 shall be executed, authenticated and delivered in accordance with the provisions of, and shall in all respects be subject to, all of the terms, conditions and covenants of the Indenture and subject to all the terms, conditions and covenants of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Bonds of the 5.600% Series due 2034 shall mature on January 15, 2034 and shall bear interest at the rate of 5.600 percent (5.600%) per annum payable semi-annually on the fifteenth day of January and July in each year, commencing January 15, 2027. Every Bond of the 5.600% Series due 2034 shall be dated the date of authentication of such Bond except that, notwithstanding the provisions of Section 6 of Article II of the Original Indenture, if any Bond of the 5.600% Series due 2034 shall be authenticated at any time subsequent to the record date (as hereinafter in this Section defined) for any interest payment date but prior to the day following such interest payment date, it shall be dated as of the day following such interest payment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at the time of authentication of any Bond of the 5.600% Series due 2034 interest shall be in default on any Bonds of the 5.600% Series due 2034, such Bond shall be dated as of the day following the interest payment date to which interest has previously been paid in full or made available for payment in full on outstanding Bonds of the 5.600% Series due 2034, as the case may be, or, if no interest has been paid or made available for payment, as of the date of initial authentication and delivery of such Bond. Every Bond of the 5.600% Series due 2034 shall bear interest from the January 15 or July 15 immediately preceding the date thereof, unless such Bond shall be dated prior to January 15, 2027, in which case it shall bear interest from September 16, 2026. </w:t>
      </w:r>
    </w:p>
    <w:p>
      <w:pPr>
        <w:pStyle w:val="TextBody"/>
        <w:bidi w:val="0"/>
        <w:spacing w:before="240" w:after="0"/>
        <w:jc w:val="left"/>
        <w:rPr>
          <w:rFonts w:ascii="Times New Roman" w:hAnsi="Times New Roman"/>
          <w:sz w:val="20"/>
        </w:rPr>
      </w:pPr>
      <w:r>
        <w:rPr>
          <w:rFonts w:ascii="Times New Roman" w:hAnsi="Times New Roman"/>
          <w:sz w:val="20"/>
        </w:rPr>
        <w:t>The person in whose name any Bond of the 5.600% Series due 2034 is registered at the close of business on any record date with regard to any interest payment date shall be entitled to receive the interest payable thereon on such interest payment date notwithstanding the cancellation of such Bond upon the transfer or exchange thereof subsequent to such record date and prior to the day following such interest payment date, unless the Company shall default in the payment of the interest due on such interest payment date, in which case such defaulted interest shall be paid to the person in whose name such Bond is registered on the date of payment of such defaulted interest. The term “</w:t>
      </w:r>
      <w:r>
        <w:rPr>
          <w:rFonts w:ascii="Times New Roman" w:hAnsi="Times New Roman"/>
          <w:b/>
          <w:sz w:val="20"/>
        </w:rPr>
        <w:t>record date</w:t>
      </w:r>
      <w:r>
        <w:rPr>
          <w:rFonts w:ascii="Times New Roman" w:hAnsi="Times New Roman"/>
          <w:sz w:val="20"/>
        </w:rPr>
        <w:t xml:space="preserve">” as used in this Section with regard to any January 15 and July 15 interest payment date shall mean the close of business on (i) the Business Day immediately preceding such interest payment date for so long as all of the Bonds of the 5.600% Series due 2034 remain in book-entry only form or (ii) the fifteenth calendar day immediately preceding each interest payment date if any of the Bonds do not remain in book-entry only form. The Bonds of the 5.600% Series due 2034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payable as to principal, premium, if any, and interest, in any coin or currency of the United States of America which at the time of payment is legal tender for public and private debts, at the agency of the Company in the City of Chicago, Illinois, or at the option of the holder thereof at the agency of the Company in the Borough of Manhattan, The City of New York, </w:t>
      </w:r>
      <w:r>
        <w:rPr>
          <w:rFonts w:ascii="Times New Roman" w:hAnsi="Times New Roman"/>
          <w:i/>
          <w:sz w:val="20"/>
        </w:rPr>
        <w:t>provided</w:t>
      </w:r>
      <w:r>
        <w:rPr>
          <w:rFonts w:ascii="Times New Roman" w:hAnsi="Times New Roman"/>
          <w:sz w:val="20"/>
        </w:rPr>
        <w:t xml:space="preserve"> that at the option of the Company interest may be paid by check mailed to the holder at such holder’s registered address.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i/>
          <w:sz w:val="20"/>
        </w:rPr>
        <w:t>Denominations</w:t>
      </w:r>
      <w:r>
        <w:rPr>
          <w:rFonts w:ascii="Times New Roman" w:hAnsi="Times New Roman"/>
          <w:sz w:val="20"/>
        </w:rPr>
        <w:t> </w:t>
      </w:r>
      <w:r>
        <w:rPr>
          <w:rFonts w:ascii="Times New Roman" w:hAnsi="Times New Roman"/>
          <w:i/>
          <w:sz w:val="20"/>
        </w:rPr>
        <w:t xml:space="preserve">of Bonds of the 5.600% Series due 2034 and Privilege of Exchange. </w:t>
      </w:r>
      <w:r>
        <w:rPr>
          <w:rFonts w:ascii="Times New Roman" w:hAnsi="Times New Roman"/>
          <w:sz w:val="20"/>
        </w:rPr>
        <w:t xml:space="preserve">The Bonds of the 5.600% Series due 2034 shall be registered bonds without coupons in minimum denominations of $2,000 and in integral multiples of $1,000 in excess thereof, numbered consecutively from R-1. Bonds of the 5.600% Series due 2034 may each be interchanged for other Bonds within the same Series in authorized denominations and in the same aggregate principal amounts, without charge, except for any tax or governmental charge imposed in connection with such interchange.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i/>
          <w:sz w:val="20"/>
        </w:rPr>
        <w:t>Form</w:t>
      </w:r>
      <w:r>
        <w:rPr>
          <w:rFonts w:ascii="Times New Roman" w:hAnsi="Times New Roman"/>
          <w:sz w:val="20"/>
        </w:rPr>
        <w:t> </w:t>
      </w:r>
      <w:r>
        <w:rPr>
          <w:rFonts w:ascii="Times New Roman" w:hAnsi="Times New Roman"/>
          <w:i/>
          <w:sz w:val="20"/>
        </w:rPr>
        <w:t xml:space="preserve">of Bonds of the 5.600% Series due 2034. </w:t>
      </w:r>
      <w:r>
        <w:rPr>
          <w:rFonts w:ascii="Times New Roman" w:hAnsi="Times New Roman"/>
          <w:sz w:val="20"/>
        </w:rPr>
        <w:t xml:space="preserve">The Bonds of the 5.600% Series due 2034, and the Trustee’s Certificate with respect thereto, shall be substantially in the following forms, respectively: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Form of Bond appears on following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LEGEND FOR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OR ANY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SECURITY IS PRESENTED BY AN AUTHORIZED REPRESENTATIVE OF THE DEPOSITORY TRUST COMPANY (570 WASHINGTON BLVD., JERSEY CITY, NEW JERSEY) TO THE ISSUER OR ITS AGENT FOR REGISTRATION OF TRANSFER, EXCHANGE OR PAYMENT AND ANY SECURITY ISSUED IS REGISTERED IN THE NAME OF CEDE &amp; CO. OR SUCH OTHER NAME AS REQUESTED BY AN AUTHORIZED REPRESENTATIVE OF THE DEPOSITORY TRUST COMPANY AND ANY PAYMENT HEREON IS MADE TO CEDE &amp; CO., ANY TRANSFER, PLEDGE OR OTHER USE HEREOF FOR VALUE OR OTHERWISE BY OR TO A PERSON IS WRONGFUL SINCE THE REGISTERED OWNER HEREOF, CEDE &amp; CO., HAS AN INTEREST HEREIN. </w:t>
      </w:r>
    </w:p>
    <w:p>
      <w:pPr>
        <w:pStyle w:val="TextBody"/>
        <w:bidi w:val="0"/>
        <w:spacing w:before="240" w:after="0"/>
        <w:jc w:val="right"/>
        <w:rPr>
          <w:rFonts w:ascii="Times New Roman" w:hAnsi="Times New Roman"/>
          <w:sz w:val="20"/>
        </w:rPr>
      </w:pPr>
      <w:r>
        <w:rPr>
          <w:rFonts w:ascii="Times New Roman" w:hAnsi="Times New Roman"/>
          <w:sz w:val="20"/>
        </w:rPr>
        <w:t xml:space="preserve">CUSIP 30036F AG6 </w:t>
      </w:r>
    </w:p>
    <w:p>
      <w:pPr>
        <w:pStyle w:val="TextBody"/>
        <w:bidi w:val="0"/>
        <w:spacing w:before="240" w:after="0"/>
        <w:jc w:val="center"/>
        <w:rPr>
          <w:rFonts w:ascii="Times New Roman" w:hAnsi="Times New Roman"/>
          <w:sz w:val="20"/>
        </w:rPr>
      </w:pPr>
      <w:r>
        <w:rPr>
          <w:rFonts w:ascii="Times New Roman" w:hAnsi="Times New Roman"/>
          <w:sz w:val="20"/>
        </w:rPr>
        <w:t xml:space="preserve">EVERGY KANSAS CENTRAL, INC. </w:t>
      </w:r>
    </w:p>
    <w:p>
      <w:pPr>
        <w:pStyle w:val="TextBody"/>
        <w:bidi w:val="0"/>
        <w:spacing w:before="240" w:after="0"/>
        <w:jc w:val="center"/>
        <w:rPr>
          <w:rFonts w:ascii="Times New Roman" w:hAnsi="Times New Roman"/>
          <w:sz w:val="20"/>
        </w:rPr>
      </w:pPr>
      <w:r>
        <w:rPr>
          <w:rFonts w:ascii="Times New Roman" w:hAnsi="Times New Roman"/>
          <w:sz w:val="20"/>
        </w:rPr>
        <w:t xml:space="preserve">(Incorporated under the laws of the State of Kansas) </w:t>
      </w:r>
    </w:p>
    <w:p>
      <w:pPr>
        <w:pStyle w:val="TextBody"/>
        <w:bidi w:val="0"/>
        <w:spacing w:before="240" w:after="0"/>
        <w:jc w:val="center"/>
        <w:rPr>
          <w:rFonts w:ascii="Times New Roman" w:hAnsi="Times New Roman"/>
          <w:sz w:val="20"/>
        </w:rPr>
      </w:pPr>
      <w:r>
        <w:rPr>
          <w:rFonts w:ascii="Times New Roman" w:hAnsi="Times New Roman"/>
          <w:sz w:val="20"/>
        </w:rPr>
        <w:t xml:space="preserve">FIRST MORTGAGE BOND, 5.600% SERIES DUE 2034 </w:t>
      </w:r>
    </w:p>
    <w:p>
      <w:pPr>
        <w:pStyle w:val="TextBody"/>
        <w:bidi w:val="0"/>
        <w:spacing w:before="240" w:after="0"/>
        <w:jc w:val="center"/>
        <w:rPr>
          <w:rFonts w:ascii="Times New Roman" w:hAnsi="Times New Roman"/>
          <w:sz w:val="20"/>
        </w:rPr>
      </w:pPr>
      <w:r>
        <w:rPr>
          <w:rFonts w:ascii="Times New Roman" w:hAnsi="Times New Roman"/>
          <w:sz w:val="20"/>
        </w:rPr>
        <w:t xml:space="preserve">DUE JANUARY 15, 2034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45"/>
        <w:gridCol w:w="122"/>
        <w:gridCol w:w="5038"/>
      </w:tblGrid>
      <w:tr>
        <w:trPr/>
        <w:tc>
          <w:tcPr>
            <w:tcW w:w="504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38" w:type="dxa"/>
            <w:tcBorders/>
            <w:vAlign w:val="center"/>
          </w:tcPr>
          <w:p>
            <w:pPr>
              <w:pStyle w:val="TableContents"/>
              <w:bidi w:val="0"/>
              <w:spacing w:before="0" w:after="283"/>
              <w:jc w:val="left"/>
              <w:rPr>
                <w:sz w:val="4"/>
                <w:szCs w:val="4"/>
              </w:rPr>
            </w:pPr>
            <w:r>
              <w:rPr>
                <w:sz w:val="4"/>
                <w:szCs w:val="4"/>
              </w:rPr>
            </w:r>
          </w:p>
        </w:tc>
      </w:tr>
      <w:tr>
        <w:trPr/>
        <w:tc>
          <w:tcPr>
            <w:tcW w:w="5045" w:type="dxa"/>
            <w:tcBorders/>
          </w:tcPr>
          <w:p>
            <w:pPr>
              <w:pStyle w:val="TableContents"/>
              <w:bidi w:val="0"/>
              <w:spacing w:before="0" w:after="0"/>
              <w:jc w:val="left"/>
              <w:rPr>
                <w:rFonts w:ascii="Times New Roman" w:hAnsi="Times New Roman"/>
                <w:sz w:val="20"/>
              </w:rPr>
            </w:pPr>
            <w:r>
              <w:rPr>
                <w:rFonts w:ascii="Times New Roman" w:hAnsi="Times New Roman"/>
                <w:sz w:val="20"/>
              </w:rPr>
              <w:t>No. R-1</w:t>
            </w:r>
          </w:p>
        </w:tc>
        <w:tc>
          <w:tcPr>
            <w:tcW w:w="122" w:type="dxa"/>
            <w:tcBorders/>
            <w:vAlign w:val="bottom"/>
          </w:tcPr>
          <w:p>
            <w:pPr>
              <w:pStyle w:val="TableContents"/>
              <w:bidi w:val="0"/>
              <w:spacing w:before="0" w:after="283"/>
              <w:jc w:val="left"/>
              <w:rPr/>
            </w:pPr>
            <w:r>
              <w:rPr/>
              <w:t>  </w:t>
            </w:r>
          </w:p>
        </w:tc>
        <w:tc>
          <w:tcPr>
            <w:tcW w:w="5038" w:type="dxa"/>
            <w:tcBorders/>
            <w:vAlign w:val="bottom"/>
          </w:tcPr>
          <w:p>
            <w:pPr>
              <w:pStyle w:val="TableContents"/>
              <w:bidi w:val="0"/>
              <w:spacing w:before="0" w:after="283"/>
              <w:jc w:val="right"/>
              <w:rPr/>
            </w:pPr>
            <w:r>
              <w:rPr/>
              <w:t>$[ ],000,000.00</w:t>
            </w:r>
          </w:p>
        </w:tc>
      </w:tr>
    </w:tbl>
    <w:p>
      <w:pPr>
        <w:pStyle w:val="TextBody"/>
        <w:bidi w:val="0"/>
        <w:spacing w:before="240" w:after="0"/>
        <w:jc w:val="left"/>
        <w:rPr>
          <w:rFonts w:ascii="Times New Roman" w:hAnsi="Times New Roman"/>
          <w:sz w:val="20"/>
        </w:rPr>
      </w:pPr>
      <w:r>
        <w:rPr>
          <w:rFonts w:ascii="Times New Roman" w:hAnsi="Times New Roman"/>
          <w:sz w:val="20"/>
        </w:rPr>
        <w:t>EVERGY KANSAS CENTRAL, INC., a corporation organized and existing under the laws of the State of Kansas (hereinafter called the “</w:t>
      </w:r>
      <w:r>
        <w:rPr>
          <w:rFonts w:ascii="Times New Roman" w:hAnsi="Times New Roman"/>
          <w:b/>
          <w:sz w:val="20"/>
        </w:rPr>
        <w:t>Company</w:t>
      </w:r>
      <w:r>
        <w:rPr>
          <w:rFonts w:ascii="Times New Roman" w:hAnsi="Times New Roman"/>
          <w:sz w:val="20"/>
        </w:rPr>
        <w:t xml:space="preserve">”, which term shall include any successor corporation as defined in the Indenture hereinafter referred to), for value received, hereby promises to pay to CEDE &amp; CO. or registered assigns, on the fifteenth day of January, 2034, the principal sum of [    ] MILLION DOLLARS ($[ ],000,000.00) in any coin or currency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United States of America which at the time of payment is legal tender for public and private debts, and to pay interest thereon in like coin or currency from the fifteenth day of January and July immediately preceding the date of this Bond, unless such Bond shall be dated prior to January 15, 2027, in which case from September 16, 2026 at the rate of 5.600 percent (5.600%) per annum, payable semi-annually, on January 15 and July 15 of each year, commencing January 15, 2027, until maturity, or, if this Bond shall be duly called for redemption or submitted for repurchase, until the redemption date or repurchase date, as the case may be, or, if the Company shall default in the payment of the principal or premium hereof, until the Company’s obligation with respect to the payment of such principal or premium shall be discharged as provided in the Indenture hereinafter mentioned. The interest payable on any January 15 or July 15 interest payment date as aforesaid will be paid to the person in whose name this Bond is registered at the close of business on the record date for the interest payment date, which will be the close of business on (i) the Business Day immediately preceding such interest payment date for so as long as this Bond remains in book-entry only form or (ii) the fifteenth calendar day immediately preceding each interest payment date if this Bond does not remain in book-entry only form (the “</w:t>
      </w:r>
      <w:r>
        <w:rPr>
          <w:rFonts w:ascii="Times New Roman" w:hAnsi="Times New Roman"/>
          <w:b/>
          <w:sz w:val="20"/>
        </w:rPr>
        <w:t>record date</w:t>
      </w:r>
      <w:r>
        <w:rPr>
          <w:rFonts w:ascii="Times New Roman" w:hAnsi="Times New Roman"/>
          <w:sz w:val="20"/>
        </w:rPr>
        <w:t xml:space="preserve">”), unless the Company shall default in the payment of the interest due on such interest payment date, in which case such defaulted interest shall be paid to the person in whose name this Bond is registered on the date of payment of such defaulted interest. Principal of, premium, if any, and interest on, this Bond are payable at the agency of the Company in the City of Chicago, Illinois in immediately available funds, or at the option of the holder thereof at the agency of the Company in the Borough of Manhattan, The City of New York, provided that at the option of the Company interest may be paid by check mailed to the holder at such holder’s registered address. </w:t>
      </w:r>
    </w:p>
    <w:p>
      <w:pPr>
        <w:pStyle w:val="TextBody"/>
        <w:bidi w:val="0"/>
        <w:spacing w:before="240" w:after="0"/>
        <w:jc w:val="left"/>
        <w:rPr>
          <w:rFonts w:ascii="Times New Roman" w:hAnsi="Times New Roman"/>
          <w:sz w:val="20"/>
        </w:rPr>
      </w:pPr>
      <w:r>
        <w:rPr>
          <w:rFonts w:ascii="Times New Roman" w:hAnsi="Times New Roman"/>
          <w:sz w:val="20"/>
        </w:rPr>
        <w:t>This Bond is one of a duly authorized issue of Bonds of the Company (herein called the “</w:t>
      </w:r>
      <w:r>
        <w:rPr>
          <w:rFonts w:ascii="Times New Roman" w:hAnsi="Times New Roman"/>
          <w:b/>
          <w:sz w:val="20"/>
        </w:rPr>
        <w:t>Bonds</w:t>
      </w:r>
      <w:r>
        <w:rPr>
          <w:rFonts w:ascii="Times New Roman" w:hAnsi="Times New Roman"/>
          <w:sz w:val="20"/>
        </w:rPr>
        <w:t>”), in unlimited aggregate principal amount, of the series hereinafter specified, all issued and to be issued under and equally and ratably secured by a Mortgage and Deed of Trust, dated July 1, 1939 (the “</w:t>
      </w:r>
      <w:r>
        <w:rPr>
          <w:rFonts w:ascii="Times New Roman" w:hAnsi="Times New Roman"/>
          <w:b/>
          <w:sz w:val="20"/>
        </w:rPr>
        <w:t>Original Mortgage</w:t>
      </w:r>
      <w:r>
        <w:rPr>
          <w:rFonts w:ascii="Times New Roman" w:hAnsi="Times New Roman"/>
          <w:sz w:val="20"/>
        </w:rPr>
        <w:t>”), executed by the Company to The Bank of New York Mellon Trust Company, N.A. (herein called the “</w:t>
      </w:r>
      <w:r>
        <w:rPr>
          <w:rFonts w:ascii="Times New Roman" w:hAnsi="Times New Roman"/>
          <w:b/>
          <w:sz w:val="20"/>
        </w:rPr>
        <w:t>Trustee</w:t>
      </w:r>
      <w:r>
        <w:rPr>
          <w:rFonts w:ascii="Times New Roman" w:hAnsi="Times New Roman"/>
          <w:sz w:val="20"/>
        </w:rPr>
        <w:t>”), as Trustee (as successor to Harris Trust and Savings Bank), as amended by indentures supplemental thereto including the Fifty-Sixth indenture supplemental thereto dated as of September 16, 2026 (herein called the “</w:t>
      </w:r>
      <w:r>
        <w:rPr>
          <w:rFonts w:ascii="Times New Roman" w:hAnsi="Times New Roman"/>
          <w:b/>
          <w:sz w:val="20"/>
        </w:rPr>
        <w:t>Supplemental Indenture</w:t>
      </w:r>
      <w:r>
        <w:rPr>
          <w:rFonts w:ascii="Times New Roman" w:hAnsi="Times New Roman"/>
          <w:sz w:val="20"/>
        </w:rPr>
        <w:t>”), between the Company and the Trustee (said Original Mortgage, as so amended, being herein called the “</w:t>
      </w:r>
      <w:r>
        <w:rPr>
          <w:rFonts w:ascii="Times New Roman" w:hAnsi="Times New Roman"/>
          <w:b/>
          <w:sz w:val="20"/>
        </w:rPr>
        <w:t>Indenture</w:t>
      </w:r>
      <w:r>
        <w:rPr>
          <w:rFonts w:ascii="Times New Roman" w:hAnsi="Times New Roman"/>
          <w:sz w:val="20"/>
        </w:rPr>
        <w:t>”), to which Indenture and all indentures supplemental thereto reference is hereby made for a description of the properties mortgaged and pledged, the nature and extent of the security, the rights of the bearers or registered owners of the Bonds and of the Trustee in respect thereto, and the terms and conditions upon which the Bonds are, and are to be, secured. The Bonds may be issued in series, for various principal sums, may mature at different times, may bear interest at different rates and may otherwise vary as in the Indenture provided. This Bond is one of a series designated as the “First Mortgage Bonds, 5.600% Series due 2034” (herein called “</w:t>
      </w:r>
      <w:r>
        <w:rPr>
          <w:rFonts w:ascii="Times New Roman" w:hAnsi="Times New Roman"/>
          <w:b/>
          <w:sz w:val="20"/>
        </w:rPr>
        <w:t>Bonds of the 5.600% Series due 2034</w:t>
      </w:r>
      <w:r>
        <w:rPr>
          <w:rFonts w:ascii="Times New Roman" w:hAnsi="Times New Roman"/>
          <w:sz w:val="20"/>
        </w:rPr>
        <w:t xml:space="preserv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issued under and secured by the Indenture executed by the Company to the Trustee. Additional Bonds of the 5.600% Series due 2034 may be issued, at the option of the Company, without the consent of any holder of the Bonds of the 5.600% Series due 2034, at any time and from time to time in unlimited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permitted by, and as provided in the Indenture, modifications or alterations of the Indenture or of any indenture supplemental thereto, and of the rights and obligations of the Company and of the holders of the Bonds and coupons, may be made with the consent of the Company by an affirmative vote of not less than 60% in principal amount of the Bonds entitled to vote then outstanding, at a meeting of holders of the Bonds called and held as provided in the Indenture, and by an affirmative vote of not less than 60% in principal amount of the Bonds of any series entitled to vote then outstanding and affected by such modification or alteration, in case one or more but less than all of the series of Bonds then outstanding under the Indenture are so affected. No modification or alteration shall be made which will affect the terms of payment of the principal of or premium, if any, or interest on, this Bond, which are unconditional. The Company has reserved the right to make certain amendments to the Indenture, without any consent or other action by holders of the Bonds of this series to the extent necessary from time to time to qualify the Indenture under the Trust Indenture Act of 1939 and to make certain other amendments, all as more fully provided in the Indenture and in the Supplemental Indenture. </w:t>
      </w:r>
    </w:p>
    <w:p>
      <w:pPr>
        <w:pStyle w:val="TextBody"/>
        <w:bidi w:val="0"/>
        <w:spacing w:before="240" w:after="0"/>
        <w:jc w:val="left"/>
        <w:rPr>
          <w:rFonts w:ascii="Times New Roman" w:hAnsi="Times New Roman"/>
          <w:sz w:val="20"/>
        </w:rPr>
      </w:pPr>
      <w:r>
        <w:rPr>
          <w:rFonts w:ascii="Times New Roman" w:hAnsi="Times New Roman"/>
          <w:sz w:val="20"/>
        </w:rPr>
        <w:t>This Bond is subject to redemption by the Company, prior to November 15, 2033 (the “</w:t>
      </w:r>
      <w:r>
        <w:rPr>
          <w:rFonts w:ascii="Times New Roman" w:hAnsi="Times New Roman"/>
          <w:b/>
          <w:sz w:val="20"/>
        </w:rPr>
        <w:t>Par Call Date</w:t>
      </w:r>
      <w:r>
        <w:rPr>
          <w:rFonts w:ascii="Times New Roman" w:hAnsi="Times New Roman"/>
          <w:sz w:val="20"/>
        </w:rPr>
        <w:t xml:space="preserve">”) at its option, in whole or in part, at any time and from time to time, at a redemption price (expressed as a percentage of principal amount and rounded to three decimals) equal to the greater of: (1)(a) the sum of present values of the remaining scheduled payments of principal and interest thereon discounted to the redemption date (assuming the Bonds matured on the Par Call Date) on a semi-annual basis (assuming a 360-day year consisting of twelve 30-day months) at the Treasury Rate applicable to the Bond plus 15 basis points less (b) interest accrued to the redemption date; and (2) 100% of the principal amount of the Bond to be redeemed, 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This Bond is subject to redemption by the Company on or after the Par Call Date at its option, in whole or in part, at any time and from time to time, at a redemption price equal to 100% of the principal amount of the Bond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optional redemption provisions, the following term has the following meaning: </w:t>
      </w:r>
    </w:p>
    <w:p>
      <w:pPr>
        <w:pStyle w:val="TextBody"/>
        <w:bidi w:val="0"/>
        <w:spacing w:before="12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 — Nominal” (or any successor caption or heading) (“</w:t>
      </w:r>
      <w:r>
        <w:rPr>
          <w:rFonts w:ascii="Times New Roman" w:hAnsi="Times New Roman"/>
          <w:b/>
          <w:sz w:val="20"/>
        </w:rPr>
        <w:t>H.15 TCM</w:t>
      </w:r>
      <w:r>
        <w:rPr>
          <w:rFonts w:ascii="Times New Roman" w:hAnsi="Times New Roman"/>
          <w:sz w:val="20"/>
        </w:rPr>
        <w:t xml:space="preserve">”). In determining the Treasury Rate, the Company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This Bond is subject to redemption by the Company, in whole but not in part, at the option of the Company, at a redemption price equal to 101% of the principal amount of the Bonds being redeemed, plus accrued and unpaid interest to, but excluding, the redemption date, if a Tax Credit Event occurs. </w:t>
      </w:r>
    </w:p>
    <w:p>
      <w:pPr>
        <w:pStyle w:val="TextBody"/>
        <w:bidi w:val="0"/>
        <w:spacing w:before="240" w:after="0"/>
        <w:jc w:val="left"/>
        <w:rPr>
          <w:rFonts w:ascii="Times New Roman" w:hAnsi="Times New Roman"/>
          <w:sz w:val="20"/>
        </w:rPr>
      </w:pPr>
      <w:r>
        <w:rPr>
          <w:rFonts w:ascii="Times New Roman" w:hAnsi="Times New Roman"/>
          <w:sz w:val="20"/>
        </w:rPr>
        <w:t xml:space="preserve">Any notice of redemption of this Bond upon the occurrence of a Tax Credit Event (a) may only be sent by the later of (i) the end of the calendar year in which the Bonds of the 5.600% Series due 2034 were issued and (ii) six months from the date of issuance of the Bonds of the 5.600% Series due 2034 and (b) shall be accompanied by an Officers’ Certificate stating that such Tax Credit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A “Tax Credit Event” occurs if, in the Company’s reasonable determination, there exists a material risk, due to the Bonds of the 5.600% Series due 2034 (considered together with other debt) having been issued, as part of an original issuance, to one or more “specified foreign entities,” as defined in Section 7701(a)(51)(B) of the Internal Revenue Code of 1986, as amended (the “Code”), that the Company or any of its affiliates would be unable to utilize or otherwise ineligible to claim any tax credits otherwise allowed under Section 38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whatsoever to determine, or to verify the Company’s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Such redemption in every case shall be effected upon notice given: (1) at least ten days and not more than sixty days prior to the redemption date, to the registered owners of such Bonds at their addresses as the same shall appear on the transfer register of the Company; and (2) stating, among other things, the redemption price (or if not then ascertainable, the manner of calculation thereof) and date, in each case, subject to the conditions of and as more fully set forth in the Indenture. If less than all of the outstanding Bonds are to be redeemed, the Bonds to be redeemed shall be selected in accordance with the policies and procedures of The Depository Trust Company (or any successor depositary thereto), provided that in the event the Bonds are no longer held in the global form, the Bonds to be redeemed shall be selected by the Trustee by lot.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so long as there is no existing default in the payment on the Bonds of the 5.600% Series due 2034, installments of interest on the Bonds of the 5.600% Series due 2034 that are due and payable on an interest payment date falling on or prior to a redemption date shall be payable on such interest payment date to the registered owners of the Bonds of the 5.600% Series due 2034 as of the close of business on the relevant record date according to the Bonds of the 5.600% Series due 2034 and the Indenture, except as and to the extent the Company shall default in the payment of the interest due on such interest payment date, in which case defaulted interest shall be paid to the person in whose name such Bond of the 5.600% Series due 2034 is registered on the date of payment of such defaulted interest. The redemption price will be calculated assuming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the Company. If any of these events fail to occur and are not waived by the Company, the Company will be under no obligation to redeem the Bonds or pay the holders thereof any redemption proceeds, and the Company’s failure to so redeem the Bonds will not be considered a default or event of default under the Indenture. In the event that any of these conditions fail to occur and are not waived by the Company, the Company will promptly notify the Trustee in writing that the conditions precedent to such redemption have failed to occur and the Bonds will not be redeemed.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Bonds or portions of the Bonds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as defined in the Indenture, shall occur, the principal of all of the Bonds at any such time outstanding under the Indenture may be declared or may become due and payable, upon the conditions and in the manner and with the effect provided in the Indenture. The Indenture provides that such declaration may in certain events be waived by the holders of a majority in principal amount of the Bonds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Bond is transferable by the registered owner hereof, in person or by duly authorized attorney, on the books of the Company to be kept for that purpose at the agency of the Company in the City of Chicago, Illinois, and at the agency of the Company in the Borough of Manhattan, The City of New York, upon surrender and cancellation of this Bond and on presentation of a duly executed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of transfer, and thereupon a new registered Bond or Bonds of the same series, of the same aggregate principal amount and in authorized denominations will be issued to the transferee or transferees in exchange herefor; and this Bond, with or without others of like form and series, may in like manner be exchanged for one or more new registered Bonds of the same series of other authorized denominations but of the same aggregate principal amount; all upon payment of the charges and subject to the terms and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a successor entity may deliver to the Trustee in substitution for any Bonds of the 5.600% Series due 2034, mortgage bonds or other similar instruments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preceding sentence, no recourse shall be had for the payment of the principal of or premium, if any, or interest on this Bond, or for any claim based hereon or on the Indenture or any indenture supplemental thereto, against any incorporator, or against any stockholder, director or officer, past, present or future, of the Company, or of any predecessor or successor corporation, as such, either directly or through the Company or any such predecessor or successor corporation, whether by virtue of any constitution, statute or rule of law, or by the enforcement of any assessment or penalty or otherwise, all such liability, whether at common law, in equity, by any constitution, statute or otherwise, of incorporators, stockholders, directors or officers being released by every owner hereof by the acceptance of this Bond and as part of the consideration for the issue hereof, and being likewise released by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employee or stockholder of the Company will have any liability for any obligations of the Company under the Bonds or Indenture or for any claim based on, in respect of, or by reason of, such obligations or their creation. Each holder by accepting a Bond waives and releases all such liability. The waiver and release are part of the consideration for issuance of the Bonds. The waiver may not be effective to waive liabilities under the federal securities laws. It is the view of the Securities and Exchange Commission that this type of waiver is against public policy. </w:t>
      </w:r>
    </w:p>
    <w:p>
      <w:pPr>
        <w:pStyle w:val="TextBody"/>
        <w:bidi w:val="0"/>
        <w:spacing w:before="240" w:after="0"/>
        <w:jc w:val="left"/>
        <w:rPr>
          <w:rFonts w:ascii="Times New Roman" w:hAnsi="Times New Roman"/>
          <w:sz w:val="20"/>
        </w:rPr>
      </w:pPr>
      <w:r>
        <w:rPr>
          <w:rFonts w:ascii="Times New Roman" w:hAnsi="Times New Roman"/>
          <w:sz w:val="20"/>
        </w:rPr>
        <w:t xml:space="preserve">This Bond shall not be entitled to any benefit under the Indenture or any indenture supplemental thereto, or become valid or obligatory for any purpose, until The Bank of New York Mellon Trust Company, N.A., the Trustee (as successor to Harris Trust and Savings Bank) under the Indenture, or a successor trustee thereto under the Indenture, shall have signed the form of certificate endorsed 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EVERGY KANSAS CENTRAL, INC. has caused this Bond to be signed in its name by its Chairman of the Board, President and Chief Executive Officer or a Vice President, manually or electronically, and its corporate seal (or a facsimile thereof) to be hereto affixed and attested by its Secretary or an Assistant Secretary, manually or electronically.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166"/>
        <w:gridCol w:w="493"/>
        <w:gridCol w:w="1423"/>
      </w:tblGrid>
      <w:tr>
        <w:trPr/>
        <w:tc>
          <w:tcPr>
            <w:tcW w:w="2166"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EVERGY KANSAS CENTRAL, INC.</w:t>
            </w:r>
          </w:p>
        </w:tc>
      </w:tr>
      <w:tr>
        <w:trPr>
          <w:trHeight w:val="240" w:hRule="atLeast"/>
        </w:trPr>
        <w:tc>
          <w:tcPr>
            <w:tcW w:w="2166" w:type="dxa"/>
            <w:tcBorders/>
            <w:vAlign w:val="center"/>
          </w:tcPr>
          <w:p>
            <w:pPr>
              <w:pStyle w:val="TableContents"/>
              <w:bidi w:val="0"/>
              <w:spacing w:before="0" w:after="283"/>
              <w:jc w:val="left"/>
              <w:rPr>
                <w:sz w:val="4"/>
                <w:szCs w:val="4"/>
              </w:rPr>
            </w:pPr>
            <w:r>
              <w:rPr>
                <w:sz w:val="4"/>
                <w:szCs w:val="4"/>
              </w:rPr>
            </w:r>
          </w:p>
        </w:tc>
        <w:tc>
          <w:tcPr>
            <w:tcW w:w="1916" w:type="dxa"/>
            <w:gridSpan w:val="2"/>
            <w:tcBorders/>
            <w:vAlign w:val="center"/>
          </w:tcPr>
          <w:p>
            <w:pPr>
              <w:pStyle w:val="TableContents"/>
              <w:bidi w:val="0"/>
              <w:spacing w:before="0" w:after="283"/>
              <w:jc w:val="left"/>
              <w:rPr>
                <w:sz w:val="4"/>
                <w:szCs w:val="4"/>
              </w:rPr>
            </w:pPr>
            <w:r>
              <w:rPr>
                <w:sz w:val="4"/>
                <w:szCs w:val="4"/>
              </w:rPr>
            </w:r>
          </w:p>
        </w:tc>
      </w:tr>
      <w:tr>
        <w:trPr/>
        <w:tc>
          <w:tcPr>
            <w:tcW w:w="216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93" w:type="dxa"/>
            <w:tcBorders/>
            <w:vAlign w:val="bottom"/>
          </w:tcPr>
          <w:p>
            <w:pPr>
              <w:pStyle w:val="TableContents"/>
              <w:bidi w:val="0"/>
              <w:spacing w:before="0" w:after="283"/>
              <w:jc w:val="left"/>
              <w:rPr/>
            </w:pPr>
            <w:r>
              <w:rPr/>
              <w:t> </w:t>
            </w:r>
          </w:p>
        </w:tc>
        <w:tc>
          <w:tcPr>
            <w:tcW w:w="142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Geoffrey T. Ley</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Senior Vice President, Corporate</w:t>
            </w:r>
          </w:p>
          <w:p>
            <w:pPr>
              <w:pStyle w:val="TableContents"/>
              <w:bidi w:val="0"/>
              <w:spacing w:before="0" w:after="20"/>
              <w:jc w:val="left"/>
              <w:rPr>
                <w:rFonts w:ascii="Times New Roman" w:hAnsi="Times New Roman"/>
                <w:sz w:val="20"/>
              </w:rPr>
            </w:pPr>
            <w:r>
              <w:rPr>
                <w:rFonts w:ascii="Times New Roman" w:hAnsi="Times New Roman"/>
                <w:sz w:val="20"/>
              </w:rPr>
              <w:t>Planning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Heather A. Humphrey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Senior Vice President, General Counsel and</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Corporate Secretary</w:t>
            </w:r>
          </w:p>
        </w:tc>
      </w:tr>
    </w:tbl>
    <w:p>
      <w:pPr>
        <w:pStyle w:val="TextBody"/>
        <w:bidi w:val="0"/>
        <w:spacing w:before="480" w:after="0"/>
        <w:jc w:val="center"/>
        <w:rPr>
          <w:rFonts w:ascii="Times New Roman" w:hAnsi="Times New Roman"/>
          <w:b/>
          <w:i/>
          <w:sz w:val="20"/>
        </w:rPr>
      </w:pPr>
      <w:r>
        <w:rPr>
          <w:rFonts w:ascii="Times New Roman" w:hAnsi="Times New Roman"/>
          <w:b/>
          <w:i/>
          <w:sz w:val="20"/>
        </w:rPr>
        <w:t xml:space="preserve">[SIGNATURE PAGE TO GLOBAL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This Bond is one of the Bonds, of the series designated herein, described in the within-mentioned Mortgage and Deed of Trust dated July 1, 1939 and Supplemental Indenture dated as of September 16,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THE BANK OF NEW YORK MELLON</w:t>
            </w:r>
          </w:p>
          <w:p>
            <w:pPr>
              <w:pStyle w:val="TableContents"/>
              <w:bidi w:val="0"/>
              <w:spacing w:before="0" w:after="20"/>
              <w:jc w:val="left"/>
              <w:rPr>
                <w:rFonts w:ascii="Times New Roman" w:hAnsi="Times New Roman"/>
                <w:sz w:val="20"/>
              </w:rPr>
            </w:pPr>
            <w:r>
              <w:rPr>
                <w:rFonts w:ascii="Times New Roman" w:hAnsi="Times New Roman"/>
                <w:sz w:val="20"/>
              </w:rPr>
              <w:t>TRUST COMPANY, N.A.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As Trustee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Authorized Signatory</w:t>
            </w:r>
          </w:p>
        </w:tc>
      </w:tr>
    </w:tbl>
    <w:p>
      <w:pPr>
        <w:pStyle w:val="TextBody"/>
        <w:bidi w:val="0"/>
        <w:spacing w:before="360" w:after="0"/>
        <w:jc w:val="center"/>
        <w:rPr>
          <w:rFonts w:ascii="Times New Roman" w:hAnsi="Times New Roman"/>
          <w:b/>
          <w:i/>
          <w:sz w:val="20"/>
        </w:rPr>
      </w:pPr>
      <w:r>
        <w:rPr>
          <w:rFonts w:ascii="Times New Roman" w:hAnsi="Times New Roman"/>
          <w:b/>
          <w:i/>
          <w:sz w:val="20"/>
        </w:rPr>
        <w:t xml:space="preserve">[TRUSTEE’S CERTIFICATE TO GLOBAL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 </w:t>
      </w:r>
      <w:r>
        <w:rPr>
          <w:rFonts w:ascii="Times New Roman" w:hAnsi="Times New Roman"/>
          <w:i/>
          <w:sz w:val="20"/>
        </w:rPr>
        <w:t>Execution</w:t>
      </w:r>
      <w:r>
        <w:rPr>
          <w:rFonts w:ascii="Times New Roman" w:hAnsi="Times New Roman"/>
          <w:sz w:val="20"/>
        </w:rPr>
        <w:t> </w:t>
      </w:r>
      <w:r>
        <w:rPr>
          <w:rFonts w:ascii="Times New Roman" w:hAnsi="Times New Roman"/>
          <w:i/>
          <w:sz w:val="20"/>
        </w:rPr>
        <w:t>and Form of Temporary Bonds of the 5.600% Series due 2034</w:t>
      </w:r>
      <w:r>
        <w:rPr>
          <w:rFonts w:ascii="Times New Roman" w:hAnsi="Times New Roman"/>
          <w:sz w:val="20"/>
        </w:rPr>
        <w:t xml:space="preserve"> . Until Bonds of the 5.600% Series due 2034 in definitive form are ready for delivery, the Company may execute, and upon its request in writing the Trustee shall authenticate and deliver, in lieu thereof, Bonds of the 5.600% Series due 2034 in temporary form, as provided in Section 9 of Article II of the Original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ISSUE OF BONDS OF THE 5.600% SERIES DUE 2034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Limitation</w:t>
      </w:r>
      <w:r>
        <w:rPr>
          <w:rFonts w:ascii="Times New Roman" w:hAnsi="Times New Roman"/>
          <w:sz w:val="20"/>
        </w:rPr>
        <w:t> </w:t>
      </w:r>
      <w:r>
        <w:rPr>
          <w:rFonts w:ascii="Times New Roman" w:hAnsi="Times New Roman"/>
          <w:i/>
          <w:sz w:val="20"/>
        </w:rPr>
        <w:t xml:space="preserve">as to Principal Amount of Bonds of the 5.600% Series due 2034. </w:t>
      </w:r>
      <w:r>
        <w:rPr>
          <w:rFonts w:ascii="Times New Roman" w:hAnsi="Times New Roman"/>
          <w:sz w:val="20"/>
        </w:rPr>
        <w:t xml:space="preserve">The total principal amount of Bonds of the 5.600% Series due 2034 which may be authenticated and delivered hereunder is not limited except as the Original Indenture and this Supplemental Indenture limit the principal amount of Bonds which may be issued thereunder.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i/>
          <w:sz w:val="20"/>
        </w:rPr>
        <w:t>Execution</w:t>
      </w:r>
      <w:r>
        <w:rPr>
          <w:rFonts w:ascii="Times New Roman" w:hAnsi="Times New Roman"/>
          <w:sz w:val="20"/>
        </w:rPr>
        <w:t> </w:t>
      </w:r>
      <w:r>
        <w:rPr>
          <w:rFonts w:ascii="Times New Roman" w:hAnsi="Times New Roman"/>
          <w:i/>
          <w:sz w:val="20"/>
        </w:rPr>
        <w:t xml:space="preserve">and Delivery of Bonds of the 5.600% Series due 2034. </w:t>
      </w:r>
      <w:r>
        <w:rPr>
          <w:rFonts w:ascii="Times New Roman" w:hAnsi="Times New Roman"/>
          <w:sz w:val="20"/>
        </w:rPr>
        <w:t xml:space="preserve">Bonds of the 5.600% Series due 2034 for the aggregate principal amount of $350,000,000 may forthwith be executed by the Company and delivered to the Trustee and shall be authenticated by the Trustee and delivered (either before or after the filing or recording hereof) to or upon the order of the Company, upon receipt by the Trustee of the resolutions, certificates, instruments and opinions required by Article III of the Original Indenture.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i/>
          <w:sz w:val="20"/>
        </w:rPr>
        <w:t xml:space="preserve">Additional Bonds of the 5.600% Series due 2034. </w:t>
      </w:r>
      <w:r>
        <w:rPr>
          <w:rFonts w:ascii="Times New Roman" w:hAnsi="Times New Roman"/>
          <w:sz w:val="20"/>
        </w:rPr>
        <w:t>The Bonds of the 5.600% Series due 2034 need not be issued at the same time. Subject to the limitations of the Original Indenture and this Supplemental Indenture with respect to the principal amount of Bonds which may be issued thereunder, the Company may, from time to time, at its option and without the consent of any holder of the Bonds of the 5.600% Series due 2034, reopen the 5.600% Series due 2034 for issuance of additional Bonds of the 5.600% Series due 2034 (such Bonds, “</w:t>
      </w:r>
      <w:r>
        <w:rPr>
          <w:rFonts w:ascii="Times New Roman" w:hAnsi="Times New Roman"/>
          <w:b/>
          <w:sz w:val="20"/>
        </w:rPr>
        <w:t>Additional Bonds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the Additional Bonds are not fungible with the previously issued Bonds of the 5.600% Series due 2034 for United States federal income tax purposes, the Additional Bonds will have a separate CUSIP number, and further </w:t>
      </w:r>
      <w:r>
        <w:rPr>
          <w:rFonts w:ascii="Times New Roman" w:hAnsi="Times New Roman"/>
          <w:i/>
          <w:sz w:val="20"/>
        </w:rPr>
        <w:t>provided</w:t>
      </w:r>
      <w:r>
        <w:rPr>
          <w:rFonts w:ascii="Times New Roman" w:hAnsi="Times New Roman"/>
          <w:sz w:val="20"/>
        </w:rPr>
        <w:t xml:space="preserve"> that Additional Bonds shall rank </w:t>
      </w:r>
      <w:r>
        <w:rPr>
          <w:rFonts w:ascii="Times New Roman" w:hAnsi="Times New Roman"/>
          <w:i/>
          <w:sz w:val="20"/>
        </w:rPr>
        <w:t>pari passu</w:t>
      </w:r>
      <w:r>
        <w:rPr>
          <w:rFonts w:ascii="Times New Roman" w:hAnsi="Times New Roman"/>
          <w:sz w:val="20"/>
        </w:rPr>
        <w:t xml:space="preserve"> with any outstanding Bonds of the 5.600% Series due 2034, shall be consolidated with and treated as a single series with the outstanding Bonds of the 5.600% Series due 2034 for all purposes, and shall have terms and conditions identical to those of the other outstanding Bonds of the 5.600% Series due 2034, except that Additional Bonds may differ with respect to: </w:t>
      </w:r>
    </w:p>
    <w:p>
      <w:pPr>
        <w:pStyle w:val="TextBody"/>
        <w:bidi w:val="0"/>
        <w:spacing w:before="120" w:after="0"/>
        <w:jc w:val="left"/>
        <w:rPr>
          <w:rFonts w:ascii="Times New Roman" w:hAnsi="Times New Roman"/>
          <w:sz w:val="20"/>
        </w:rPr>
      </w:pPr>
      <w:r>
        <w:rPr>
          <w:rFonts w:ascii="Times New Roman" w:hAnsi="Times New Roman"/>
          <w:sz w:val="20"/>
        </w:rPr>
        <w:t xml:space="preserve">(i) the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(ii) the amount of interest payable on the first interest payment date therefor; </w:t>
      </w:r>
    </w:p>
    <w:p>
      <w:pPr>
        <w:pStyle w:val="TextBody"/>
        <w:bidi w:val="0"/>
        <w:spacing w:before="240" w:after="0"/>
        <w:jc w:val="left"/>
        <w:rPr>
          <w:rFonts w:ascii="Times New Roman" w:hAnsi="Times New Roman"/>
          <w:sz w:val="20"/>
        </w:rPr>
      </w:pPr>
      <w:r>
        <w:rPr>
          <w:rFonts w:ascii="Times New Roman" w:hAnsi="Times New Roman"/>
          <w:sz w:val="20"/>
        </w:rPr>
        <w:t xml:space="preserve">(iii) the first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issue price; and </w:t>
      </w:r>
    </w:p>
    <w:p>
      <w:pPr>
        <w:pStyle w:val="TextBody"/>
        <w:bidi w:val="0"/>
        <w:spacing w:before="240" w:after="0"/>
        <w:jc w:val="left"/>
        <w:rPr>
          <w:rFonts w:ascii="Times New Roman" w:hAnsi="Times New Roman"/>
          <w:sz w:val="20"/>
        </w:rPr>
      </w:pPr>
      <w:r>
        <w:rPr>
          <w:rFonts w:ascii="Times New Roman" w:hAnsi="Times New Roman"/>
          <w:sz w:val="20"/>
        </w:rPr>
        <w:t xml:space="preserve">(v) any adjustments necessary in order to conform to and ensure compliance with the Securities Act of 1933, as amended (or other applicable securities laws), which are not adverse in any material respect to the holder of any outstanding Bonds of the 5.600% Series due 2034. </w:t>
      </w:r>
    </w:p>
    <w:p>
      <w:pPr>
        <w:pStyle w:val="TextBody"/>
        <w:bidi w:val="0"/>
        <w:spacing w:before="240" w:after="0"/>
        <w:jc w:val="left"/>
        <w:rPr>
          <w:rFonts w:ascii="Times New Roman" w:hAnsi="Times New Roman"/>
          <w:sz w:val="20"/>
        </w:rPr>
      </w:pPr>
      <w:r>
        <w:rPr>
          <w:rFonts w:ascii="Times New Roman" w:hAnsi="Times New Roman"/>
          <w:sz w:val="20"/>
        </w:rPr>
        <w:t xml:space="preserve">Additional Bonds of the 5.600% Series due 2034 executed by the Company and delivered to the Trustee shall be authenticated by the Trustee and delivered (either before or after the filing or recording hereof) to or upon the order of the Company, upon receipt by the Trustee of the resolutions, certificates, instruments and opinions required by Article III of the Original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AND SUBSTITUTION OF BONDS OF THE 5.600% SERIES DUE 2034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Optional</w:t>
      </w:r>
      <w:r>
        <w:rPr>
          <w:rFonts w:ascii="Times New Roman" w:hAnsi="Times New Roman"/>
          <w:sz w:val="20"/>
        </w:rPr>
        <w:t> </w:t>
      </w:r>
      <w:r>
        <w:rPr>
          <w:rFonts w:ascii="Times New Roman" w:hAnsi="Times New Roman"/>
          <w:i/>
          <w:sz w:val="20"/>
        </w:rPr>
        <w:t>Redemption of Bonds of the 5.600% Series due 2034.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Optional Redemption of Bonds of the 5.600% Series due 2034.</w:t>
      </w:r>
      <w:r>
        <w:rPr>
          <w:rFonts w:ascii="Times New Roman" w:hAnsi="Times New Roman"/>
          <w:sz w:val="20"/>
        </w:rPr>
        <w:t xml:space="preserve"> The Bonds of the 5.600% Series due 2034 are subject to redemption by the Company, prior to November 15, 2033 (the “</w:t>
      </w:r>
      <w:r>
        <w:rPr>
          <w:rFonts w:ascii="Times New Roman" w:hAnsi="Times New Roman"/>
          <w:b/>
          <w:sz w:val="20"/>
        </w:rPr>
        <w:t>Par Call Date</w:t>
      </w:r>
      <w:r>
        <w:rPr>
          <w:rFonts w:ascii="Times New Roman" w:hAnsi="Times New Roman"/>
          <w:sz w:val="20"/>
        </w:rPr>
        <w:t xml:space="preserve">”) at its option, in whole or in part, at any time and from time to time, after giving the required notice under subsection (3) of this Article III, Section 1, at a redemption price (expressed as a percentage of principal amount and rounded to three decimals) equal to the greater of: (1)(a) the sum of present values of the remaining scheduled payments of principal and interest on Bonds of the 5.600% Series due 2034 discounted to the redemption date (assuming the Bonds of the 5.600% Series due 2034 matured on the Par Call Date) on a semi-annual basis (assuming a 360-day year consisting of twelve 30-day months) at the Treasury Rate applicable to the Bonds of the 5.600% Series due 2034 plus fifteen (15) basis points less (b) interest accrued to the redemption date; and (2) 100% of the principal amount of the Bonds of the 5.600% Series due 2034 to be redeemed, 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Bonds of the 5.600% Series due 2034 at its option, in whole or in part, at any time and from time to time, after giving the required notice under subsection (3) of this Article III, Section 1, at a redemption price equal to 100% of the principal amount of the Bonds of the 5.600% Series due 2034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optional redemption provisions, the following term has the following meaning: </w:t>
      </w:r>
    </w:p>
    <w:p>
      <w:pPr>
        <w:pStyle w:val="TextBody"/>
        <w:bidi w:val="0"/>
        <w:spacing w:before="12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 — Nominal” (or any successor caption or heading) (“</w:t>
      </w:r>
      <w:r>
        <w:rPr>
          <w:rFonts w:ascii="Times New Roman" w:hAnsi="Times New Roman"/>
          <w:b/>
          <w:sz w:val="20"/>
        </w:rPr>
        <w:t>H.15 TCM</w:t>
      </w:r>
      <w:r>
        <w:rPr>
          <w:rFonts w:ascii="Times New Roman" w:hAnsi="Times New Roman"/>
          <w:sz w:val="20"/>
        </w:rPr>
        <w:t xml:space="preserve">”). In determining the Treasury Rate, the Company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whatsoever to determine, or to verify the Company’s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so long as there is no existing default in the payment on the Bonds of the 5.600% Series due 2034, installments of interest on the Bonds of the 5.600% Series due 2034 that are due and payable on an interest payment date falling on or prior to a redemption date shall be payable on such interest payment date to the registered owners of the Bonds of the 5.600% Series due 2034 as of the close of business on the relevant record date according to the Bonds of the 5.600% Series due 2034 and the Indenture, except as and to the extent the Company shall default in the payment of the interest due on such interest payment date, in which case defaulted interest shall be paid to the person in whose name such Bond of the 5.600% Series due 2034 is registered on the date of payment of such defaulted interest. The redemption price will be calculated assuming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Bonds of the 5.600% Series due 2034 or portions of the Bonds of the 5.600% Series due 2034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Tax Credit Event Redemption</w:t>
      </w:r>
      <w:r>
        <w:rPr>
          <w:rFonts w:ascii="Times New Roman" w:hAnsi="Times New Roman"/>
          <w:sz w:val="20"/>
        </w:rPr>
        <w:t xml:space="preserve">. The Bonds of the 5.600% Series due 2034 are redeemable, in whole but not in part, at the option of the Company, at a redemption price equal to 101% of the principal amount of the Bonds of the 5.600% Series due 2034 being redeemed, plus accrued and unpaid interest to, but excluding, the redemption date, if a Tax Credit Event occurs. </w:t>
      </w:r>
    </w:p>
    <w:p>
      <w:pPr>
        <w:pStyle w:val="TextBody"/>
        <w:bidi w:val="0"/>
        <w:spacing w:before="240" w:after="0"/>
        <w:jc w:val="left"/>
        <w:rPr>
          <w:rFonts w:ascii="Times New Roman" w:hAnsi="Times New Roman"/>
          <w:sz w:val="20"/>
        </w:rPr>
      </w:pPr>
      <w:r>
        <w:rPr>
          <w:rFonts w:ascii="Times New Roman" w:hAnsi="Times New Roman"/>
          <w:sz w:val="20"/>
        </w:rPr>
        <w:t xml:space="preserve">Any notice of redemption of the Bonds of the 5.600% Series due 2034 upon the occurrence of a Tax Credit Event (a) may only be sent by the later of (i) the end of the calendar year in which the Bonds of the 5.600% Series due 2034 were issued and (ii) six months from the date of issuance of the Bonds of the 5.600% Series due 2034 and (b) shall be accompanied by an Officers’ Certificate stating that such Tax Credit Event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“Tax Credit Event” occurs if, in the Company’s reasonable determination, there exists a material risk, due to the Bonds of the 5.600% Series due 2034 (considered together with other debt) having been issued, as part of an original issuance, to one or more “specified foreign entities,” as defined in Section 7701(a)(51)(B) of the Internal Revenue Code of 1986, as amended (the “Code”), that the Company or any of its affiliates would be unable to utilize or otherwise ineligible to claim any tax credits otherwise allowed under Section 38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Notice of Redemption.</w:t>
      </w:r>
      <w:r>
        <w:rPr>
          <w:rFonts w:ascii="Times New Roman" w:hAnsi="Times New Roman"/>
          <w:sz w:val="20"/>
        </w:rPr>
        <w:t xml:space="preserve"> Subject to the provisions of Article V of the Original Indenture, in the case of redeeming all or any portion of the Bonds of the 5.600% Series due 2034, the Company shall cause notice of redemption to be given (1) at least ten days and not more than sixty days prior to the date of redemption, to the registered owners of such Bonds of the 5.600% Series due 2034 at their addresses as the same shall appear on the transfer register of the Company; and (2) stating, among other things, the redemption price (or if not then ascertainable, the manner of calculation thereof) and date. If less than all of the outstanding Bonds of the 5.600% Series due 2034 are to be redeemed, the Bonds of the 5.600% Series due 2034 to be redeemed shall be selected in accordance with the policies and procedures of DTC (or any successor thereto), provided that in the event the Bonds of the 5.600% Series due 2034 are no longer held in the global form, the Bonds of the 5.600% Series due 2034 to be redeemed shall be selected by the Trustee by lot.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notice of redemption may provide that the optional redemption described in such notice is conditioned upon the occurrence of certain events before the date of redemption. Such notice of conditional redemption will be of no effect unless all such conditions to the redemption shall have occurred before the redemption date or shall have been waived by the Company. If any of these events fail to occur and are not waived by the Company, the Company will be under no obligation to redeem the Bonds of the 5.600% Series due 2034 or pay the holders thereof any redemption proceeds and the Company’s failure to so redeem the Bonds of the 5.600% Series due 2034 will not be considered a default or event of default under the Indenture. In the event that any of these conditions fail to occur or are not waived by the Company, the Company will promptly notify the Trustee in writing that the conditions precedent to such redemption have failed to occur and the Bonds of the 5.600% Series due 2034 will not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redemption of the Bonds of the 5.600% Series due 2034 occurring prior to the Par Call Date, the Company shall give the Trustee notice of the redemption price promptly after the calculation thereof and the Trustee shall not be responsible for such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Substitution</w:t>
      </w:r>
      <w:r>
        <w:rPr>
          <w:rFonts w:ascii="Times New Roman" w:hAnsi="Times New Roman"/>
          <w:sz w:val="20"/>
        </w:rPr>
        <w:t> </w:t>
      </w:r>
      <w:r>
        <w:rPr>
          <w:rFonts w:ascii="Times New Roman" w:hAnsi="Times New Roman"/>
          <w:i/>
          <w:sz w:val="20"/>
        </w:rPr>
        <w:t xml:space="preserve">of Bonds of the 5.600% Series due 2034. </w:t>
      </w:r>
      <w:r>
        <w:rPr>
          <w:rFonts w:ascii="Times New Roman" w:hAnsi="Times New Roman"/>
          <w:sz w:val="20"/>
        </w:rPr>
        <w:t>The Company may deliver to the Trustee in substitution for any Bonds of the 5.600% Series due 2034, mortgage bonds or other similar secured instruments of the Company or any successor entity, whether by merger, combination or acquisition of all or substantially all of the assets of the Company, or otherwise, issued under a mortgage and deed of trust or similar instrument of the Company or any successor entity in like principal amount of like term and bearing the same rate of interest and having the same interest payment dates and same redemption provisions as the Bonds of the 5.600% Series due 2034 and which are otherwise substantially similar to the Bonds of the 5.600% Series due 2034 (such substituted bonds hereinafter being referred to in this Article III, Section 2 as the “</w:t>
      </w:r>
      <w:r>
        <w:rPr>
          <w:rFonts w:ascii="Times New Roman" w:hAnsi="Times New Roman"/>
          <w:b/>
          <w:sz w:val="20"/>
        </w:rPr>
        <w:t>5.600% Series due 2034 Substituted Mortgage Bonds</w:t>
      </w:r>
      <w:r>
        <w:rPr>
          <w:rFonts w:ascii="Times New Roman" w:hAnsi="Times New Roman"/>
          <w:sz w:val="20"/>
        </w:rPr>
        <w:t xml:space="preserve">”). The 5.600% Series due 2034 Substituted Mortgage Bonds may only be delivered to the Trustee upon receipt by the Trustee of (i) a letter from Moody’s (as hereinafter defined), dated within ten days prior to the date of delivery of the 5.600% Series due 2034 Substituted Mortgage Bonds, stating that its rating of the 5.600% Series due 2034 Substituted Mortgage Bonds is at least equal to its then current rating on the Bonds of the 5.600% Series due 2034, (ii) a letter from S&amp;P (as hereinafter defined), dated within ten days prior to the date of delivery of the 5.600% Series due 2034 Substituted Mortgage Bonds, stating that its rating of the 5.600% Series due 2034 Substituted Mortgage Bonds is at least equal to its then current rating on the Bonds of the 5.600% Series due 2034, (iii) an opinion of counsel, which may be counsel to the Company or any successor entity, that such substitution will not result in the recognition of capital gain or loss for U.S. federal income tax purposes to the holders of the Bonds of the 5.600% Series due 2034, (iv) an opinion of counsel which may be counsel to the Company or any successor entity, to the effect that the 5.600% Series due 2034 Substituted Mortgage Bonds shall have been duly and validly authorized, executed, authenticated, and delivered and shall constitute the valid, legally binding and enforceable obligations of the Company or any successor entity enforceable in accordance with their terms, except as limited by bankruptcy, insolvency or other laws affecting the enforcement of mortgagees’ and other creditors’ rights and shall be entitled to the benefit of the mortgage and deed of trust or other similar instrument pursuant to which they shall have been issued and (v) such other certificates and documents with respect to the issuance and delivery of the 5.600% Series due 2034 Substituted Mortgage Bonds as may be required by law or as the Trustee may reasonably request.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 corporation organized and existing under the laws of the State of Delaware, its successors and their assigns, except that if such corporation shall be dissolved or liquidated or shall no longer perform the functions of a securities rating agency, then the term “Moody’s” shall be deemed to refer to any other nationally recognized securities rating agency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S&amp;P</w:t>
      </w:r>
      <w:r>
        <w:rPr>
          <w:rFonts w:ascii="Times New Roman" w:hAnsi="Times New Roman"/>
          <w:sz w:val="20"/>
        </w:rPr>
        <w:t xml:space="preserve">” means S&amp;P Global Ratings, duly organized and existing under and by virtue of the laws of the State of New York, and its successors and assigns, except that if such rating agency shall be dissolved or liquidated or shall no longer perform the functions of a securities rating agency, then the term “S&amp;P” shall be deemed to refer to any other nationally recognized securities rating agency selected by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covenants, warrants and agrees: </w:t>
      </w:r>
    </w:p>
    <w:p>
      <w:pPr>
        <w:pStyle w:val="TextBody"/>
        <w:bidi w:val="0"/>
        <w:spacing w:before="120" w:after="0"/>
        <w:jc w:val="left"/>
        <w:rPr>
          <w:rFonts w:ascii="Times New Roman" w:hAnsi="Times New Roman"/>
          <w:sz w:val="20"/>
        </w:rPr>
      </w:pPr>
      <w:r>
        <w:rPr>
          <w:rFonts w:ascii="Times New Roman" w:hAnsi="Times New Roman"/>
          <w:sz w:val="20"/>
        </w:rPr>
        <w:t>Section 1. </w:t>
      </w:r>
      <w:r>
        <w:rPr>
          <w:rFonts w:ascii="Times New Roman" w:hAnsi="Times New Roman"/>
          <w:i/>
          <w:sz w:val="20"/>
        </w:rPr>
        <w:t>Title</w:t>
      </w:r>
      <w:r>
        <w:rPr>
          <w:rFonts w:ascii="Times New Roman" w:hAnsi="Times New Roman"/>
          <w:sz w:val="20"/>
        </w:rPr>
        <w:t> </w:t>
      </w:r>
      <w:r>
        <w:rPr>
          <w:rFonts w:ascii="Times New Roman" w:hAnsi="Times New Roman"/>
          <w:i/>
          <w:sz w:val="20"/>
        </w:rPr>
        <w:t xml:space="preserve">to Mortgaged Property. </w:t>
      </w:r>
      <w:r>
        <w:rPr>
          <w:rFonts w:ascii="Times New Roman" w:hAnsi="Times New Roman"/>
          <w:sz w:val="20"/>
        </w:rPr>
        <w:t xml:space="preserve">That the Company is lawfully seized and possessed of all of the mortgaged property described in the granting clauses of this Supplemental Indenture; that it has good, right and lawful authority to mortgage the same as provided in this Supplemental Indenture; and that such mortgaged property is, at the actual date of the initial issue of the Bonds of the 5.600% Series due 2034 and at the date of issuance of any Additional Bonds, as applicable, free and clear of any deed of trust, mortgage, lien, charge or encumbrance thereon or affecting the title thereto prior to the Indenture, except as set forth in the granting clauses of the Original Indenture, the Thirty-Second Supplemental Indenture, the Thirty-Ninth Supplemental Indenture, the Forty-Second Supplemental Indenture, the Forty-Second Supplemental (Reopening) Indenture, the Forty-Third Supplemental Indenture, the Forty-Fourth Supplemental Indenture, the Forty-Fifth Supplemental Indenture, the Forty-Sixth Supplemental Indenture, the Forty-Seventh Supplemental Indenture, the Forty-Ninth Supplemental Indenture, the Fiftieth Supplemental Indenture, the Fifty-First Supplemental Indenture, the Fifty-Second Supplemental Indenture, the Fifty-Third Supplemental Indenture, the Fifty-Third Supplemental (Reopening) Indenture, the Fifty-Fifth Supplemental Indenture and this Supplemental Indenture.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i/>
          <w:sz w:val="20"/>
        </w:rPr>
        <w:t xml:space="preserve">Tax Withholding Compliance. </w:t>
      </w:r>
      <w:r>
        <w:rPr>
          <w:rFonts w:ascii="Times New Roman" w:hAnsi="Times New Roman"/>
          <w:sz w:val="20"/>
        </w:rPr>
        <w:t xml:space="preserve">The Bonds of the 5.600% Series due 2034 shall be subject to the following provision: </w:t>
      </w:r>
    </w:p>
    <w:p>
      <w:pPr>
        <w:pStyle w:val="TextBody"/>
        <w:bidi w:val="0"/>
        <w:spacing w:before="120" w:after="0"/>
        <w:jc w:val="left"/>
        <w:rPr>
          <w:rFonts w:ascii="Times New Roman" w:hAnsi="Times New Roman"/>
          <w:sz w:val="20"/>
        </w:rPr>
      </w:pPr>
      <w:r>
        <w:rPr>
          <w:rFonts w:ascii="Times New Roman" w:hAnsi="Times New Roman"/>
          <w:sz w:val="20"/>
        </w:rPr>
        <w:t>The Company agrees (i) to provide the Trustee with such reasonable information as it has in its possession to enable the Trustee to determine whether any payments pursuant to the Indenture are subject to the withholding requirements described in Section 1471(b) of the Code or otherwise imposed pursuant to Sections 1471 through 1474 of the Code and any regulations, or agreements thereunder or official interpretations thereof (“</w:t>
      </w:r>
      <w:r>
        <w:rPr>
          <w:rFonts w:ascii="Times New Roman" w:hAnsi="Times New Roman"/>
          <w:b/>
          <w:sz w:val="20"/>
        </w:rPr>
        <w:t>Applicable Tax Law</w:t>
      </w:r>
      <w:r>
        <w:rPr>
          <w:rFonts w:ascii="Times New Roman" w:hAnsi="Times New Roman"/>
          <w:sz w:val="20"/>
        </w:rPr>
        <w:t xml:space="preserve">”), and (ii) that the Trustee shall be entitled to make any withholding or deduction from payments under the Indenture to the extent necessary to comply with Applicable Tax Law, for which the Trustee shall not have any liability.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RESERVATIONS OF RIGHTS TO AMEND THE ORIGINAL INDENTURE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Modernization of the Original Indenture</w:t>
      </w:r>
      <w:r>
        <w:rPr>
          <w:rFonts w:ascii="Times New Roman" w:hAnsi="Times New Roman"/>
          <w:sz w:val="20"/>
        </w:rPr>
        <w:t xml:space="preserve">. The Company reserves the right, subject to appropriate action, but without any consent or other action by holders of Bonds of the 5.600% Series due 2034, or of any subsequent series of bonds, to amend the Original Indenture to: </w:t>
      </w:r>
    </w:p>
    <w:p>
      <w:pPr>
        <w:pStyle w:val="TextBody"/>
        <w:bidi w:val="0"/>
        <w:spacing w:before="120" w:after="0"/>
        <w:jc w:val="left"/>
        <w:rPr>
          <w:rFonts w:ascii="Times New Roman" w:hAnsi="Times New Roman"/>
          <w:sz w:val="20"/>
        </w:rPr>
      </w:pPr>
      <w:r>
        <w:rPr>
          <w:rFonts w:ascii="Times New Roman" w:hAnsi="Times New Roman"/>
          <w:sz w:val="20"/>
        </w:rPr>
        <w:t xml:space="preserve">(a) Eliminate maintenance and improvement fund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Simplify the provisions for release of obsolete property, de minimis property releases and substitution of property and unfunded property; </w:t>
      </w:r>
    </w:p>
    <w:p>
      <w:pPr>
        <w:pStyle w:val="TextBody"/>
        <w:bidi w:val="0"/>
        <w:spacing w:before="240" w:after="0"/>
        <w:jc w:val="left"/>
        <w:rPr>
          <w:rFonts w:ascii="Times New Roman" w:hAnsi="Times New Roman"/>
          <w:sz w:val="20"/>
        </w:rPr>
      </w:pPr>
      <w:r>
        <w:rPr>
          <w:rFonts w:ascii="Times New Roman" w:hAnsi="Times New Roman"/>
          <w:sz w:val="20"/>
        </w:rPr>
        <w:t xml:space="preserve">(c) Permit additional terms of bonds or forms of bond in supplemental indentures, including terms for uncertificated and global securities (or definitive securities in lieu thereof) and medium-term notes; </w:t>
      </w:r>
    </w:p>
    <w:p>
      <w:pPr>
        <w:pStyle w:val="TextBody"/>
        <w:bidi w:val="0"/>
        <w:spacing w:before="240" w:after="0"/>
        <w:jc w:val="left"/>
        <w:rPr>
          <w:rFonts w:ascii="Times New Roman" w:hAnsi="Times New Roman"/>
          <w:sz w:val="20"/>
        </w:rPr>
      </w:pPr>
      <w:r>
        <w:rPr>
          <w:rFonts w:ascii="Times New Roman" w:hAnsi="Times New Roman"/>
          <w:sz w:val="20"/>
        </w:rPr>
        <w:t xml:space="preserve">(d) Make any changes necessary to conform the Mortgage with the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 Add defeasance provisions providing for covenant and legal defeasance options; </w:t>
      </w:r>
    </w:p>
    <w:p>
      <w:pPr>
        <w:pStyle w:val="TextBody"/>
        <w:bidi w:val="0"/>
        <w:spacing w:before="240" w:after="0"/>
        <w:jc w:val="left"/>
        <w:rPr>
          <w:rFonts w:ascii="Times New Roman" w:hAnsi="Times New Roman"/>
          <w:sz w:val="20"/>
        </w:rPr>
      </w:pPr>
      <w:r>
        <w:rPr>
          <w:rFonts w:ascii="Times New Roman" w:hAnsi="Times New Roman"/>
          <w:sz w:val="20"/>
        </w:rPr>
        <w:t xml:space="preserve">(f) Permit the Company to remove the Trustee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(g) Provide for direction to the Trustee under the Mortgage to vote pledged prior lien bonds for specified amendments to the prior lien mortgage; </w:t>
      </w:r>
    </w:p>
    <w:p>
      <w:pPr>
        <w:pStyle w:val="TextBody"/>
        <w:bidi w:val="0"/>
        <w:spacing w:before="240" w:after="0"/>
        <w:jc w:val="left"/>
        <w:rPr>
          <w:rFonts w:ascii="Times New Roman" w:hAnsi="Times New Roman"/>
          <w:sz w:val="20"/>
        </w:rPr>
      </w:pPr>
      <w:r>
        <w:rPr>
          <w:rFonts w:ascii="Times New Roman" w:hAnsi="Times New Roman"/>
          <w:sz w:val="20"/>
        </w:rPr>
        <w:t xml:space="preserve">(h) Provide broader investment directions to the Trustee or permitting the Company to direct investment of money held by the Trustee, so long as there is no event of default under the Mortgage; </w:t>
      </w:r>
    </w:p>
    <w:p>
      <w:pPr>
        <w:pStyle w:val="TextBody"/>
        <w:bidi w:val="0"/>
        <w:spacing w:before="240" w:after="0"/>
        <w:jc w:val="left"/>
        <w:rPr>
          <w:rFonts w:ascii="Times New Roman" w:hAnsi="Times New Roman"/>
          <w:sz w:val="20"/>
        </w:rPr>
      </w:pPr>
      <w:r>
        <w:rPr>
          <w:rFonts w:ascii="Times New Roman" w:hAnsi="Times New Roman"/>
          <w:sz w:val="20"/>
        </w:rPr>
        <w:t xml:space="preserve">(i) Amend the definition of “Excepted Property” to exclude property which generally cannot be mortgaged without undue administrative burden (i.e. automobiles), but allowing the Company to subject Excepted Property to the Mortgage; </w:t>
      </w:r>
    </w:p>
    <w:p>
      <w:pPr>
        <w:pStyle w:val="TextBody"/>
        <w:bidi w:val="0"/>
        <w:spacing w:before="240" w:after="0"/>
        <w:jc w:val="left"/>
        <w:rPr>
          <w:rFonts w:ascii="Times New Roman" w:hAnsi="Times New Roman"/>
          <w:sz w:val="20"/>
        </w:rPr>
      </w:pPr>
      <w:r>
        <w:rPr>
          <w:rFonts w:ascii="Times New Roman" w:hAnsi="Times New Roman"/>
          <w:sz w:val="20"/>
        </w:rPr>
        <w:t xml:space="preserve">(j) Amend the definition of “Bondable Property” to allow all mortgaged property to be bondable; and </w:t>
      </w:r>
    </w:p>
    <w:p>
      <w:pPr>
        <w:pStyle w:val="TextBody"/>
        <w:bidi w:val="0"/>
        <w:spacing w:before="240" w:after="0"/>
        <w:jc w:val="left"/>
        <w:rPr>
          <w:rFonts w:ascii="Times New Roman" w:hAnsi="Times New Roman"/>
          <w:sz w:val="20"/>
        </w:rPr>
      </w:pPr>
      <w:r>
        <w:rPr>
          <w:rFonts w:ascii="Times New Roman" w:hAnsi="Times New Roman"/>
          <w:sz w:val="20"/>
        </w:rPr>
        <w:t xml:space="preserve">(k) Update the definition of “Permitted Liens.”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Acceptance</w:t>
      </w:r>
      <w:r>
        <w:rPr>
          <w:rFonts w:ascii="Times New Roman" w:hAnsi="Times New Roman"/>
          <w:sz w:val="20"/>
        </w:rPr>
        <w:t> </w:t>
      </w:r>
      <w:r>
        <w:rPr>
          <w:rFonts w:ascii="Times New Roman" w:hAnsi="Times New Roman"/>
          <w:i/>
          <w:sz w:val="20"/>
        </w:rPr>
        <w:t>of Trust</w:t>
      </w:r>
      <w:r>
        <w:rPr>
          <w:rFonts w:ascii="Times New Roman" w:hAnsi="Times New Roman"/>
          <w:sz w:val="20"/>
        </w:rPr>
        <w:t xml:space="preserve">. The Trustee accepts the trusts herein declared, provided, created or supplemented and agrees to perform the same upon the terms and conditions herein and in the Original Indenture, as amended, set forth and upon the following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Responsibility</w:t>
      </w:r>
      <w:r>
        <w:rPr>
          <w:rFonts w:ascii="Times New Roman" w:hAnsi="Times New Roman"/>
          <w:sz w:val="20"/>
        </w:rPr>
        <w:t> </w:t>
      </w:r>
      <w:r>
        <w:rPr>
          <w:rFonts w:ascii="Times New Roman" w:hAnsi="Times New Roman"/>
          <w:i/>
          <w:sz w:val="20"/>
        </w:rPr>
        <w:t xml:space="preserve">and Duty of Trustee. </w:t>
      </w:r>
      <w:r>
        <w:rPr>
          <w:rFonts w:ascii="Times New Roman" w:hAnsi="Times New Roman"/>
          <w:sz w:val="20"/>
        </w:rPr>
        <w:t xml:space="preserve">The Trustee shall not be responsible in any manner whatsoever for or in respect of the validity or sufficiency of this Supplemental Indenture or for or in respect of the recitals contained herein, all of which recitals are made by the Company solely. In general each and every term and condition contained in Article XIII of the Original Indenture, as amended by the Second Supplemental Indenture, shall apply to and form part of this Supplemental Indenture with the same force and effect as if the same were herein set forth in full with such omissions, variations and insertions, if any, as may be appropriate to make the same conform to the provisions of this Supplemental Indenture.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i/>
          <w:sz w:val="20"/>
        </w:rPr>
        <w:t>Parties</w:t>
      </w:r>
      <w:r>
        <w:rPr>
          <w:rFonts w:ascii="Times New Roman" w:hAnsi="Times New Roman"/>
          <w:sz w:val="20"/>
        </w:rPr>
        <w:t> </w:t>
      </w:r>
      <w:r>
        <w:rPr>
          <w:rFonts w:ascii="Times New Roman" w:hAnsi="Times New Roman"/>
          <w:i/>
          <w:sz w:val="20"/>
        </w:rPr>
        <w:t xml:space="preserve">to Include Successors and Assigns. </w:t>
      </w:r>
      <w:r>
        <w:rPr>
          <w:rFonts w:ascii="Times New Roman" w:hAnsi="Times New Roman"/>
          <w:sz w:val="20"/>
        </w:rPr>
        <w:t xml:space="preserve">Whenever in this Supplemental Indenture either of the parties hereto is named or referred to, such reference shall, subject to the provisions of Articles XII and XIII of the Original Indenture, be deemed to include the successors and assigns of such party, and all the covenants and agreements in this Supplemental Indenture contained by or on behalf of the Company, or by or on behalf of the Trustee, shall, subject as aforesaid, bind and inure to the respective benefits of the respective successors and assigns of such parties, whether so expressed or not. </w:t>
      </w:r>
    </w:p>
    <w:p>
      <w:pPr>
        <w:pStyle w:val="TextBody"/>
        <w:bidi w:val="0"/>
        <w:spacing w:before="240" w:after="0"/>
        <w:jc w:val="left"/>
        <w:rPr>
          <w:rFonts w:ascii="Times New Roman" w:hAnsi="Times New Roman"/>
          <w:sz w:val="20"/>
        </w:rPr>
      </w:pPr>
      <w:r>
        <w:rPr>
          <w:rFonts w:ascii="Times New Roman" w:hAnsi="Times New Roman"/>
          <w:sz w:val="20"/>
        </w:rPr>
        <w:t>Section 4. </w:t>
      </w:r>
      <w:r>
        <w:rPr>
          <w:rFonts w:ascii="Times New Roman" w:hAnsi="Times New Roman"/>
          <w:i/>
          <w:sz w:val="20"/>
        </w:rPr>
        <w:t>Benefits</w:t>
      </w:r>
      <w:r>
        <w:rPr>
          <w:rFonts w:ascii="Times New Roman" w:hAnsi="Times New Roman"/>
          <w:sz w:val="20"/>
        </w:rPr>
        <w:t> </w:t>
      </w:r>
      <w:r>
        <w:rPr>
          <w:rFonts w:ascii="Times New Roman" w:hAnsi="Times New Roman"/>
          <w:i/>
          <w:sz w:val="20"/>
        </w:rPr>
        <w:t xml:space="preserve">Restricted to Parties and to Holders of Bonds and Coupons. </w:t>
      </w:r>
      <w:r>
        <w:rPr>
          <w:rFonts w:ascii="Times New Roman" w:hAnsi="Times New Roman"/>
          <w:sz w:val="20"/>
        </w:rPr>
        <w:t xml:space="preserve">Nothing in this Supplemental Indenture, expressed or implied, is intended or shall be construed, to confer upon, or to give to, any person, firm or corporation, other than the parties hereto and the holders of the Bonds and coupons outstanding under the Indenture, any right, remedy or claim under or by reason of this Supplemental Indenture or any covenant, condition, stipulation, promise or agreement hereof, and all the covenants, conditions, stipulations, promises and agreements in this Supplemental Indenture contained by and on behalf of the Company shall be for the sole and exclusive benefit of the parties hereto, and of the holders of the Bonds and of the coupons outstanding under the Indenture. </w:t>
      </w:r>
    </w:p>
    <w:p>
      <w:pPr>
        <w:pStyle w:val="TextBody"/>
        <w:bidi w:val="0"/>
        <w:spacing w:before="240" w:after="0"/>
        <w:jc w:val="left"/>
        <w:rPr>
          <w:rFonts w:ascii="Times New Roman" w:hAnsi="Times New Roman"/>
          <w:sz w:val="20"/>
        </w:rPr>
      </w:pPr>
      <w:r>
        <w:rPr>
          <w:rFonts w:ascii="Times New Roman" w:hAnsi="Times New Roman"/>
          <w:sz w:val="20"/>
        </w:rPr>
        <w:t>Section 5. </w:t>
      </w:r>
      <w:r>
        <w:rPr>
          <w:rFonts w:ascii="Times New Roman" w:hAnsi="Times New Roman"/>
          <w:i/>
          <w:sz w:val="20"/>
        </w:rPr>
        <w:t>Execution</w:t>
      </w:r>
      <w:r>
        <w:rPr>
          <w:rFonts w:ascii="Times New Roman" w:hAnsi="Times New Roman"/>
          <w:sz w:val="20"/>
        </w:rPr>
        <w:t> </w:t>
      </w:r>
      <w:r>
        <w:rPr>
          <w:rFonts w:ascii="Times New Roman" w:hAnsi="Times New Roman"/>
          <w:i/>
          <w:sz w:val="20"/>
        </w:rPr>
        <w:t xml:space="preserve">in Counterparts. </w:t>
      </w:r>
      <w:r>
        <w:rPr>
          <w:rFonts w:ascii="Times New Roman" w:hAnsi="Times New Roman"/>
          <w:sz w:val="20"/>
        </w:rPr>
        <w:t xml:space="preserve">This Supplemental Indenture may be executed in several counterparts, and all such counterparts executed and delivered, each as an original, shall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Section 6. </w:t>
      </w:r>
      <w:r>
        <w:rPr>
          <w:rFonts w:ascii="Times New Roman" w:hAnsi="Times New Roman"/>
          <w:i/>
          <w:sz w:val="20"/>
        </w:rPr>
        <w:t>Titles</w:t>
      </w:r>
      <w:r>
        <w:rPr>
          <w:rFonts w:ascii="Times New Roman" w:hAnsi="Times New Roman"/>
          <w:sz w:val="20"/>
        </w:rPr>
        <w:t> </w:t>
      </w:r>
      <w:r>
        <w:rPr>
          <w:rFonts w:ascii="Times New Roman" w:hAnsi="Times New Roman"/>
          <w:i/>
          <w:sz w:val="20"/>
        </w:rPr>
        <w:t xml:space="preserve">of Articles Not Part of the Fifty-Sixth Supplemental Indenture. </w:t>
      </w:r>
      <w:r>
        <w:rPr>
          <w:rFonts w:ascii="Times New Roman" w:hAnsi="Times New Roman"/>
          <w:sz w:val="20"/>
        </w:rPr>
        <w:t xml:space="preserve">The Titles of the several Articles of this Supplemental Indenture shall not be deemed to be any part thereof. </w:t>
      </w:r>
    </w:p>
    <w:p>
      <w:pPr>
        <w:pStyle w:val="TextBody"/>
        <w:bidi w:val="0"/>
        <w:spacing w:before="240" w:after="0"/>
        <w:jc w:val="left"/>
        <w:rPr>
          <w:rFonts w:ascii="Times New Roman" w:hAnsi="Times New Roman"/>
          <w:sz w:val="20"/>
        </w:rPr>
      </w:pPr>
      <w:r>
        <w:rPr>
          <w:rFonts w:ascii="Times New Roman" w:hAnsi="Times New Roman"/>
          <w:sz w:val="20"/>
        </w:rPr>
        <w:t>Section 7. </w:t>
      </w:r>
      <w:r>
        <w:rPr>
          <w:rFonts w:ascii="Times New Roman" w:hAnsi="Times New Roman"/>
          <w:i/>
          <w:sz w:val="20"/>
        </w:rPr>
        <w:t>Electronic Means</w:t>
      </w:r>
      <w:r>
        <w:rPr>
          <w:rFonts w:ascii="Times New Roman" w:hAnsi="Times New Roman"/>
          <w:sz w:val="20"/>
        </w:rPr>
        <w:t xml:space="preserve">. With respect to the Bonds of the 5.600% Series due 2034: </w:t>
      </w:r>
    </w:p>
    <w:p>
      <w:pPr>
        <w:pStyle w:val="TextBody"/>
        <w:bidi w:val="0"/>
        <w:spacing w:before="120" w:after="0"/>
        <w:jc w:val="left"/>
        <w:rPr>
          <w:rFonts w:ascii="Times New Roman" w:hAnsi="Times New Roman"/>
          <w:sz w:val="20"/>
        </w:rPr>
      </w:pPr>
      <w:r>
        <w:rPr>
          <w:rFonts w:ascii="Times New Roman" w:hAnsi="Times New Roman"/>
          <w:sz w:val="20"/>
        </w:rPr>
        <w:t>The Trustee shall have the right to accept and act upon instructions (“</w:t>
      </w:r>
      <w:r>
        <w:rPr>
          <w:rFonts w:ascii="Times New Roman" w:hAnsi="Times New Roman"/>
          <w:b/>
          <w:sz w:val="20"/>
        </w:rPr>
        <w:t>Instructions</w:t>
      </w:r>
      <w:r>
        <w:rPr>
          <w:rFonts w:ascii="Times New Roman" w:hAnsi="Times New Roman"/>
          <w:sz w:val="20"/>
        </w:rPr>
        <w:t>”), including fund transfer instructions given pursuant to this Supplemental Indenture and delivered using Electronic Means; provided, however, that the Company shall provide to the Trustee an incumbency certificate listing officers and other Company personnel with the authority to provide such Instructions (“</w:t>
      </w:r>
      <w:r>
        <w:rPr>
          <w:rFonts w:ascii="Times New Roman" w:hAnsi="Times New Roman"/>
          <w:b/>
          <w:sz w:val="20"/>
        </w:rPr>
        <w:t>Authorized Officers</w:t>
      </w:r>
      <w:r>
        <w:rPr>
          <w:rFonts w:ascii="Times New Roman" w:hAnsi="Times New Roman"/>
          <w:sz w:val="20"/>
        </w:rPr>
        <w:t xml:space="preserve">”) and containing specimen signatures of such Authorized Officers, which incumbency certificate shall be amended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whenever a person is to be added or deleted from the listing or promptly upon reasonable request of the Trustee. If the Company elects to give the Trustee Instructions using Electronic Means and the Trustee in its reasonable discretion elects to act upon such Instructions, the Trustee’s reasonable understanding of such Instructions shall be deemed controlling. The Company understands and agrees that the Trustee shall be entitled to presume that directions that purport to have been sent by an Authorized Officer listed on the incumbency certificate provided to the Trustee have been sent by such Authorized Officer. The Company shall establish reasonable procedures to ensure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the Electronic Means it selects to submit Instructions to the Trustee, including without limitation the risk of the Trustee acting on unauthorized Instructions, and the risk of interception and misuse by third parties; (ii) that it is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For purposes of this Section 7, “Electronic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rFonts w:ascii="Times New Roman" w:hAnsi="Times New Roman"/>
          <w:sz w:val="20"/>
        </w:rPr>
      </w:pPr>
      <w:r>
        <w:rPr>
          <w:rFonts w:ascii="Times New Roman" w:hAnsi="Times New Roman"/>
          <w:sz w:val="20"/>
        </w:rPr>
        <w:t>Section 8. </w:t>
      </w:r>
      <w:r>
        <w:rPr>
          <w:rFonts w:ascii="Times New Roman" w:hAnsi="Times New Roman"/>
          <w:i/>
          <w:sz w:val="20"/>
        </w:rPr>
        <w:t xml:space="preserve">OFAC Compliance. </w:t>
      </w:r>
      <w:r>
        <w:rPr>
          <w:rFonts w:ascii="Times New Roman" w:hAnsi="Times New Roman"/>
          <w:sz w:val="20"/>
        </w:rPr>
        <w:t xml:space="preserve">With respect to the Bonds of the 5.600% Series due 2034: </w:t>
      </w:r>
    </w:p>
    <w:p>
      <w:pPr>
        <w:pStyle w:val="TextBody"/>
        <w:bidi w:val="0"/>
        <w:spacing w:before="120" w:after="0"/>
        <w:jc w:val="left"/>
        <w:rPr>
          <w:rFonts w:ascii="Times New Roman" w:hAnsi="Times New Roman"/>
          <w:sz w:val="20"/>
        </w:rPr>
      </w:pPr>
      <w:r>
        <w:rPr>
          <w:rFonts w:ascii="Times New Roman" w:hAnsi="Times New Roman"/>
          <w:sz w:val="20"/>
        </w:rPr>
        <w:t>(a) The Company covenants and represents that neither it nor, to the knowledge of the Company, any of its affiliates, subsidiaries, directors or officers are the target or subject of any sanctions enforced by the US Government (including the Office of Foreign Assets Control of the US Department of the Treasury (“</w:t>
      </w:r>
      <w:r>
        <w:rPr>
          <w:rFonts w:ascii="Times New Roman" w:hAnsi="Times New Roman"/>
          <w:b/>
          <w:sz w:val="20"/>
        </w:rPr>
        <w:t>OFAC</w:t>
      </w:r>
      <w:r>
        <w:rPr>
          <w:rFonts w:ascii="Times New Roman" w:hAnsi="Times New Roman"/>
          <w:sz w:val="20"/>
        </w:rPr>
        <w:t>”)),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covenants and represents that neither it nor any of its affiliates, subsidiaries, directors or officers will use any part of the proceeds received in connection with the Indenture or any other of the transaction documents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 </w:t>
      </w:r>
    </w:p>
    <w:p>
      <w:pPr>
        <w:pStyle w:val="TextBody"/>
        <w:bidi w:val="0"/>
        <w:spacing w:before="240" w:after="0"/>
        <w:jc w:val="left"/>
        <w:rPr>
          <w:rFonts w:ascii="Times New Roman" w:hAnsi="Times New Roman"/>
          <w:sz w:val="20"/>
        </w:rPr>
      </w:pPr>
      <w:r>
        <w:rPr>
          <w:rFonts w:ascii="Times New Roman" w:hAnsi="Times New Roman"/>
          <w:sz w:val="20"/>
        </w:rPr>
        <w:t>Section 9. </w:t>
      </w:r>
      <w:r>
        <w:rPr>
          <w:rFonts w:ascii="Times New Roman" w:hAnsi="Times New Roman"/>
          <w:i/>
          <w:sz w:val="20"/>
        </w:rPr>
        <w:t>FATCA.</w:t>
      </w:r>
      <w:r>
        <w:rPr>
          <w:rFonts w:ascii="Times New Roman" w:hAnsi="Times New Roman"/>
          <w:sz w:val="20"/>
        </w:rPr>
        <w:t xml:space="preserve"> In order to comply with applicable tax laws, rules and regulations (inclusive of directives, guidelines and interpretations promulgated by competent authorities) in effect from time to time (“</w:t>
      </w:r>
      <w:r>
        <w:rPr>
          <w:rFonts w:ascii="Times New Roman" w:hAnsi="Times New Roman"/>
          <w:b/>
          <w:sz w:val="20"/>
        </w:rPr>
        <w:t>Applicable Law</w:t>
      </w:r>
      <w:r>
        <w:rPr>
          <w:rFonts w:ascii="Times New Roman" w:hAnsi="Times New Roman"/>
          <w:sz w:val="20"/>
        </w:rPr>
        <w:t xml:space="preserve">”) that a foreign financial institution, issuer, trustee, paying agent, holder or other institution is or has agreed to be subject to related to this Supplemental Indenture,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(ii) that the Trustee shall be entitled to make any withholding or deduction from payments under the Indenture to the extent necessary to comply with Applicable Law for which the Trustee shall not have any liability, and (iii) to hold harmless the Trustee for any losses it may suffer due to the actions it takes to comply with such Applicable Law. The terms of this paragraph shall survive the termination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EVERGY KANSAS CENTRAL, INC., party hereto of the first part, has caused its corporate name to be hereunto affixed, and this instrument to be signed and sealed by its Chairman of the Board, President, Chief Executive Officer or a Vice President, and its corporate seal to be attested by its Secretary or an Assistant Secretary for and in its behalf, and The Bank of New York Mellon Trust Company, N.A., party hereto of the second part, has caused its corporate name to be hereunto affixed, and this instrument to be signed and attested by its duly authorized officer, all as of the day and year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(CORPORATE SEAL) </w:t>
      </w:r>
    </w:p>
    <w:p>
      <w:pPr>
        <w:pStyle w:val="TextBody"/>
        <w:bidi w:val="0"/>
        <w:spacing w:before="0" w:after="0"/>
        <w:jc w:val="left"/>
        <w:rPr/>
      </w:pPr>
      <w:r>
        <w:rPr/>
        <w:t> </w:t>
      </w:r>
    </w:p>
    <w:tbl>
      <w:tblPr>
        <w:tblW w:w="4945" w:type="dxa"/>
        <w:jc w:val="right"/>
        <w:tblInd w:w="0" w:type="dxa"/>
        <w:tblLayout w:type="fixed"/>
        <w:tblCellMar>
          <w:top w:w="0" w:type="dxa"/>
          <w:left w:w="0" w:type="dxa"/>
          <w:bottom w:w="0" w:type="dxa"/>
          <w:right w:w="0" w:type="dxa"/>
        </w:tblCellMar>
      </w:tblPr>
      <w:tblGrid>
        <w:gridCol w:w="305"/>
        <w:gridCol w:w="60"/>
        <w:gridCol w:w="45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80" w:type="dxa"/>
            <w:tcBorders/>
            <w:vAlign w:val="center"/>
          </w:tcPr>
          <w:p>
            <w:pPr>
              <w:pStyle w:val="TableContents"/>
              <w:bidi w:val="0"/>
              <w:spacing w:before="0" w:after="283"/>
              <w:jc w:val="left"/>
              <w:rPr>
                <w:sz w:val="4"/>
                <w:szCs w:val="4"/>
              </w:rPr>
            </w:pPr>
            <w:r>
              <w:rPr>
                <w:sz w:val="4"/>
                <w:szCs w:val="4"/>
              </w:rPr>
            </w:r>
          </w:p>
        </w:tc>
      </w:tr>
      <w:tr>
        <w:trPr/>
        <w:tc>
          <w:tcPr>
            <w:tcW w:w="4945" w:type="dxa"/>
            <w:gridSpan w:val="3"/>
            <w:tcBorders/>
          </w:tcPr>
          <w:p>
            <w:pPr>
              <w:pStyle w:val="TableContents"/>
              <w:bidi w:val="0"/>
              <w:spacing w:before="0" w:after="283"/>
              <w:jc w:val="left"/>
              <w:rPr/>
            </w:pPr>
            <w:r>
              <w:rPr/>
              <w:t>EVERGY KANSAS CENTRAL,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64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80" w:type="dxa"/>
            <w:tcBorders>
              <w:bottom w:val="single" w:sz="2" w:space="0" w:color="000000"/>
            </w:tcBorders>
            <w:tcMar>
              <w:bottom w:w="28" w:type="dxa"/>
            </w:tcMar>
          </w:tcPr>
          <w:p>
            <w:pPr>
              <w:pStyle w:val="TableContents"/>
              <w:bidi w:val="0"/>
              <w:spacing w:before="0" w:after="283"/>
              <w:jc w:val="left"/>
              <w:rPr/>
            </w:pPr>
            <w:r>
              <w:rPr/>
              <w:t>/s/ Geoffrey T. Ley</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Geoffrey T. Ley</w:t>
            </w:r>
          </w:p>
          <w:p>
            <w:pPr>
              <w:pStyle w:val="TableContents"/>
              <w:bidi w:val="0"/>
              <w:spacing w:before="0" w:after="20"/>
              <w:jc w:val="left"/>
              <w:rPr>
                <w:rFonts w:ascii="Times New Roman" w:hAnsi="Times New Roman"/>
                <w:sz w:val="20"/>
              </w:rPr>
            </w:pPr>
            <w:r>
              <w:rPr>
                <w:rFonts w:ascii="Times New Roman" w:hAnsi="Times New Roman"/>
                <w:sz w:val="20"/>
              </w:rPr>
              <w:t>Senior Vice President, Corporate Planning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21"/>
        <w:gridCol w:w="60"/>
        <w:gridCol w:w="3701"/>
      </w:tblGrid>
      <w:tr>
        <w:trPr/>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321" w:type="dxa"/>
            <w:tcBorders/>
            <w:vAlign w:val="center"/>
          </w:tcPr>
          <w:p>
            <w:pPr>
              <w:pStyle w:val="TableContents"/>
              <w:bidi w:val="0"/>
              <w:spacing w:before="0" w:after="283"/>
              <w:jc w:val="left"/>
              <w:rPr>
                <w:sz w:val="4"/>
                <w:szCs w:val="4"/>
              </w:rPr>
            </w:pPr>
            <w:r>
              <w:rPr>
                <w:sz w:val="4"/>
                <w:szCs w:val="4"/>
              </w:rPr>
            </w:r>
          </w:p>
        </w:tc>
        <w:tc>
          <w:tcPr>
            <w:tcW w:w="3761" w:type="dxa"/>
            <w:gridSpan w:val="2"/>
            <w:tcBorders/>
            <w:vAlign w:val="center"/>
          </w:tcPr>
          <w:p>
            <w:pPr>
              <w:pStyle w:val="TableContents"/>
              <w:bidi w:val="0"/>
              <w:spacing w:before="0" w:after="283"/>
              <w:jc w:val="left"/>
              <w:rPr>
                <w:sz w:val="4"/>
                <w:szCs w:val="4"/>
              </w:rPr>
            </w:pPr>
            <w:r>
              <w:rPr>
                <w:sz w:val="4"/>
                <w:szCs w:val="4"/>
              </w:rPr>
            </w:r>
          </w:p>
        </w:tc>
      </w:tr>
      <w:tr>
        <w:trPr/>
        <w:tc>
          <w:tcPr>
            <w:tcW w:w="32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701" w:type="dxa"/>
            <w:tcBorders>
              <w:bottom w:val="single" w:sz="2" w:space="0" w:color="000000"/>
            </w:tcBorders>
            <w:tcMar>
              <w:bottom w:w="28" w:type="dxa"/>
            </w:tcMar>
          </w:tcPr>
          <w:p>
            <w:pPr>
              <w:pStyle w:val="TableContents"/>
              <w:bidi w:val="0"/>
              <w:spacing w:before="0" w:after="283"/>
              <w:jc w:val="left"/>
              <w:rPr/>
            </w:pPr>
            <w:r>
              <w:rPr/>
              <w:t>/s/ Heather A. Humphrey</w:t>
            </w:r>
          </w:p>
        </w:tc>
      </w:tr>
      <w:tr>
        <w:trPr/>
        <w:tc>
          <w:tcPr>
            <w:tcW w:w="32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Heather A. Humphrey</w:t>
            </w:r>
          </w:p>
          <w:p>
            <w:pPr>
              <w:pStyle w:val="TableContents"/>
              <w:bidi w:val="0"/>
              <w:spacing w:before="0" w:after="0"/>
              <w:jc w:val="left"/>
              <w:rPr>
                <w:rFonts w:ascii="Times New Roman" w:hAnsi="Times New Roman"/>
                <w:sz w:val="20"/>
              </w:rPr>
            </w:pPr>
            <w:r>
              <w:rPr>
                <w:rFonts w:ascii="Times New Roman" w:hAnsi="Times New Roman"/>
                <w:sz w:val="20"/>
              </w:rPr>
              <w:t>Senior Vice President,</w:t>
            </w:r>
          </w:p>
          <w:p>
            <w:pPr>
              <w:pStyle w:val="TableContents"/>
              <w:bidi w:val="0"/>
              <w:spacing w:before="0" w:after="20"/>
              <w:jc w:val="left"/>
              <w:rPr>
                <w:rFonts w:ascii="Times New Roman" w:hAnsi="Times New Roman"/>
                <w:sz w:val="20"/>
              </w:rPr>
            </w:pPr>
            <w:r>
              <w:rPr>
                <w:rFonts w:ascii="Times New Roman" w:hAnsi="Times New Roman"/>
                <w:sz w:val="20"/>
              </w:rPr>
              <w:t>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3" w:type="dxa"/>
            <w:tcBorders>
              <w:bottom w:val="single" w:sz="2" w:space="0" w:color="000000"/>
            </w:tcBorders>
            <w:tcMar>
              <w:bottom w:w="28" w:type="dxa"/>
            </w:tcMar>
          </w:tcPr>
          <w:p>
            <w:pPr>
              <w:pStyle w:val="TableContents"/>
              <w:bidi w:val="0"/>
              <w:spacing w:before="0" w:after="283"/>
              <w:jc w:val="left"/>
              <w:rPr/>
            </w:pPr>
            <w:r>
              <w:rPr/>
              <w:t>/s/ Mary Jo Wagener</w:t>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Mary Jo Wagener</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0"/>
        <w:gridCol w:w="61"/>
        <w:gridCol w:w="3641"/>
      </w:tblGrid>
      <w:tr>
        <w:trPr/>
        <w:tc>
          <w:tcPr>
            <w:tcW w:w="38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ATTEST:</w:t>
            </w:r>
          </w:p>
        </w:tc>
      </w:tr>
      <w:tr>
        <w:trPr>
          <w:trHeight w:val="240" w:hRule="atLeast"/>
        </w:trPr>
        <w:tc>
          <w:tcPr>
            <w:tcW w:w="380" w:type="dxa"/>
            <w:tcBorders/>
            <w:vAlign w:val="center"/>
          </w:tcPr>
          <w:p>
            <w:pPr>
              <w:pStyle w:val="TableContents"/>
              <w:bidi w:val="0"/>
              <w:spacing w:before="0" w:after="283"/>
              <w:jc w:val="left"/>
              <w:rPr>
                <w:sz w:val="4"/>
                <w:szCs w:val="4"/>
              </w:rPr>
            </w:pPr>
            <w:r>
              <w:rPr>
                <w:sz w:val="4"/>
                <w:szCs w:val="4"/>
              </w:rPr>
            </w:r>
          </w:p>
        </w:tc>
        <w:tc>
          <w:tcPr>
            <w:tcW w:w="3702"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/s/ Kiara Arnold</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Kiara Arnold</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36"/>
        <w:gridCol w:w="126"/>
        <w:gridCol w:w="7643"/>
      </w:tblGrid>
      <w:tr>
        <w:trPr/>
        <w:tc>
          <w:tcPr>
            <w:tcW w:w="243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43" w:type="dxa"/>
            <w:tcBorders/>
            <w:vAlign w:val="center"/>
          </w:tcPr>
          <w:p>
            <w:pPr>
              <w:pStyle w:val="TableContents"/>
              <w:bidi w:val="0"/>
              <w:spacing w:before="0" w:after="283"/>
              <w:jc w:val="left"/>
              <w:rPr>
                <w:sz w:val="4"/>
                <w:szCs w:val="4"/>
              </w:rPr>
            </w:pPr>
            <w:r>
              <w:rPr>
                <w:sz w:val="4"/>
                <w:szCs w:val="4"/>
              </w:rPr>
            </w:r>
          </w:p>
        </w:tc>
      </w:tr>
      <w:tr>
        <w:trPr/>
        <w:tc>
          <w:tcPr>
            <w:tcW w:w="2436" w:type="dxa"/>
            <w:tcBorders/>
          </w:tcPr>
          <w:p>
            <w:pPr>
              <w:pStyle w:val="TableContents"/>
              <w:bidi w:val="0"/>
              <w:spacing w:before="0" w:after="283"/>
              <w:jc w:val="left"/>
              <w:rPr/>
            </w:pPr>
            <w:r>
              <w:rPr/>
              <w:t>STATE OF MISSOURI</w:t>
            </w:r>
          </w:p>
        </w:tc>
        <w:tc>
          <w:tcPr>
            <w:tcW w:w="126" w:type="dxa"/>
            <w:tcBorders/>
            <w:vAlign w:val="bottom"/>
          </w:tcPr>
          <w:p>
            <w:pPr>
              <w:pStyle w:val="TableContents"/>
              <w:bidi w:val="0"/>
              <w:spacing w:before="0" w:after="283"/>
              <w:jc w:val="left"/>
              <w:rPr/>
            </w:pPr>
            <w:r>
              <w:rPr/>
              <w:t>  </w:t>
            </w:r>
          </w:p>
        </w:tc>
        <w:tc>
          <w:tcPr>
            <w:tcW w:w="7643" w:type="dxa"/>
            <w:tcBorders/>
          </w:tcPr>
          <w:p>
            <w:pPr>
              <w:pStyle w:val="TableContents"/>
              <w:bidi w:val="0"/>
              <w:spacing w:before="0" w:after="283"/>
              <w:jc w:val="left"/>
              <w:rPr/>
            </w:pPr>
            <w:r>
              <w:rPr/>
              <w:t>)</w:t>
            </w:r>
          </w:p>
        </w:tc>
      </w:tr>
      <w:tr>
        <w:trPr/>
        <w:tc>
          <w:tcPr>
            <w:tcW w:w="243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643" w:type="dxa"/>
            <w:tcBorders/>
          </w:tcPr>
          <w:p>
            <w:pPr>
              <w:pStyle w:val="TableContents"/>
              <w:bidi w:val="0"/>
              <w:spacing w:before="0" w:after="283"/>
              <w:jc w:val="left"/>
              <w:rPr/>
            </w:pPr>
            <w:r>
              <w:rPr/>
              <w:t>: ss.:</w:t>
            </w:r>
          </w:p>
        </w:tc>
      </w:tr>
      <w:tr>
        <w:trPr/>
        <w:tc>
          <w:tcPr>
            <w:tcW w:w="2436" w:type="dxa"/>
            <w:tcBorders/>
          </w:tcPr>
          <w:p>
            <w:pPr>
              <w:pStyle w:val="TableContents"/>
              <w:bidi w:val="0"/>
              <w:spacing w:before="0" w:after="283"/>
              <w:jc w:val="left"/>
              <w:rPr/>
            </w:pPr>
            <w:r>
              <w:rPr/>
              <w:t>COUNTY OF JACKSON</w:t>
            </w:r>
          </w:p>
        </w:tc>
        <w:tc>
          <w:tcPr>
            <w:tcW w:w="126" w:type="dxa"/>
            <w:tcBorders/>
            <w:vAlign w:val="bottom"/>
          </w:tcPr>
          <w:p>
            <w:pPr>
              <w:pStyle w:val="TableContents"/>
              <w:bidi w:val="0"/>
              <w:spacing w:before="0" w:after="283"/>
              <w:jc w:val="left"/>
              <w:rPr/>
            </w:pPr>
            <w:r>
              <w:rPr/>
              <w:t>  </w:t>
            </w:r>
          </w:p>
        </w:tc>
        <w:tc>
          <w:tcPr>
            <w:tcW w:w="7643"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14th day of September, 2026,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and who are personally known to me to be the same persons who executed as such officers the within instrument of writing, and such persons duly acknowledged the execution of the same to be the act and deed of said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subscribed my name and affixed my official seal on the day and year last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center"/>
              <w:rPr/>
            </w:pPr>
            <w:r>
              <w:rPr/>
              <w:t>/s/ Nicole A. Wehry</w:t>
            </w:r>
          </w:p>
        </w:tc>
      </w:tr>
      <w:tr>
        <w:trPr/>
        <w:tc>
          <w:tcPr>
            <w:tcW w:w="4082" w:type="dxa"/>
            <w:tcBorders/>
            <w:vAlign w:val="bottom"/>
          </w:tcPr>
          <w:p>
            <w:pPr>
              <w:pStyle w:val="TableContents"/>
              <w:bidi w:val="0"/>
              <w:spacing w:before="0" w:after="283"/>
              <w:jc w:val="center"/>
              <w:rPr/>
            </w:pPr>
            <w:r>
              <w:rPr/>
              <w:t>Notary Public</w:t>
            </w:r>
          </w:p>
        </w:tc>
      </w:tr>
      <w:tr>
        <w:trPr/>
        <w:tc>
          <w:tcPr>
            <w:tcW w:w="4082" w:type="dxa"/>
            <w:tcBorders/>
            <w:vAlign w:val="bottom"/>
          </w:tcPr>
          <w:p>
            <w:pPr>
              <w:pStyle w:val="TableContents"/>
              <w:bidi w:val="0"/>
              <w:spacing w:before="0" w:after="283"/>
              <w:jc w:val="center"/>
              <w:rPr/>
            </w:pPr>
            <w:r>
              <w:rPr/>
              <w:t>My Commission Expires February 4, 2027</w:t>
            </w:r>
          </w:p>
        </w:tc>
      </w:tr>
    </w:tbl>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sz w:val="20"/>
        </w:rPr>
      </w:pPr>
      <w:r>
        <w:rPr>
          <w:rFonts w:ascii="Times New Roman" w:hAnsi="Times New Roman"/>
          <w:sz w:val="20"/>
        </w:rPr>
        <w:t xml:space="preserve">NICOLE A. WEHRY </w:t>
      </w:r>
    </w:p>
    <w:p>
      <w:pPr>
        <w:pStyle w:val="TextBody"/>
        <w:bidi w:val="0"/>
        <w:spacing w:before="0" w:after="0"/>
        <w:jc w:val="left"/>
        <w:rPr>
          <w:rFonts w:ascii="Times New Roman" w:hAnsi="Times New Roman"/>
          <w:sz w:val="20"/>
        </w:rPr>
      </w:pPr>
      <w:r>
        <w:rPr>
          <w:rFonts w:ascii="Times New Roman" w:hAnsi="Times New Roman"/>
          <w:sz w:val="20"/>
        </w:rPr>
        <w:t xml:space="preserve">NOTARY PUBLIC – NOTARY SEAL </w:t>
      </w:r>
    </w:p>
    <w:p>
      <w:pPr>
        <w:pStyle w:val="TextBody"/>
        <w:bidi w:val="0"/>
        <w:spacing w:before="0" w:after="0"/>
        <w:jc w:val="left"/>
        <w:rPr>
          <w:rFonts w:ascii="Times New Roman" w:hAnsi="Times New Roman"/>
          <w:sz w:val="20"/>
        </w:rPr>
      </w:pPr>
      <w:r>
        <w:rPr>
          <w:rFonts w:ascii="Times New Roman" w:hAnsi="Times New Roman"/>
          <w:sz w:val="20"/>
        </w:rPr>
        <w:t xml:space="preserve">STATE OF MISSOURI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FEBRUARY 4, 2027 </w:t>
      </w:r>
    </w:p>
    <w:p>
      <w:pPr>
        <w:pStyle w:val="TextBody"/>
        <w:bidi w:val="0"/>
        <w:spacing w:before="0" w:after="0"/>
        <w:jc w:val="left"/>
        <w:rPr>
          <w:rFonts w:ascii="Times New Roman" w:hAnsi="Times New Roman"/>
          <w:sz w:val="20"/>
        </w:rPr>
      </w:pPr>
      <w:r>
        <w:rPr>
          <w:rFonts w:ascii="Times New Roman" w:hAnsi="Times New Roman"/>
          <w:sz w:val="20"/>
        </w:rPr>
        <w:t xml:space="preserve">JACKSON COUNTY </w:t>
      </w:r>
    </w:p>
    <w:p>
      <w:pPr>
        <w:pStyle w:val="TextBody"/>
        <w:bidi w:val="0"/>
        <w:spacing w:before="0" w:after="0"/>
        <w:jc w:val="left"/>
        <w:rPr>
          <w:rFonts w:ascii="Times New Roman" w:hAnsi="Times New Roman"/>
          <w:sz w:val="20"/>
        </w:rPr>
      </w:pPr>
      <w:r>
        <w:rPr>
          <w:rFonts w:ascii="Times New Roman" w:hAnsi="Times New Roman"/>
          <w:sz w:val="20"/>
        </w:rPr>
        <w:t xml:space="preserve">COMMISSION #14391200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36"/>
        <w:gridCol w:w="126"/>
        <w:gridCol w:w="7643"/>
      </w:tblGrid>
      <w:tr>
        <w:trPr/>
        <w:tc>
          <w:tcPr>
            <w:tcW w:w="243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43" w:type="dxa"/>
            <w:tcBorders/>
            <w:vAlign w:val="center"/>
          </w:tcPr>
          <w:p>
            <w:pPr>
              <w:pStyle w:val="TableContents"/>
              <w:bidi w:val="0"/>
              <w:spacing w:before="0" w:after="283"/>
              <w:jc w:val="left"/>
              <w:rPr>
                <w:sz w:val="4"/>
                <w:szCs w:val="4"/>
              </w:rPr>
            </w:pPr>
            <w:r>
              <w:rPr>
                <w:sz w:val="4"/>
                <w:szCs w:val="4"/>
              </w:rPr>
            </w:r>
          </w:p>
        </w:tc>
      </w:tr>
      <w:tr>
        <w:trPr/>
        <w:tc>
          <w:tcPr>
            <w:tcW w:w="2436" w:type="dxa"/>
            <w:tcBorders/>
          </w:tcPr>
          <w:p>
            <w:pPr>
              <w:pStyle w:val="TableContents"/>
              <w:bidi w:val="0"/>
              <w:spacing w:before="0" w:after="283"/>
              <w:jc w:val="left"/>
              <w:rPr/>
            </w:pPr>
            <w:r>
              <w:rPr/>
              <w:t>STATE OF MISSOURI</w:t>
            </w:r>
          </w:p>
        </w:tc>
        <w:tc>
          <w:tcPr>
            <w:tcW w:w="126" w:type="dxa"/>
            <w:tcBorders/>
            <w:vAlign w:val="bottom"/>
          </w:tcPr>
          <w:p>
            <w:pPr>
              <w:pStyle w:val="TableContents"/>
              <w:bidi w:val="0"/>
              <w:spacing w:before="0" w:after="283"/>
              <w:jc w:val="left"/>
              <w:rPr/>
            </w:pPr>
            <w:r>
              <w:rPr/>
              <w:t>  </w:t>
            </w:r>
          </w:p>
        </w:tc>
        <w:tc>
          <w:tcPr>
            <w:tcW w:w="7643" w:type="dxa"/>
            <w:tcBorders/>
          </w:tcPr>
          <w:p>
            <w:pPr>
              <w:pStyle w:val="TableContents"/>
              <w:bidi w:val="0"/>
              <w:spacing w:before="0" w:after="283"/>
              <w:jc w:val="left"/>
              <w:rPr/>
            </w:pPr>
            <w:r>
              <w:rPr/>
              <w:t>)</w:t>
            </w:r>
          </w:p>
        </w:tc>
      </w:tr>
      <w:tr>
        <w:trPr/>
        <w:tc>
          <w:tcPr>
            <w:tcW w:w="2436"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643" w:type="dxa"/>
            <w:tcBorders/>
          </w:tcPr>
          <w:p>
            <w:pPr>
              <w:pStyle w:val="TableContents"/>
              <w:bidi w:val="0"/>
              <w:spacing w:before="0" w:after="283"/>
              <w:jc w:val="left"/>
              <w:rPr/>
            </w:pPr>
            <w:r>
              <w:rPr/>
              <w:t>: ss.:</w:t>
            </w:r>
          </w:p>
        </w:tc>
      </w:tr>
      <w:tr>
        <w:trPr/>
        <w:tc>
          <w:tcPr>
            <w:tcW w:w="2436" w:type="dxa"/>
            <w:tcBorders/>
          </w:tcPr>
          <w:p>
            <w:pPr>
              <w:pStyle w:val="TableContents"/>
              <w:bidi w:val="0"/>
              <w:spacing w:before="0" w:after="283"/>
              <w:jc w:val="left"/>
              <w:rPr/>
            </w:pPr>
            <w:r>
              <w:rPr/>
              <w:t>COUNTY OF JACKSON</w:t>
            </w:r>
          </w:p>
        </w:tc>
        <w:tc>
          <w:tcPr>
            <w:tcW w:w="126" w:type="dxa"/>
            <w:tcBorders/>
            <w:vAlign w:val="bottom"/>
          </w:tcPr>
          <w:p>
            <w:pPr>
              <w:pStyle w:val="TableContents"/>
              <w:bidi w:val="0"/>
              <w:spacing w:before="0" w:after="283"/>
              <w:jc w:val="left"/>
              <w:rPr/>
            </w:pPr>
            <w:r>
              <w:rPr/>
              <w:t>  </w:t>
            </w:r>
          </w:p>
        </w:tc>
        <w:tc>
          <w:tcPr>
            <w:tcW w:w="7643"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14th day of September, 2026,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being by me respectively duly sworn, did each say that the said Geoffrey T. Ley is Senior Vice President, Corporate Planning and Treasurer and that the said Heather A. Humphrey is Senior Vice President, General Counsel and Corporate Secretary of said corporation, that the consideration of and for the foregoing instrument was actual and adequate, that the same was made and given in good faith, for the uses and purposes therein set forth and without any intent to hinder, delay, or defraud creditors or purchasers.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subscribed my name and affixed my official seal on the day and year last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center"/>
              <w:rPr/>
            </w:pPr>
            <w:r>
              <w:rPr/>
              <w:t>/s/ Nicole A. Wehry</w:t>
            </w:r>
          </w:p>
        </w:tc>
      </w:tr>
      <w:tr>
        <w:trPr/>
        <w:tc>
          <w:tcPr>
            <w:tcW w:w="4082" w:type="dxa"/>
            <w:tcBorders/>
            <w:vAlign w:val="bottom"/>
          </w:tcPr>
          <w:p>
            <w:pPr>
              <w:pStyle w:val="TableContents"/>
              <w:bidi w:val="0"/>
              <w:spacing w:before="0" w:after="283"/>
              <w:jc w:val="center"/>
              <w:rPr/>
            </w:pPr>
            <w:r>
              <w:rPr/>
              <w:t>Notary Public</w:t>
            </w:r>
          </w:p>
        </w:tc>
      </w:tr>
      <w:tr>
        <w:trPr/>
        <w:tc>
          <w:tcPr>
            <w:tcW w:w="4082" w:type="dxa"/>
            <w:tcBorders/>
          </w:tcPr>
          <w:p>
            <w:pPr>
              <w:pStyle w:val="TableContents"/>
              <w:bidi w:val="0"/>
              <w:spacing w:before="0" w:after="283"/>
              <w:jc w:val="center"/>
              <w:rPr/>
            </w:pPr>
            <w:r>
              <w:rPr/>
              <w:t>My Commission Expires February 4, 2027</w:t>
            </w:r>
          </w:p>
        </w:tc>
      </w:tr>
    </w:tbl>
    <w:p>
      <w:pPr>
        <w:pStyle w:val="TextBody"/>
        <w:bidi w:val="0"/>
        <w:spacing w:before="240" w:after="0"/>
        <w:jc w:val="left"/>
        <w:rPr>
          <w:rFonts w:ascii="Times New Roman" w:hAnsi="Times New Roman"/>
          <w:sz w:val="20"/>
        </w:rPr>
      </w:pPr>
      <w:r>
        <w:rPr>
          <w:rFonts w:ascii="Times New Roman" w:hAnsi="Times New Roman"/>
          <w:sz w:val="20"/>
        </w:rPr>
        <w:t xml:space="preserve">NICOLE A. WEHRY </w:t>
      </w:r>
    </w:p>
    <w:p>
      <w:pPr>
        <w:pStyle w:val="TextBody"/>
        <w:bidi w:val="0"/>
        <w:spacing w:before="0" w:after="0"/>
        <w:jc w:val="left"/>
        <w:rPr>
          <w:rFonts w:ascii="Times New Roman" w:hAnsi="Times New Roman"/>
          <w:sz w:val="20"/>
        </w:rPr>
      </w:pPr>
      <w:r>
        <w:rPr>
          <w:rFonts w:ascii="Times New Roman" w:hAnsi="Times New Roman"/>
          <w:sz w:val="20"/>
        </w:rPr>
        <w:t xml:space="preserve">NOTARY PUBLIC – NOTARY SEAL </w:t>
      </w:r>
    </w:p>
    <w:p>
      <w:pPr>
        <w:pStyle w:val="TextBody"/>
        <w:bidi w:val="0"/>
        <w:spacing w:before="0" w:after="0"/>
        <w:jc w:val="left"/>
        <w:rPr>
          <w:rFonts w:ascii="Times New Roman" w:hAnsi="Times New Roman"/>
          <w:sz w:val="20"/>
        </w:rPr>
      </w:pPr>
      <w:r>
        <w:rPr>
          <w:rFonts w:ascii="Times New Roman" w:hAnsi="Times New Roman"/>
          <w:sz w:val="20"/>
        </w:rPr>
        <w:t xml:space="preserve">STATE OF MISSOURI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FEBRUARY 4, 2027 </w:t>
      </w:r>
    </w:p>
    <w:p>
      <w:pPr>
        <w:pStyle w:val="TextBody"/>
        <w:bidi w:val="0"/>
        <w:spacing w:before="0" w:after="0"/>
        <w:jc w:val="left"/>
        <w:rPr>
          <w:rFonts w:ascii="Times New Roman" w:hAnsi="Times New Roman"/>
          <w:sz w:val="20"/>
        </w:rPr>
      </w:pPr>
      <w:r>
        <w:rPr>
          <w:rFonts w:ascii="Times New Roman" w:hAnsi="Times New Roman"/>
          <w:sz w:val="20"/>
        </w:rPr>
        <w:t xml:space="preserve">JACKSON COUNTY </w:t>
      </w:r>
    </w:p>
    <w:p>
      <w:pPr>
        <w:pStyle w:val="TextBody"/>
        <w:bidi w:val="0"/>
        <w:spacing w:before="0" w:after="0"/>
        <w:jc w:val="left"/>
        <w:rPr>
          <w:rFonts w:ascii="Times New Roman" w:hAnsi="Times New Roman"/>
          <w:sz w:val="20"/>
        </w:rPr>
      </w:pPr>
      <w:r>
        <w:rPr>
          <w:rFonts w:ascii="Times New Roman" w:hAnsi="Times New Roman"/>
          <w:sz w:val="20"/>
        </w:rPr>
        <w:t xml:space="preserve">COMMISSION #14391200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15"/>
        <w:gridCol w:w="126"/>
        <w:gridCol w:w="7664"/>
      </w:tblGrid>
      <w:tr>
        <w:trPr/>
        <w:tc>
          <w:tcPr>
            <w:tcW w:w="241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664" w:type="dxa"/>
            <w:tcBorders/>
            <w:vAlign w:val="center"/>
          </w:tcPr>
          <w:p>
            <w:pPr>
              <w:pStyle w:val="TableContents"/>
              <w:bidi w:val="0"/>
              <w:spacing w:before="0" w:after="283"/>
              <w:jc w:val="left"/>
              <w:rPr>
                <w:sz w:val="4"/>
                <w:szCs w:val="4"/>
              </w:rPr>
            </w:pPr>
            <w:r>
              <w:rPr>
                <w:sz w:val="4"/>
                <w:szCs w:val="4"/>
              </w:rPr>
            </w:r>
          </w:p>
        </w:tc>
      </w:tr>
      <w:tr>
        <w:trPr/>
        <w:tc>
          <w:tcPr>
            <w:tcW w:w="2415" w:type="dxa"/>
            <w:tcBorders/>
          </w:tcPr>
          <w:p>
            <w:pPr>
              <w:pStyle w:val="TableContents"/>
              <w:bidi w:val="0"/>
              <w:spacing w:before="0" w:after="283"/>
              <w:jc w:val="left"/>
              <w:rPr/>
            </w:pPr>
            <w:r>
              <w:rPr/>
              <w:t>STATE OF TEXAS</w:t>
            </w:r>
          </w:p>
        </w:tc>
        <w:tc>
          <w:tcPr>
            <w:tcW w:w="126"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w:t>
            </w:r>
          </w:p>
        </w:tc>
      </w:tr>
      <w:tr>
        <w:trPr/>
        <w:tc>
          <w:tcPr>
            <w:tcW w:w="2415"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6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ss.:</w:t>
            </w:r>
          </w:p>
        </w:tc>
      </w:tr>
      <w:tr>
        <w:trPr/>
        <w:tc>
          <w:tcPr>
            <w:tcW w:w="2415" w:type="dxa"/>
            <w:tcBorders/>
          </w:tcPr>
          <w:p>
            <w:pPr>
              <w:pStyle w:val="TableContents"/>
              <w:bidi w:val="0"/>
              <w:spacing w:before="0" w:after="283"/>
              <w:jc w:val="left"/>
              <w:rPr/>
            </w:pPr>
            <w:r>
              <w:rPr/>
              <w:t>COUNTY OF HARRIS</w:t>
            </w:r>
          </w:p>
        </w:tc>
        <w:tc>
          <w:tcPr>
            <w:tcW w:w="126" w:type="dxa"/>
            <w:tcBorders/>
            <w:vAlign w:val="bottom"/>
          </w:tcPr>
          <w:p>
            <w:pPr>
              <w:pStyle w:val="TableContents"/>
              <w:bidi w:val="0"/>
              <w:spacing w:before="0" w:after="283"/>
              <w:jc w:val="left"/>
              <w:rPr/>
            </w:pPr>
            <w:r>
              <w:rPr/>
              <w:t>  </w:t>
            </w:r>
          </w:p>
        </w:tc>
        <w:tc>
          <w:tcPr>
            <w:tcW w:w="7664"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10th day of September, 2026, before me, the undersigned, a Notary Public within and for the State aforesaid, personally came Mary Jo Wagener, Vice President of The Bank of New York Mellon Trust Company, N.A., a national banking association, who is personally known to me or proved to be on the basis of sufficient identification to be such officer, and who is personally known to me or proved to me on the basis of sufficient identification to be the same person who executed as such officer the within instrument of writing, and such person duly acknowledged the execution of the same to be the act and deed of said corporation.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center"/>
              <w:rPr/>
            </w:pPr>
            <w:r>
              <w:rPr/>
              <w:t>/s/ April Bradley</w:t>
            </w:r>
          </w:p>
        </w:tc>
      </w:tr>
      <w:tr>
        <w:trPr/>
        <w:tc>
          <w:tcPr>
            <w:tcW w:w="4082" w:type="dxa"/>
            <w:tcBorders/>
            <w:vAlign w:val="bottom"/>
          </w:tcPr>
          <w:p>
            <w:pPr>
              <w:pStyle w:val="TableContents"/>
              <w:bidi w:val="0"/>
              <w:spacing w:before="0" w:after="283"/>
              <w:jc w:val="center"/>
              <w:rPr/>
            </w:pPr>
            <w:r>
              <w:rPr/>
              <w:t>Notary Public</w:t>
            </w:r>
          </w:p>
        </w:tc>
      </w:tr>
    </w:tbl>
    <w:p>
      <w:pPr>
        <w:pStyle w:val="TextBody"/>
        <w:bidi w:val="0"/>
        <w:spacing w:before="360" w:after="0"/>
        <w:jc w:val="left"/>
        <w:rPr>
          <w:rFonts w:ascii="Times New Roman" w:hAnsi="Times New Roman"/>
          <w:sz w:val="20"/>
        </w:rPr>
      </w:pPr>
      <w:r>
        <w:rPr>
          <w:rFonts w:ascii="Times New Roman" w:hAnsi="Times New Roman"/>
          <w:sz w:val="20"/>
        </w:rPr>
        <w:t xml:space="preserve">APRIL MICHELLE BRADLEY </w:t>
      </w:r>
    </w:p>
    <w:p>
      <w:pPr>
        <w:pStyle w:val="TextBody"/>
        <w:bidi w:val="0"/>
        <w:spacing w:before="0" w:after="0"/>
        <w:jc w:val="left"/>
        <w:rPr>
          <w:rFonts w:ascii="Times New Roman" w:hAnsi="Times New Roman"/>
          <w:sz w:val="20"/>
        </w:rPr>
      </w:pPr>
      <w:r>
        <w:rPr>
          <w:rFonts w:ascii="Times New Roman" w:hAnsi="Times New Roman"/>
          <w:sz w:val="20"/>
        </w:rPr>
        <w:t xml:space="preserve">Notary ID#133238619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w:t>
      </w:r>
    </w:p>
    <w:p>
      <w:pPr>
        <w:pStyle w:val="TextBody"/>
        <w:bidi w:val="0"/>
        <w:spacing w:before="0" w:after="0"/>
        <w:jc w:val="left"/>
        <w:rPr>
          <w:rFonts w:ascii="Times New Roman" w:hAnsi="Times New Roman"/>
          <w:sz w:val="20"/>
        </w:rPr>
      </w:pPr>
      <w:r>
        <w:rPr>
          <w:rFonts w:ascii="Times New Roman" w:hAnsi="Times New Roman"/>
          <w:sz w:val="20"/>
        </w:rPr>
        <w:t xml:space="preserve">July 28, 2029 </w:t>
      </w:r>
    </w:p>
    <w:p>
      <w:pPr>
        <w:pStyle w:val="TextBody"/>
        <w:bidi w:val="0"/>
        <w:spacing w:before="0" w:after="0"/>
        <w:jc w:val="left"/>
        <w:rPr>
          <w:rFonts w:ascii="Times New Roman" w:hAnsi="Times New Roman"/>
          <w:sz w:val="20"/>
        </w:rPr>
      </w:pPr>
      <w:r>
        <w:rPr>
          <w:rFonts w:ascii="Times New Roman" w:hAnsi="Times New Roman"/>
          <w:sz w:val="20"/>
        </w:rPr>
        <w:t xml:space="preserve">Notary Public – State of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p>
    <w:p>
      <w:pPr>
        <w:pStyle w:val="TextBody"/>
        <w:bidi w:val="0"/>
        <w:spacing w:before="0" w:after="0"/>
        <w:jc w:val="right"/>
        <w:rPr>
          <w:rFonts w:ascii="Times New Roman" w:hAnsi="Times New Roman"/>
          <w:b/>
          <w:sz w:val="20"/>
        </w:rPr>
      </w:pPr>
      <w:bookmarkStart w:id="6" w:name="d504888dex51.htm"/>
      <w:bookmarkStart w:id="7" w:name="ksd504888dex51"/>
      <w:bookmarkEnd w:id="6"/>
      <w:bookmarkEnd w:id="7"/>
      <w:r>
        <w:rPr>
          <w:rFonts w:ascii="Times New Roman" w:hAnsi="Times New Roman"/>
          <w:b/>
          <w:sz w:val="20"/>
        </w:rPr>
        <w:t xml:space="preserve">Exhibit 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September 16, 2026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 Inc. </w:t>
      </w:r>
    </w:p>
    <w:p>
      <w:pPr>
        <w:pStyle w:val="TextBody"/>
        <w:bidi w:val="0"/>
        <w:spacing w:before="0" w:after="0"/>
        <w:jc w:val="left"/>
        <w:rPr>
          <w:rFonts w:ascii="Times New Roman" w:hAnsi="Times New Roman"/>
          <w:sz w:val="20"/>
        </w:rPr>
      </w:pPr>
      <w:r>
        <w:rPr>
          <w:rFonts w:ascii="Times New Roman" w:hAnsi="Times New Roman"/>
          <w:sz w:val="20"/>
        </w:rPr>
        <w:t xml:space="preserve">818 South Kansas Avenue </w:t>
      </w:r>
    </w:p>
    <w:p>
      <w:pPr>
        <w:pStyle w:val="TextBody"/>
        <w:bidi w:val="0"/>
        <w:spacing w:before="0" w:after="0"/>
        <w:jc w:val="left"/>
        <w:rPr>
          <w:rFonts w:ascii="Times New Roman" w:hAnsi="Times New Roman"/>
          <w:sz w:val="20"/>
        </w:rPr>
      </w:pPr>
      <w:r>
        <w:rPr>
          <w:rFonts w:ascii="Times New Roman" w:hAnsi="Times New Roman"/>
          <w:sz w:val="20"/>
        </w:rPr>
        <w:t xml:space="preserve">Topeka, Kansas 66612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Evergy Kansas Central, Inc. </w:t>
            </w:r>
          </w:p>
        </w:tc>
      </w:tr>
    </w:tbl>
    <w:p>
      <w:pPr>
        <w:pStyle w:val="TextBody"/>
        <w:bidi w:val="0"/>
        <w:spacing w:before="0" w:after="0"/>
        <w:jc w:val="left"/>
        <w:rPr>
          <w:rFonts w:ascii="Times New Roman" w:hAnsi="Times New Roman"/>
          <w:sz w:val="20"/>
        </w:rPr>
      </w:pPr>
      <w:r>
        <w:rPr>
          <w:rFonts w:ascii="Times New Roman" w:hAnsi="Times New Roman"/>
          <w:sz w:val="20"/>
        </w:rPr>
        <w:t xml:space="preserve">$350,000,000 aggregate principal amount of First Mortgage Bonds, 5.600% Series due 2034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I have served as Senior Vice President, General Counsel and Corporate Secretary of Evergy Kansas Central, Inc., a Kansas corporation (the “Company”), in connection with the issuance and sale by the Company of $350,000,000 aggregate principal amount of First Mortgage Bonds, 5.600% Series due 2034 (the “Bonds”), covered by the Registration Statement on Form S-3 (No. 333-281614-02) (the “Registration Statement”) filed on August 16, 2024 by the Company with the Securities and Exchange Commission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Bonds were issued under and secured by the Mortgage and Deed of Trust (the “Indenture”) dated July 1, 1939, as amended and supplemented, between the Company and The Bank of New York Mellon Trust Company, N.A., as successor to BNY Midwest Trust Company, as successor to Harris Trust and Savings Bank, as trustee (the “Trustee”). The Bonds were sold by the Company pursuant to the Underwriting Agreement, dated September 10, 2026, among the Company, PNC Capital Markets LLC, RBC Capital Markets, LLC, Truist Securities, Inc. and U.S. Bancorp Investments, Inc., as representatives of the several underwriters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I have examined and relied upon a copy of the Registration Statement and the exhibits filed therewith. I am familiar with the Amended and Restated Articles of Incorporation and the Amended and Restated By-laws of the Company and the resolutions of the Board of Directors of the Company relating to the Registration Statement. I have also examined originals, or copies of originals certified to my satisfaction, of such agreements, documents, certificates and statements of government officials and other instruments, and have examined such questions of law and have satisfied myself as to such matters of fact, as I have considered relevant and necessary as a basis for this opinion letter. I have assumed the authenticity of all documents submitted to me as originals, the genuineness of all signatures, the legal capacity of all persons other than the directors and officers of the Company and the conformity with the original documents of any copies thereof submitted to me for examination. I have also assumed that the Indenture is the valid and binding obligation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and limitations hereinafter set forth, I am of the opinion that the Bonds are legally issued and constitute the valid and binding obligations of the Company enforceable in accordance with their terms, subject to bankruptcy, insolvency or other laws affecting enforcement of mortgagees’ and other creditors’ rights generally and general principles of equity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letter, I have further assumed that the Bonds will be governed by the laws of the State of Kansas. I am licensed to practice law in the State of Kansas and the foregoing opinions are limited to the laws of the State of Kansas.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filing of this opinion letter as an exhibit to the Registration Statement and to all references to me included in or made a part of the Registration Statement.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Very truly yours,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Heather A. Humphrey</w:t>
            </w:r>
          </w:p>
        </w:tc>
      </w:tr>
      <w:tr>
        <w:trPr/>
        <w:tc>
          <w:tcPr>
            <w:tcW w:w="4082" w:type="dxa"/>
            <w:tcBorders/>
          </w:tcPr>
          <w:p>
            <w:pPr>
              <w:pStyle w:val="TableContents"/>
              <w:bidi w:val="0"/>
              <w:spacing w:before="0" w:after="283"/>
              <w:jc w:val="left"/>
              <w:rPr/>
            </w:pPr>
            <w:r>
              <w:rPr/>
              <w:t>Heather A. Humphrey</w:t>
            </w:r>
          </w:p>
        </w:tc>
      </w:tr>
      <w:tr>
        <w:trPr/>
        <w:tc>
          <w:tcPr>
            <w:tcW w:w="4082" w:type="dxa"/>
            <w:tcBorders/>
          </w:tcPr>
          <w:p>
            <w:pPr>
              <w:pStyle w:val="TableContents"/>
              <w:bidi w:val="0"/>
              <w:spacing w:before="0" w:after="283"/>
              <w:jc w:val="left"/>
              <w:rPr/>
            </w:pPr>
            <w:r>
              <w:rPr/>
              <w:t>Senior Vice President, General Counsel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85</Pages>
  <Words>33679</Words>
  <Characters>177258</Characters>
  <CharactersWithSpaces>211521</CharactersWithSpaces>
  <Paragraphs>2024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