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580" w:right="2240" w:hanging="2337"/>
        <w:spacing w:after="0" w:line="277" w:lineRule="auto"/>
        <w:tabs>
          <w:tab w:leader="none" w:pos="24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580" w:right="2220" w:hanging="2346"/>
        <w:spacing w:after="0" w:line="277" w:lineRule="auto"/>
        <w:tabs>
          <w:tab w:leader="none" w:pos="24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6"/>
              </w:rPr>
              <w:t>Commission</w:t>
            </w: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94"/>
              </w:rPr>
              <w:t>File Number</w:t>
            </w:r>
          </w:p>
        </w:tc>
        <w:tc>
          <w:tcPr>
            <w:tcW w:w="120" w:type="dxa"/>
            <w:vAlign w:val="bottom"/>
          </w:tcPr>
          <w:p>
            <w:pPr>
              <w:spacing w:after="0"/>
              <w:rPr>
                <w:sz w:val="20"/>
                <w:szCs w:val="20"/>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2"/>
              </w:rPr>
              <w:t>Identification Number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EVERGY,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EVERGY METRO,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gridSpan w:val="4"/>
            <w:vMerge w:val="continue"/>
          </w:tcPr>
          <w:p>
            <w:pPr>
              <w:spacing w:after="0"/>
              <w:rPr>
                <w:sz w:val="5"/>
                <w:szCs w:val="5"/>
                <w:color w:val="auto"/>
              </w:rPr>
            </w:pPr>
          </w:p>
        </w:tc>
        <w:tc>
          <w:tcPr>
            <w:tcW w:w="1900" w:type="dxa"/>
            <w:vAlign w:val="bottom"/>
          </w:tcPr>
          <w:p>
            <w:pPr>
              <w:spacing w:after="0"/>
              <w:rPr>
                <w:sz w:val="5"/>
                <w:szCs w:val="5"/>
                <w:color w:val="auto"/>
              </w:rPr>
            </w:pPr>
          </w:p>
        </w:tc>
        <w:tc>
          <w:tcPr>
            <w:tcW w:w="34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restart"/>
          </w:tcPr>
          <w:p>
            <w:pPr>
              <w:spacing w:after="0"/>
              <w:rPr>
                <w:sz w:val="5"/>
                <w:szCs w:val="5"/>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Arial" w:cs="Arial" w:eastAsia="Arial" w:hAnsi="Arial"/>
                <w:sz w:val="18"/>
                <w:szCs w:val="18"/>
                <w:b w:val="1"/>
                <w:bCs w:val="1"/>
                <w:color w:val="auto"/>
                <w:w w:val="87"/>
              </w:rPr>
              <w:t>registered</w:t>
            </w:r>
          </w:p>
        </w:tc>
        <w:tc>
          <w:tcPr>
            <w:tcW w:w="20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1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continue"/>
          </w:tcPr>
          <w:p>
            <w:pPr>
              <w:spacing w:after="0"/>
              <w:rPr>
                <w:sz w:val="6"/>
                <w:szCs w:val="6"/>
                <w:color w:val="auto"/>
              </w:rPr>
            </w:pPr>
          </w:p>
        </w:tc>
        <w:tc>
          <w:tcPr>
            <w:tcW w:w="1640" w:type="dxa"/>
            <w:vAlign w:val="bottom"/>
            <w:tcBorders>
              <w:top w:val="single" w:sz="8" w:color="auto"/>
            </w:tcBorders>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Evergy, Inc. common stock</w:t>
            </w:r>
          </w:p>
        </w:tc>
        <w:tc>
          <w:tcPr>
            <w:tcW w:w="1900" w:type="dxa"/>
            <w:vAlign w:val="bottom"/>
          </w:tcPr>
          <w:p>
            <w:pPr>
              <w:spacing w:after="0"/>
              <w:rPr>
                <w:sz w:val="22"/>
                <w:szCs w:val="22"/>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color w:val="auto"/>
                <w:w w:val="97"/>
              </w:rPr>
              <w:t>EVRG</w:t>
            </w:r>
          </w:p>
        </w:tc>
        <w:tc>
          <w:tcPr>
            <w:tcW w:w="180" w:type="dxa"/>
            <w:vAlign w:val="bottom"/>
          </w:tcPr>
          <w:p>
            <w:pPr>
              <w:spacing w:after="0"/>
              <w:rPr>
                <w:sz w:val="22"/>
                <w:szCs w:val="22"/>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6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38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14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Kansas Central,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Metro,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0" w:right="5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240"/>
          </w:cols>
          <w:pgMar w:left="320" w:top="121" w:right="33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April 30, 2021, Evergy, Inc. had 229,267,502 shares of common stock outstanding. On April 30, 2021, Evergy Metro, Inc. and Evergy Kansas Central, Inc. each had one share of common stock outstanding and held by Evergy, Inc.</w:t>
      </w:r>
    </w:p>
    <w:p>
      <w:pPr>
        <w:spacing w:after="0" w:line="155" w:lineRule="exact"/>
        <w:rPr>
          <w:sz w:val="20"/>
          <w:szCs w:val="20"/>
          <w:color w:val="auto"/>
        </w:rPr>
      </w:pPr>
    </w:p>
    <w:p>
      <w:pPr>
        <w:ind w:left="20" w:right="600"/>
        <w:spacing w:after="0" w:line="245"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9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2020 Form 10-K for each of Evergy, Evergy Kansas Central and Evergy Metro.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gridSpan w:val="24"/>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Cautionary Statements Regarding Certain Forward-Looking Information</w:t>
              </w:r>
            </w:hyperlink>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Borders>
              <w:top w:val="single" w:sz="8" w:color="auto"/>
            </w:tcBorders>
            <w:gridSpan w:val="2"/>
          </w:tcPr>
          <w:p>
            <w:pPr>
              <w:jc w:val="center"/>
              <w:ind w:left="39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4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20" w:type="dxa"/>
            <w:vAlign w:val="bottom"/>
            <w:gridSpan w:val="1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Glossary of Terms</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Part I - Financial Information</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3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Financial Statements</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rFonts w:ascii="Arial" w:cs="Arial" w:eastAsia="Arial" w:hAnsi="Arial"/>
                <w:sz w:val="18"/>
                <w:szCs w:val="18"/>
                <w:b w:val="1"/>
                <w:bCs w:val="1"/>
                <w:color w:val="0000FF"/>
                <w:w w:val="89"/>
              </w:rPr>
            </w:pPr>
            <w:hyperlink w:anchor="page8">
              <w:r>
                <w:rPr>
                  <w:rFonts w:ascii="Arial" w:cs="Arial" w:eastAsia="Arial" w:hAnsi="Arial"/>
                  <w:sz w:val="18"/>
                  <w:szCs w:val="18"/>
                  <w:b w:val="1"/>
                  <w:bCs w:val="1"/>
                  <w:color w:val="0000FF"/>
                  <w:w w:val="89"/>
                </w:rPr>
                <w:t>Evergy, Inc.</w:t>
              </w:r>
            </w:hyperlink>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Borders>
              <w:top w:val="single" w:sz="8" w:color="0000FF"/>
            </w:tcBorders>
            <w:gridSpan w:val="19"/>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Unaudited Consolidated Statements of Cash Flows</w:t>
              </w:r>
            </w:hyperlink>
          </w:p>
        </w:tc>
        <w:tc>
          <w:tcPr>
            <w:tcW w:w="860" w:type="dxa"/>
            <w:vAlign w:val="bottom"/>
            <w:tcBorders>
              <w:top w:val="single" w:sz="8" w:color="0000FF"/>
            </w:tcBorders>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Unaudited Consolidated Statements of Changes in Equity</w:t>
              </w:r>
            </w:hyperlink>
          </w:p>
        </w:tc>
        <w:tc>
          <w:tcPr>
            <w:tcW w:w="940" w:type="dxa"/>
            <w:vAlign w:val="bottom"/>
            <w:gridSpan w:val="3"/>
          </w:tcPr>
          <w:p>
            <w:pPr>
              <w:jc w:val="center"/>
              <w:ind w:left="77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0"/>
          </w:tcPr>
          <w:p>
            <w:pPr>
              <w:spacing w:after="0"/>
              <w:rPr>
                <w:rFonts w:ascii="Arial" w:cs="Arial" w:eastAsia="Arial" w:hAnsi="Arial"/>
                <w:sz w:val="18"/>
                <w:szCs w:val="18"/>
                <w:b w:val="1"/>
                <w:bCs w:val="1"/>
                <w:color w:val="0000FF"/>
              </w:rPr>
            </w:pPr>
            <w:hyperlink w:anchor="page12">
              <w:r>
                <w:rPr>
                  <w:rFonts w:ascii="Arial" w:cs="Arial" w:eastAsia="Arial" w:hAnsi="Arial"/>
                  <w:sz w:val="18"/>
                  <w:szCs w:val="18"/>
                  <w:b w:val="1"/>
                  <w:bCs w:val="1"/>
                  <w:color w:val="0000FF"/>
                </w:rPr>
                <w:t>Evergy Kansas Central,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rFonts w:ascii="Arial" w:cs="Arial" w:eastAsia="Arial" w:hAnsi="Arial"/>
                <w:sz w:val="18"/>
                <w:szCs w:val="18"/>
                <w:color w:val="0000FF"/>
                <w:w w:val="88"/>
              </w:rPr>
            </w:pPr>
            <w:hyperlink w:anchor="page12">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4</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8"/>
          </w:tcPr>
          <w:p>
            <w:pPr>
              <w:spacing w:after="0"/>
              <w:rPr>
                <w:rFonts w:ascii="Arial" w:cs="Arial" w:eastAsia="Arial" w:hAnsi="Arial"/>
                <w:sz w:val="18"/>
                <w:szCs w:val="18"/>
                <w:color w:val="0000FF"/>
                <w:w w:val="88"/>
              </w:rPr>
            </w:pPr>
            <w:hyperlink w:anchor="page14">
              <w:r>
                <w:rPr>
                  <w:rFonts w:ascii="Arial" w:cs="Arial" w:eastAsia="Arial" w:hAnsi="Arial"/>
                  <w:sz w:val="18"/>
                  <w:szCs w:val="18"/>
                  <w:color w:val="0000FF"/>
                  <w:w w:val="88"/>
                </w:rPr>
                <w:t>Unaudited Consolidated Statements of Income</w:t>
              </w:r>
            </w:hyperlink>
          </w:p>
        </w:tc>
        <w:tc>
          <w:tcPr>
            <w:tcW w:w="4600" w:type="dxa"/>
            <w:vAlign w:val="bottom"/>
            <w:gridSpan w:val="10"/>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6</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9"/>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Unaudited Consolidated Statements of Cash Flows</w:t>
              </w:r>
            </w:hyperlink>
          </w:p>
        </w:tc>
        <w:tc>
          <w:tcPr>
            <w:tcW w:w="4260" w:type="dxa"/>
            <w:vAlign w:val="bottom"/>
            <w:gridSpan w:val="9"/>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7</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8"/>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0"/>
          </w:tcPr>
          <w:p>
            <w:pPr>
              <w:spacing w:after="0"/>
              <w:rPr>
                <w:rFonts w:ascii="Arial" w:cs="Arial" w:eastAsia="Arial" w:hAnsi="Arial"/>
                <w:sz w:val="18"/>
                <w:szCs w:val="18"/>
                <w:b w:val="1"/>
                <w:bCs w:val="1"/>
                <w:color w:val="0000FF"/>
              </w:rPr>
            </w:pPr>
            <w:hyperlink w:anchor="page17">
              <w:r>
                <w:rPr>
                  <w:rFonts w:ascii="Arial" w:cs="Arial" w:eastAsia="Arial" w:hAnsi="Arial"/>
                  <w:sz w:val="18"/>
                  <w:szCs w:val="18"/>
                  <w:b w:val="1"/>
                  <w:bCs w:val="1"/>
                  <w:color w:val="0000FF"/>
                </w:rPr>
                <w:t>Evergy Metro,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rFonts w:ascii="Arial" w:cs="Arial" w:eastAsia="Arial" w:hAnsi="Arial"/>
                <w:sz w:val="18"/>
                <w:szCs w:val="18"/>
                <w:color w:val="0000FF"/>
                <w:w w:val="88"/>
              </w:rPr>
            </w:pPr>
            <w:hyperlink w:anchor="page17">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9</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4"/>
          </w:tcPr>
          <w:p>
            <w:pP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40" w:type="dxa"/>
            <w:vAlign w:val="bottom"/>
            <w:gridSpan w:val="3"/>
          </w:tcPr>
          <w:p>
            <w:pPr>
              <w:jc w:val="center"/>
              <w:ind w:left="69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11</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9"/>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Unaudited Consolidated Statements of Cash Flows</w:t>
              </w:r>
            </w:hyperlink>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Unaudited Consolidated Statements of Changes in Equity</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30"/>
          </w:tcPr>
          <w:p>
            <w:pPr>
              <w:spacing w:after="0"/>
              <w:rPr>
                <w:rFonts w:ascii="Arial" w:cs="Arial" w:eastAsia="Arial" w:hAnsi="Arial"/>
                <w:sz w:val="18"/>
                <w:szCs w:val="18"/>
                <w:color w:val="0000FF"/>
                <w:w w:val="94"/>
              </w:rPr>
            </w:pPr>
            <w:hyperlink w:anchor="page22">
              <w:r>
                <w:rPr>
                  <w:rFonts w:ascii="Arial" w:cs="Arial" w:eastAsia="Arial" w:hAnsi="Arial"/>
                  <w:sz w:val="18"/>
                  <w:szCs w:val="18"/>
                  <w:color w:val="0000FF"/>
                  <w:w w:val="94"/>
                </w:rPr>
                <w:t>Combined Notes to Unaudited Consolidated Financial Statements for Evergy, Inc., Evergy Kansas Central,</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14</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22">
              <w:r>
                <w:rPr>
                  <w:rFonts w:ascii="Arial" w:cs="Arial" w:eastAsia="Arial" w:hAnsi="Arial"/>
                  <w:sz w:val="18"/>
                  <w:szCs w:val="18"/>
                  <w:color w:val="0000FF"/>
                </w:rPr>
                <w:t>Inc. and Evergy Metro, Inc.</w:t>
              </w:r>
            </w:hyperlink>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w:t>
            </w:r>
          </w:p>
        </w:tc>
        <w:tc>
          <w:tcPr>
            <w:tcW w:w="2800" w:type="dxa"/>
            <w:vAlign w:val="bottom"/>
            <w:gridSpan w:val="14"/>
          </w:tcPr>
          <w:p>
            <w:pPr>
              <w:spacing w:after="0"/>
              <w:rPr>
                <w:rFonts w:ascii="Arial" w:cs="Arial" w:eastAsia="Arial" w:hAnsi="Arial"/>
                <w:sz w:val="18"/>
                <w:szCs w:val="18"/>
                <w:color w:val="0000FF"/>
                <w:w w:val="88"/>
              </w:rPr>
            </w:pPr>
            <w:hyperlink w:anchor="page23">
              <w:r>
                <w:rPr>
                  <w:rFonts w:ascii="Arial" w:cs="Arial" w:eastAsia="Arial" w:hAnsi="Arial"/>
                  <w:sz w:val="18"/>
                  <w:szCs w:val="18"/>
                  <w:color w:val="0000FF"/>
                  <w:w w:val="88"/>
                </w:rPr>
                <w:t>Organization and Basis of Presentation</w:t>
              </w:r>
            </w:hyperlink>
          </w:p>
        </w:tc>
        <w:tc>
          <w:tcPr>
            <w:tcW w:w="3840" w:type="dxa"/>
            <w:vAlign w:val="bottom"/>
            <w:gridSpan w:val="7"/>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14</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2:</w:t>
            </w:r>
          </w:p>
        </w:tc>
        <w:tc>
          <w:tcPr>
            <w:tcW w:w="620" w:type="dxa"/>
            <w:vAlign w:val="bottom"/>
            <w:gridSpan w:val="3"/>
          </w:tcPr>
          <w:p>
            <w:pPr>
              <w:spacing w:after="0"/>
              <w:rPr>
                <w:rFonts w:ascii="Arial" w:cs="Arial" w:eastAsia="Arial" w:hAnsi="Arial"/>
                <w:sz w:val="18"/>
                <w:szCs w:val="18"/>
                <w:color w:val="0000FF"/>
                <w:w w:val="83"/>
              </w:rPr>
            </w:pPr>
            <w:hyperlink w:anchor="page28">
              <w:r>
                <w:rPr>
                  <w:rFonts w:ascii="Arial" w:cs="Arial" w:eastAsia="Arial" w:hAnsi="Arial"/>
                  <w:sz w:val="18"/>
                  <w:szCs w:val="18"/>
                  <w:color w:val="0000FF"/>
                  <w:w w:val="83"/>
                </w:rPr>
                <w:t>Revenue</w:t>
              </w:r>
            </w:hyperlink>
          </w:p>
        </w:tc>
        <w:tc>
          <w:tcPr>
            <w:tcW w:w="2180" w:type="dxa"/>
            <w:vAlign w:val="bottom"/>
            <w:gridSpan w:val="11"/>
          </w:tcPr>
          <w:p>
            <w:pPr>
              <w:spacing w:after="0"/>
              <w:rPr>
                <w:sz w:val="18"/>
                <w:szCs w:val="18"/>
                <w:color w:val="auto"/>
              </w:rPr>
            </w:pPr>
          </w:p>
        </w:tc>
        <w:tc>
          <w:tcPr>
            <w:tcW w:w="3840" w:type="dxa"/>
            <w:vAlign w:val="bottom"/>
            <w:gridSpan w:val="7"/>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19</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3:</w:t>
            </w:r>
          </w:p>
        </w:tc>
        <w:tc>
          <w:tcPr>
            <w:tcW w:w="860" w:type="dxa"/>
            <w:vAlign w:val="bottom"/>
            <w:gridSpan w:val="5"/>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Receivables</w:t>
              </w:r>
            </w:hyperlink>
          </w:p>
        </w:tc>
        <w:tc>
          <w:tcPr>
            <w:tcW w:w="5780" w:type="dxa"/>
            <w:vAlign w:val="bottom"/>
            <w:gridSpan w:val="16"/>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4:</w:t>
            </w:r>
          </w:p>
        </w:tc>
        <w:tc>
          <w:tcPr>
            <w:tcW w:w="6640" w:type="dxa"/>
            <w:vAlign w:val="bottom"/>
            <w:gridSpan w:val="2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Rate Matters and Regulation</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21</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5:</w:t>
            </w:r>
          </w:p>
        </w:tc>
        <w:tc>
          <w:tcPr>
            <w:tcW w:w="3160" w:type="dxa"/>
            <w:vAlign w:val="bottom"/>
            <w:gridSpan w:val="16"/>
          </w:tcPr>
          <w:p>
            <w:pPr>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Pension Plans and Post-Retirement Benefits</w:t>
              </w:r>
            </w:hyperlink>
          </w:p>
        </w:tc>
        <w:tc>
          <w:tcPr>
            <w:tcW w:w="3480" w:type="dxa"/>
            <w:vAlign w:val="bottom"/>
            <w:gridSpan w:val="5"/>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6:</w:t>
            </w:r>
          </w:p>
        </w:tc>
        <w:tc>
          <w:tcPr>
            <w:tcW w:w="6640" w:type="dxa"/>
            <w:vAlign w:val="bottom"/>
            <w:gridSpan w:val="2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Short-Term Borrowings and Short-Term Bank Lines of Credit</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25</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7:</w:t>
            </w:r>
          </w:p>
        </w:tc>
        <w:tc>
          <w:tcPr>
            <w:tcW w:w="1200" w:type="dxa"/>
            <w:vAlign w:val="bottom"/>
            <w:gridSpan w:val="7"/>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Long-Term Debt</w:t>
              </w:r>
            </w:hyperlink>
          </w:p>
        </w:tc>
        <w:tc>
          <w:tcPr>
            <w:tcW w:w="3240" w:type="dxa"/>
            <w:vAlign w:val="bottom"/>
            <w:gridSpan w:val="11"/>
          </w:tcPr>
          <w:p>
            <w:pPr>
              <w:spacing w:after="0"/>
              <w:rPr>
                <w:sz w:val="18"/>
                <w:szCs w:val="18"/>
                <w:color w:val="auto"/>
              </w:rPr>
            </w:pPr>
          </w:p>
        </w:tc>
        <w:tc>
          <w:tcPr>
            <w:tcW w:w="2200" w:type="dxa"/>
            <w:vAlign w:val="bottom"/>
            <w:gridSpan w:val="3"/>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25</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8:</w:t>
            </w:r>
          </w:p>
        </w:tc>
        <w:tc>
          <w:tcPr>
            <w:tcW w:w="6640" w:type="dxa"/>
            <w:vAlign w:val="bottom"/>
            <w:gridSpan w:val="2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Fair Value Measurements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26</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9:</w:t>
            </w:r>
          </w:p>
        </w:tc>
        <w:tc>
          <w:tcPr>
            <w:tcW w:w="664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Commitments and Contingencies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10:</w:t>
            </w:r>
          </w:p>
        </w:tc>
        <w:tc>
          <w:tcPr>
            <w:tcW w:w="664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Related Party Transactions and Relationships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11:</w:t>
            </w:r>
          </w:p>
        </w:tc>
        <w:tc>
          <w:tcPr>
            <w:tcW w:w="324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Shareholders' Equity</w:t>
              </w:r>
            </w:hyperlink>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34</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12:</w:t>
            </w:r>
          </w:p>
        </w:tc>
        <w:tc>
          <w:tcPr>
            <w:tcW w:w="1480" w:type="dxa"/>
            <w:vAlign w:val="bottom"/>
            <w:gridSpan w:val="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Taxes</w:t>
              </w:r>
            </w:hyperlink>
          </w:p>
        </w:tc>
        <w:tc>
          <w:tcPr>
            <w:tcW w:w="5160" w:type="dxa"/>
            <w:vAlign w:val="bottom"/>
            <w:gridSpan w:val="13"/>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34</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28"/>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Management's Discussion and Analysis of Financial Condition and Results of Operations</w:t>
              </w:r>
            </w:hyperlink>
          </w:p>
        </w:tc>
        <w:tc>
          <w:tcPr>
            <w:tcW w:w="1640" w:type="dxa"/>
            <w:vAlign w:val="bottom"/>
            <w:gridSpan w:val="2"/>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36</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4"/>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Quantitative and Qualitative Disclosures About Market Risk</w:t>
              </w:r>
            </w:hyperlink>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48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Controls and Procedures</w:t>
              </w:r>
            </w:hyperlink>
          </w:p>
        </w:tc>
        <w:tc>
          <w:tcPr>
            <w:tcW w:w="3740" w:type="dxa"/>
            <w:vAlign w:val="bottom"/>
            <w:gridSpan w:val="6"/>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48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18"/>
                <w:szCs w:val="18"/>
                <w:b w:val="1"/>
                <w:bCs w:val="1"/>
                <w:color w:val="0000FF"/>
                <w:w w:val="96"/>
              </w:rPr>
            </w:pPr>
            <w:hyperlink w:anchor="page58">
              <w:r>
                <w:rPr>
                  <w:rFonts w:ascii="Arial" w:cs="Arial" w:eastAsia="Arial" w:hAnsi="Arial"/>
                  <w:sz w:val="18"/>
                  <w:szCs w:val="18"/>
                  <w:b w:val="1"/>
                  <w:bCs w:val="1"/>
                  <w:color w:val="0000FF"/>
                  <w:w w:val="96"/>
                </w:rPr>
                <w:t>Part II - Other Information</w:t>
              </w:r>
            </w:hyperlink>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40" w:type="dxa"/>
            <w:vAlign w:val="bottom"/>
            <w:gridSpan w:val="9"/>
          </w:tcPr>
          <w:p>
            <w:pPr>
              <w:spacing w:after="0"/>
              <w:rPr>
                <w:rFonts w:ascii="Arial" w:cs="Arial" w:eastAsia="Arial" w:hAnsi="Arial"/>
                <w:sz w:val="18"/>
                <w:szCs w:val="18"/>
                <w:color w:val="0000FF"/>
                <w:w w:val="93"/>
              </w:rPr>
            </w:pPr>
            <w:hyperlink w:anchor="page59">
              <w:r>
                <w:rPr>
                  <w:rFonts w:ascii="Arial" w:cs="Arial" w:eastAsia="Arial" w:hAnsi="Arial"/>
                  <w:sz w:val="18"/>
                  <w:szCs w:val="18"/>
                  <w:color w:val="0000FF"/>
                  <w:w w:val="93"/>
                </w:rPr>
                <w:t>Legal Proceedings</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50</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59">
              <w:r>
                <w:rPr>
                  <w:rFonts w:ascii="Arial" w:cs="Arial" w:eastAsia="Arial" w:hAnsi="Arial"/>
                  <w:sz w:val="18"/>
                  <w:szCs w:val="18"/>
                  <w:color w:val="0000FF"/>
                  <w:w w:val="87"/>
                </w:rPr>
                <w:t>Risk Factors</w:t>
              </w:r>
            </w:hyperlink>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30"/>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Unregistered Sales of Equity Securities and Use of Proceeds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15"/>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Defaults Upon Senior Securities</w:t>
              </w:r>
            </w:hyperlink>
          </w:p>
        </w:tc>
        <w:tc>
          <w:tcPr>
            <w:tcW w:w="2020" w:type="dxa"/>
            <w:vAlign w:val="bottom"/>
            <w:gridSpan w:val="9"/>
          </w:tcPr>
          <w:p>
            <w:pPr>
              <w:spacing w:after="0"/>
              <w:rPr>
                <w:sz w:val="18"/>
                <w:szCs w:val="18"/>
                <w:color w:val="auto"/>
              </w:rPr>
            </w:pPr>
          </w:p>
        </w:tc>
        <w:tc>
          <w:tcPr>
            <w:tcW w:w="3740" w:type="dxa"/>
            <w:vAlign w:val="bottom"/>
            <w:gridSpan w:val="6"/>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5760" w:type="dxa"/>
            <w:vAlign w:val="bottom"/>
            <w:gridSpan w:val="15"/>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Mine Safety Disclosures</w:t>
              </w:r>
            </w:hyperlink>
          </w:p>
        </w:tc>
        <w:tc>
          <w:tcPr>
            <w:tcW w:w="5760" w:type="dxa"/>
            <w:vAlign w:val="bottom"/>
            <w:gridSpan w:val="15"/>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40" w:type="dxa"/>
            <w:vAlign w:val="bottom"/>
            <w:gridSpan w:val="9"/>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Other Information</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51</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Exhibits</w:t>
              </w:r>
            </w:hyperlink>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53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Signatures</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56</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6"/>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22"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Statements made in this report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in wholesale markets; market perception of the energy industry and the Evergy Companies; the impact of the Coronavirus (COVID-19) pandemic on, among other things, sales, results of operations, financial condition, liquidity and cash flows, and also on operational issues, such as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including changes in interest rates and credit spreads and in availability and cost of capital and the effects on derivatives and hedges, nuclear decommissioning trust and pension plan assets and costs; impairments of long-lived assets or goodwill; credit ratings; inflation rates; the transition to a replacement for the London Interbank Offered Rate (LIBOR) benchmark interest rate; effectiveness of risk management policies and procedures and the ability of counterparties to satisfy their contractual commitments; impact of physical and cybersecurity breaches, criminal activity, terrorist attacks and other disruptions to the Evergy Companies' facilities or information technology infrastructure or the facilities and infrastructure of third-party service providers on which the Evergy Companies rely; ability to carry out marketing and sales plans; cost, availability, quality and timely provision of equipment, supplies, labor and fuel;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22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This list of factors is not all-inclusive because it is not possible to predict all factors. Additional risks and uncertainties are discussed from time to time in current, quarterly and annual reports filed by the Evergy Companies with the Securities and Exchange Commission (SEC). Reports filed by the Evergy Companies with the SEC should also be read for more information regarding risk factors. Each forward-looking statement speaks only as of the date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of the particular statement. The Evergy Companies undertake no obligation to publicly update or revise any forward-looking statement,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www.evergy.com. Such reports are accessible at no charge and are made available as soon as reasonably practical after such material is filed with or furnished to the SEC.</w:t>
      </w:r>
    </w:p>
    <w:p>
      <w:pPr>
        <w:spacing w:after="0" w:line="18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www.evergy.com, to communicate with investors. It is possible that the financial and other information posted there could be deemed to be material information. The information on Evergy's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5" w:name="page6"/>
    <w:bookmarkEnd w:id="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8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AAO</w:t>
            </w:r>
          </w:p>
        </w:tc>
        <w:tc>
          <w:tcPr>
            <w:tcW w:w="860" w:type="dxa"/>
            <w:vAlign w:val="bottom"/>
          </w:tcPr>
          <w:p>
            <w:pPr>
              <w:spacing w:after="0"/>
              <w:rPr>
                <w:sz w:val="24"/>
                <w:szCs w:val="24"/>
                <w:color w:val="auto"/>
              </w:rPr>
            </w:pPr>
          </w:p>
        </w:tc>
        <w:tc>
          <w:tcPr>
            <w:tcW w:w="3840" w:type="dxa"/>
            <w:vAlign w:val="bottom"/>
          </w:tcPr>
          <w:p>
            <w:pPr>
              <w:ind w:left="420"/>
              <w:spacing w:after="0"/>
              <w:rPr>
                <w:sz w:val="20"/>
                <w:szCs w:val="20"/>
                <w:color w:val="auto"/>
              </w:rPr>
            </w:pPr>
            <w:r>
              <w:rPr>
                <w:rFonts w:ascii="Arial" w:cs="Arial" w:eastAsia="Arial" w:hAnsi="Arial"/>
                <w:sz w:val="20"/>
                <w:szCs w:val="20"/>
                <w:color w:val="auto"/>
              </w:rPr>
              <w:t>Accounting authority order</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ACE</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Affordable Clean Energy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American Electric Power Company, Inc.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Allowance for funds used during construction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Asset retirement obligations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Bluescape</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Bluescape Energy Partners, LLC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BSER</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Best system of emission reduction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Clean Air Act Amendments of 1990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Coal combustion residuals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line="242" w:lineRule="exact"/>
              <w:rPr>
                <w:sz w:val="20"/>
                <w:szCs w:val="20"/>
                <w:color w:val="auto"/>
              </w:rPr>
            </w:pPr>
            <w:r>
              <w:rPr>
                <w:rFonts w:ascii="Arial" w:cs="Arial" w:eastAsia="Arial" w:hAnsi="Arial"/>
                <w:sz w:val="20"/>
                <w:szCs w:val="20"/>
                <w:b w:val="1"/>
                <w:bCs w:val="1"/>
                <w:color w:val="auto"/>
              </w:rPr>
              <w:t>CO</w:t>
            </w:r>
            <w:r>
              <w:rPr>
                <w:rFonts w:ascii="Arial" w:cs="Arial" w:eastAsia="Arial" w:hAnsi="Arial"/>
                <w:sz w:val="25"/>
                <w:szCs w:val="25"/>
                <w:b w:val="1"/>
                <w:bCs w:val="1"/>
                <w:color w:val="auto"/>
                <w:vertAlign w:val="subscript"/>
              </w:rPr>
              <w:t>2</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Carbon dioxide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Corporate-owned life insurance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COVID-19</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Coronavirus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CPP</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Clean Power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DOE</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Department of Energy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Effluent limitations guidelines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Environmental Protection Agency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Earnings per common share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Earnings Review and Sharing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Evergy, Inc.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Evergy Board of Directors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tcPr>
          <w:p>
            <w:pPr>
              <w:spacing w:after="0" w:line="198" w:lineRule="exact"/>
              <w:rPr>
                <w:sz w:val="20"/>
                <w:szCs w:val="20"/>
                <w:color w:val="auto"/>
              </w:rPr>
            </w:pPr>
            <w:r>
              <w:rPr>
                <w:rFonts w:ascii="Arial" w:cs="Arial" w:eastAsia="Arial" w:hAnsi="Arial"/>
                <w:sz w:val="20"/>
                <w:szCs w:val="20"/>
                <w:b w:val="1"/>
                <w:bCs w:val="1"/>
                <w:color w:val="auto"/>
              </w:rPr>
              <w:t>Evergy Companies</w:t>
            </w:r>
          </w:p>
        </w:tc>
        <w:tc>
          <w:tcPr>
            <w:tcW w:w="8160" w:type="dxa"/>
            <w:vAlign w:val="bottom"/>
            <w:gridSpan w:val="3"/>
          </w:tcPr>
          <w:p>
            <w:pPr>
              <w:ind w:left="420"/>
              <w:spacing w:after="0" w:line="198" w:lineRule="exact"/>
              <w:rPr>
                <w:sz w:val="20"/>
                <w:szCs w:val="20"/>
                <w:color w:val="auto"/>
              </w:rPr>
            </w:pPr>
            <w:r>
              <w:rPr>
                <w:rFonts w:ascii="Arial" w:cs="Arial" w:eastAsia="Arial" w:hAnsi="Arial"/>
                <w:sz w:val="20"/>
                <w:szCs w:val="20"/>
                <w:color w:val="auto"/>
                <w:w w:val="91"/>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Central</w:t>
            </w:r>
          </w:p>
        </w:tc>
        <w:tc>
          <w:tcPr>
            <w:tcW w:w="8160" w:type="dxa"/>
            <w:vAlign w:val="bottom"/>
            <w:gridSpan w:val="3"/>
          </w:tcPr>
          <w:p>
            <w:pPr>
              <w:ind w:left="580"/>
              <w:spacing w:after="0"/>
              <w:rPr>
                <w:sz w:val="20"/>
                <w:szCs w:val="20"/>
                <w:color w:val="auto"/>
              </w:rPr>
            </w:pPr>
            <w:r>
              <w:rPr>
                <w:rFonts w:ascii="Arial" w:cs="Arial" w:eastAsia="Arial" w:hAnsi="Arial"/>
                <w:sz w:val="20"/>
                <w:szCs w:val="20"/>
                <w:color w:val="auto"/>
              </w:rPr>
              <w:t>within the Evergy consolidated group</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8160" w:type="dxa"/>
            <w:vAlign w:val="bottom"/>
            <w:gridSpan w:val="3"/>
          </w:tcPr>
          <w:p>
            <w:pPr>
              <w:ind w:left="420"/>
              <w:spacing w:after="0" w:line="192" w:lineRule="exact"/>
              <w:rPr>
                <w:sz w:val="20"/>
                <w:szCs w:val="20"/>
                <w:color w:val="auto"/>
              </w:rPr>
            </w:pPr>
            <w:r>
              <w:rPr>
                <w:rFonts w:ascii="Arial" w:cs="Arial" w:eastAsia="Arial" w:hAnsi="Arial"/>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South</w:t>
            </w:r>
          </w:p>
        </w:tc>
        <w:tc>
          <w:tcPr>
            <w:tcW w:w="8160" w:type="dxa"/>
            <w:vAlign w:val="bottom"/>
            <w:gridSpan w:val="3"/>
          </w:tcPr>
          <w:p>
            <w:pPr>
              <w:ind w:left="580"/>
              <w:spacing w:after="0"/>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gridSpan w:val="2"/>
            <w:vMerge w:val="continue"/>
          </w:tcPr>
          <w:p>
            <w:pPr>
              <w:spacing w:after="0"/>
              <w:rPr>
                <w:sz w:val="20"/>
                <w:szCs w:val="20"/>
                <w:color w:val="auto"/>
              </w:rPr>
            </w:pP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w w:val="96"/>
              </w:rPr>
              <w:t>Evergy Metro, Inc., a wholly-owned subsidiary of Evergy,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Evergy Transmission Company, LLC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The Securities Exchange Act of 1934, as amended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FERC</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Federal Energy Regulatory Commission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Generally Accepted Accounting Principles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Greenhouse gas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Great Plains Energy Incorporated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Jeffrey Energy Center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State Corporation Commission of the State of Kansas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kV</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Kilovolt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kWh</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Kilowatt hour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MECG</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Midwest Energy Consumers Group</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MPSC</w:t>
            </w:r>
          </w:p>
        </w:tc>
        <w:tc>
          <w:tcPr>
            <w:tcW w:w="8160" w:type="dxa"/>
            <w:vAlign w:val="bottom"/>
            <w:gridSpan w:val="3"/>
          </w:tcPr>
          <w:p>
            <w:pPr>
              <w:ind w:left="420"/>
              <w:spacing w:after="0"/>
              <w:rPr>
                <w:sz w:val="20"/>
                <w:szCs w:val="20"/>
                <w:color w:val="auto"/>
              </w:rPr>
            </w:pPr>
            <w:r>
              <w:rPr>
                <w:rFonts w:ascii="Arial" w:cs="Arial" w:eastAsia="Arial" w:hAnsi="Arial"/>
                <w:sz w:val="20"/>
                <w:szCs w:val="20"/>
                <w:color w:val="auto"/>
              </w:rPr>
              <w:t>Public Service Commission of the State of Missouri</w:t>
            </w: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40" w:type="dxa"/>
            <w:vAlign w:val="bottom"/>
          </w:tcPr>
          <w:p>
            <w:pPr>
              <w:ind w:left="250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254"/>
        </w:trPr>
        <w:tc>
          <w:tcPr>
            <w:tcW w:w="20" w:type="dxa"/>
            <w:vAlign w:val="bottom"/>
          </w:tcPr>
          <w:p>
            <w:pPr>
              <w:spacing w:after="0"/>
              <w:rPr>
                <w:sz w:val="22"/>
                <w:szCs w:val="22"/>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MW</w:t>
            </w:r>
          </w:p>
        </w:tc>
        <w:tc>
          <w:tcPr>
            <w:tcW w:w="64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Arial" w:cs="Arial" w:eastAsia="Arial" w:hAnsi="Arial"/>
                <w:sz w:val="20"/>
                <w:szCs w:val="20"/>
                <w:color w:val="auto"/>
              </w:rPr>
              <w:t>Megawatt</w:t>
            </w:r>
          </w:p>
        </w:tc>
        <w:tc>
          <w:tcPr>
            <w:tcW w:w="840" w:type="dxa"/>
            <w:vAlign w:val="bottom"/>
            <w:tcBorders>
              <w:top w:val="single" w:sz="8" w:color="auto"/>
            </w:tcBorders>
          </w:tcPr>
          <w:p>
            <w:pPr>
              <w:spacing w:after="0"/>
              <w:rPr>
                <w:sz w:val="22"/>
                <w:szCs w:val="22"/>
                <w:color w:val="auto"/>
              </w:rPr>
            </w:pPr>
          </w:p>
        </w:tc>
        <w:tc>
          <w:tcPr>
            <w:tcW w:w="348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 hour</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National Ambient Air Quality Standards</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Net asset value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OCI</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Other comprehensive income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Office of the Public Counsel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Restricted share unit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Regional transmission organization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Securities and Exchange Commission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Southwest Power Pool, Inc.</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TDC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delivery charge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formula rate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w w:val="92"/>
              </w:rPr>
              <w:t>Transource Energy, LLC and its subsidiaries, 13.5% owned by Evergy Transmission Company</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VIE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Variable interest entity</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Wolf Creek Generating Station</w:t>
            </w:r>
          </w:p>
        </w:tc>
      </w:tr>
      <w:tr>
        <w:trPr>
          <w:trHeight w:val="84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w w:val="97"/>
              </w:rPr>
              <w:t>March 31</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2480" w:type="dxa"/>
            <w:vAlign w:val="bottom"/>
            <w:gridSpan w:val="3"/>
          </w:tcPr>
          <w:p>
            <w:pPr>
              <w:jc w:val="right"/>
              <w:ind w:right="359"/>
              <w:spacing w:after="0"/>
              <w:rPr>
                <w:sz w:val="20"/>
                <w:szCs w:val="20"/>
                <w:color w:val="auto"/>
              </w:rPr>
            </w:pPr>
            <w:r>
              <w:rPr>
                <w:rFonts w:ascii="Arial" w:cs="Arial" w:eastAsia="Arial" w:hAnsi="Arial"/>
                <w:sz w:val="14"/>
                <w:szCs w:val="14"/>
                <w:color w:val="auto"/>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482.0</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144.9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$23.6 and $19.3, respectively</w:t>
            </w:r>
          </w:p>
        </w:tc>
        <w:tc>
          <w:tcPr>
            <w:tcW w:w="30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247.5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273.9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365.0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Fuel inventory and supplies</w:t>
            </w:r>
          </w:p>
        </w:tc>
        <w:tc>
          <w:tcPr>
            <w:tcW w:w="30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492.3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504.5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59.9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62.9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255.9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206.2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99.3</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71.9</w:t>
            </w: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2,001.9</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1,624.3</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20,102.2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19,951.0</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153.2</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154.9</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2,192.0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1,868.2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686.5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652.1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2,336.6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2,336.6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547.7</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527.7</w:t>
            </w: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5,762.8</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5,384.6</w:t>
            </w: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28,020.1</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27,114.8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w w:val="97"/>
              </w:rPr>
              <w:t>March 31</w:t>
            </w: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right"/>
              <w:ind w:right="359"/>
              <w:spacing w:after="0"/>
              <w:rPr>
                <w:sz w:val="20"/>
                <w:szCs w:val="20"/>
                <w:color w:val="auto"/>
              </w:rPr>
            </w:pPr>
            <w:r>
              <w:rPr>
                <w:rFonts w:ascii="Arial" w:cs="Arial" w:eastAsia="Arial" w:hAnsi="Arial"/>
                <w:sz w:val="14"/>
                <w:szCs w:val="14"/>
                <w:color w:val="auto"/>
              </w:rPr>
              <w:t>(millions, except share amounts)</w:t>
            </w:r>
          </w:p>
        </w:tc>
        <w:tc>
          <w:tcPr>
            <w:tcW w:w="0" w:type="dxa"/>
            <w:vAlign w:val="bottom"/>
          </w:tcPr>
          <w:p>
            <w:pPr>
              <w:spacing w:after="0"/>
              <w:rPr>
                <w:sz w:val="1"/>
                <w:szCs w:val="1"/>
                <w:color w:val="auto"/>
              </w:rPr>
            </w:pP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533.5</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436.4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and commercial paper</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1,295.0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315.0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Collateralized note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365.0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345.3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231.2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148.2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92.8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31.3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57.3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144.8</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3,244.4</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2,355.8</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9,090.6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9,190.9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1,707.6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1,664.8</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185.2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2,647.0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2,638.8</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1,136.3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1,149.4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914.0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901.7</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300.6</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15,981.3</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16,040.5</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Inc. 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0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Common stock - 600,000,000 shares authorized, without par value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7,081.5</w:t>
            </w:r>
          </w:p>
        </w:tc>
        <w:tc>
          <w:tcPr>
            <w:tcW w:w="4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7,080.0</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226,995,620 and 226,836,670 shares issued, stated value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1,772.8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1,702.8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(48.0)</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07"/>
        </w:trPr>
        <w:tc>
          <w:tcPr>
            <w:tcW w:w="8400" w:type="dxa"/>
            <w:vAlign w:val="bottom"/>
          </w:tcPr>
          <w:p>
            <w:pPr>
              <w:ind w:left="480"/>
              <w:spacing w:after="0"/>
              <w:rPr>
                <w:sz w:val="20"/>
                <w:szCs w:val="20"/>
                <w:color w:val="auto"/>
              </w:rPr>
            </w:pPr>
            <w:r>
              <w:rPr>
                <w:rFonts w:ascii="Arial" w:cs="Arial" w:eastAsia="Arial" w:hAnsi="Arial"/>
                <w:sz w:val="16"/>
                <w:szCs w:val="16"/>
                <w:color w:val="auto"/>
              </w:rPr>
              <w:t>Total Evergy, Inc. Shareholders' Equity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8,806.3</w:t>
            </w:r>
          </w:p>
        </w:tc>
        <w:tc>
          <w:tcPr>
            <w:tcW w:w="44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8,733.4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(11.9)</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8,794.4</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8,718.5</w:t>
            </w:r>
          </w:p>
        </w:tc>
        <w:tc>
          <w:tcPr>
            <w:tcW w:w="0" w:type="dxa"/>
            <w:vAlign w:val="bottom"/>
          </w:tcPr>
          <w:p>
            <w:pPr>
              <w:spacing w:after="0"/>
              <w:rPr>
                <w:sz w:val="1"/>
                <w:szCs w:val="1"/>
                <w:color w:val="auto"/>
              </w:rPr>
            </w:pP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28,020.1</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27,114.8</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r>
      <w:tr>
        <w:trPr>
          <w:trHeight w:val="186"/>
        </w:trPr>
        <w:tc>
          <w:tcPr>
            <w:tcW w:w="8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3"/>
          </w:tcPr>
          <w:p>
            <w:pPr>
              <w:jc w:val="right"/>
              <w:ind w:right="339"/>
              <w:spacing w:after="0"/>
              <w:rPr>
                <w:sz w:val="20"/>
                <w:szCs w:val="20"/>
                <w:color w:val="auto"/>
              </w:rPr>
            </w:pPr>
            <w:r>
              <w:rPr>
                <w:rFonts w:ascii="Arial" w:cs="Arial" w:eastAsia="Arial" w:hAnsi="Arial"/>
                <w:sz w:val="14"/>
                <w:szCs w:val="14"/>
                <w:color w:val="auto"/>
                <w:w w:val="94"/>
              </w:rPr>
              <w:t>(millions, except per share amounts)</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1,611.9</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1,116.7</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635.1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3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69.4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275.5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219.3</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218.5</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94.9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1,294.2</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919.2</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317.7</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3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11.2</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(8.1)</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94.0</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w:t>
            </w: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215.6</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194.6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INC.</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191.6</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r>
      <w:tr>
        <w:trPr>
          <w:trHeight w:val="166"/>
        </w:trPr>
        <w:tc>
          <w:tcPr>
            <w:tcW w:w="8300" w:type="dxa"/>
            <w:vAlign w:val="bottom"/>
          </w:tcPr>
          <w:p>
            <w:pPr>
              <w:ind w:left="20"/>
              <w:spacing w:after="0" w:line="166" w:lineRule="exact"/>
              <w:rPr>
                <w:sz w:val="20"/>
                <w:szCs w:val="20"/>
                <w:color w:val="auto"/>
              </w:rPr>
            </w:pPr>
            <w:r>
              <w:rPr>
                <w:rFonts w:ascii="Arial" w:cs="Arial" w:eastAsia="Arial" w:hAnsi="Arial"/>
                <w:sz w:val="16"/>
                <w:szCs w:val="16"/>
                <w:color w:val="auto"/>
              </w:rPr>
              <w:t>BASIC AND DILUTED EARNINGS PER AVERAGE COMMON SHARE OUTSTANDING ATTRIBUTABLE TO</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9"/>
        </w:trPr>
        <w:tc>
          <w:tcPr>
            <w:tcW w:w="8300" w:type="dxa"/>
            <w:vAlign w:val="bottom"/>
          </w:tcPr>
          <w:p>
            <w:pPr>
              <w:ind w:left="180"/>
              <w:spacing w:after="0"/>
              <w:rPr>
                <w:sz w:val="20"/>
                <w:szCs w:val="20"/>
                <w:color w:val="auto"/>
              </w:rPr>
            </w:pPr>
            <w:r>
              <w:rPr>
                <w:rFonts w:ascii="Arial" w:cs="Arial" w:eastAsia="Arial" w:hAnsi="Arial"/>
                <w:sz w:val="16"/>
                <w:szCs w:val="16"/>
                <w:color w:val="auto"/>
              </w:rPr>
              <w:t>EVERGY, INC. (see Note 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0.84</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0.84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COMMON SHARES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227.3</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227.1</w:t>
            </w:r>
          </w:p>
        </w:tc>
      </w:tr>
      <w:tr>
        <w:trPr>
          <w:trHeight w:val="226"/>
        </w:trPr>
        <w:tc>
          <w:tcPr>
            <w:tcW w:w="8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227.6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227.5</w:t>
            </w: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194.6</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Derivative hedging activity</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Derivative hedging activity, net of tax</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1.4</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6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196.0</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73.5</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3.0</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 ATTRIBUTABLE TO EVERGY, INC.</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193.0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194.6</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219.3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13.3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20.0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(82.6)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90.4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(324.6)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39.4</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(467.7)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(354.4)</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40.9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0.8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(475.2)</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980.0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493.1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short-term borrowings,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0.4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(121.4)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(114.5)</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840.9</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337.1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144.9</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482.0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6"/>
                <w:szCs w:val="16"/>
                <w:b w:val="1"/>
                <w:bCs w:val="1"/>
                <w:color w:val="auto"/>
              </w:rPr>
              <w:t>Evergy, Inc. Shareholders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60" w:type="dxa"/>
            <w:vAlign w:val="bottom"/>
          </w:tcPr>
          <w:p>
            <w:pPr>
              <w:spacing w:after="0"/>
              <w:rPr>
                <w:sz w:val="12"/>
                <w:szCs w:val="12"/>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8"/>
              </w:rPr>
              <w:t>Common</w:t>
            </w:r>
          </w:p>
        </w:tc>
        <w:tc>
          <w:tcPr>
            <w:tcW w:w="140" w:type="dxa"/>
            <w:vAlign w:val="bottom"/>
          </w:tcPr>
          <w:p>
            <w:pPr>
              <w:spacing w:after="0"/>
              <w:rPr>
                <w:sz w:val="12"/>
                <w:szCs w:val="12"/>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4"/>
              </w:rPr>
              <w:t>Retained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AOCI</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2"/>
              </w:rPr>
              <w:t>earnings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interests</w:t>
            </w:r>
          </w:p>
        </w:tc>
        <w:tc>
          <w:tcPr>
            <w:tcW w:w="10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7"/>
          </w:tcPr>
          <w:p>
            <w:pPr>
              <w:jc w:val="right"/>
              <w:ind w:right="60"/>
              <w:spacing w:after="0"/>
              <w:rPr>
                <w:sz w:val="20"/>
                <w:szCs w:val="20"/>
                <w:color w:val="auto"/>
              </w:rPr>
            </w:pPr>
            <w:r>
              <w:rPr>
                <w:rFonts w:ascii="Arial" w:cs="Arial" w:eastAsia="Arial" w:hAnsi="Arial"/>
                <w:sz w:val="16"/>
                <w:szCs w:val="16"/>
                <w:color w:val="auto"/>
              </w:rPr>
              <w:t>(millions, except share amounts)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226,641,443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1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97,305</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Dividends declared on common stock ($0.505 per share)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226,738,748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8,505.4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226,836,670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104,896</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6"/>
                <w:szCs w:val="16"/>
                <w:color w:val="auto"/>
              </w:rPr>
              <w:t>Issuance of restricted common stock</w:t>
            </w:r>
          </w:p>
        </w:tc>
        <w:tc>
          <w:tcPr>
            <w:tcW w:w="1240" w:type="dxa"/>
            <w:vAlign w:val="bottom"/>
          </w:tcPr>
          <w:p>
            <w:pPr>
              <w:jc w:val="right"/>
              <w:spacing w:after="0"/>
              <w:rPr>
                <w:sz w:val="20"/>
                <w:szCs w:val="20"/>
                <w:color w:val="auto"/>
              </w:rPr>
            </w:pPr>
            <w:r>
              <w:rPr>
                <w:rFonts w:ascii="Arial" w:cs="Arial" w:eastAsia="Arial" w:hAnsi="Arial"/>
                <w:sz w:val="16"/>
                <w:szCs w:val="16"/>
                <w:color w:val="auto"/>
              </w:rPr>
              <w:t>54,054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restricted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226,995,620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March 31</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96.1</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28.7</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$8.8 and $7.5, respectively</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209.1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218.9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6.7</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185.0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271.2</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276.4</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19.0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122.4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96.2</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49.7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27.4</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964.3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859.6</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10,246.4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10,193.6</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153.2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154.9</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900.3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800.1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327.7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309.8</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279.6</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271.1</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1,507.6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1,381.0</w:t>
            </w: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12,871.5</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12,589.1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March 31</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245.0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185.0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150.2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280.1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10.1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21.7</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149.6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101.5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92.0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12.9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11.2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24.5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105.4</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133.5</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985.9</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892.6</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3,932.2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3,931.5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841.8</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824.5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64.6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65.7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1,468.3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1,461.0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546.1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560.3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421.9</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416.0</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148.8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156.7</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7,423.7</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7,415.7</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Kansas Central, Inc. Shareholder's Equity:</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2,737.6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2,737.6</w:t>
            </w:r>
          </w:p>
        </w:tc>
      </w:tr>
      <w:tr>
        <w:trPr>
          <w:trHeight w:val="213"/>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1,736.2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1,558.1</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Evergy Kansas Central, Inc. Shareholder's Equity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4,473.8</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4,295.7</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(11.9)</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(14.9)</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4,461.9</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4,280.8</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12,871.5</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12,589.1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r>
      <w:tr>
        <w:trPr>
          <w:trHeight w:val="186"/>
        </w:trPr>
        <w:tc>
          <w:tcPr>
            <w:tcW w:w="8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4"/>
                <w:szCs w:val="14"/>
                <w:color w:val="auto"/>
              </w:rPr>
              <w:t>(millions)</w:t>
            </w: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901.1</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560.1</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294.8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69.4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130.8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115.5</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112.1</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50.3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660.8</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445.6</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240.3</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loss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6.5</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 Net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40.3</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196.8</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61.8</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16.6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0.9</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181.1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KANSAS CENTRAL, INC.</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178.1</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181.1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4.7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(109.9)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100.6</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(214.0)</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195.0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0.4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8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180.8</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12"/>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67.4</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28.7</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8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9"/>
              </w:rPr>
              <w:t>Evergy Kansas Central, Inc. Shareholder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5"/>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right"/>
              <w:ind w:right="679"/>
              <w:spacing w:after="0"/>
              <w:rPr>
                <w:sz w:val="20"/>
                <w:szCs w:val="20"/>
                <w:color w:val="auto"/>
              </w:rPr>
            </w:pPr>
            <w:r>
              <w:rPr>
                <w:rFonts w:ascii="Arial" w:cs="Arial" w:eastAsia="Arial" w:hAnsi="Arial"/>
                <w:sz w:val="14"/>
                <w:szCs w:val="14"/>
                <w:color w:val="auto"/>
              </w:rPr>
              <w:t>(millions, except share amounts)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4,205.0</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4,200.2</w:t>
            </w: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1,558.1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4,280.8</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4,461.9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7" w:name="page18"/>
    <w:bookmarkEnd w:id="1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March 31</w:t>
            </w:r>
          </w:p>
        </w:tc>
        <w:tc>
          <w:tcPr>
            <w:tcW w:w="144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r>
      <w:tr>
        <w:trPr>
          <w:trHeight w:val="210"/>
        </w:trPr>
        <w:tc>
          <w:tcPr>
            <w:tcW w:w="8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2500" w:type="dxa"/>
            <w:vAlign w:val="bottom"/>
            <w:gridSpan w:val="3"/>
          </w:tcPr>
          <w:p>
            <w:pPr>
              <w:jc w:val="right"/>
              <w:ind w:right="379"/>
              <w:spacing w:after="0"/>
              <w:rPr>
                <w:sz w:val="20"/>
                <w:szCs w:val="20"/>
                <w:color w:val="auto"/>
              </w:rPr>
            </w:pPr>
            <w:r>
              <w:rPr>
                <w:rFonts w:ascii="Arial" w:cs="Arial" w:eastAsia="Arial" w:hAnsi="Arial"/>
                <w:sz w:val="14"/>
                <w:szCs w:val="14"/>
                <w:color w:val="auto"/>
              </w:rPr>
              <w:t>(millions, except share amounts)</w:t>
            </w:r>
          </w:p>
        </w:tc>
      </w:tr>
      <w:tr>
        <w:trPr>
          <w:trHeight w:val="219"/>
        </w:trPr>
        <w:tc>
          <w:tcPr>
            <w:tcW w:w="838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8.4</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71.6</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Receivables, net of allowance for credit losses of $9.9 and $8.1, respectively</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37.9</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45.0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Related party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409.2</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225.6</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130.0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130.0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inventory and supplies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167.5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170.4</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3.2</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60.0</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82.0</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25.3</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22.9</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16.9</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14.2</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855.2</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764.9</w:t>
            </w:r>
          </w:p>
        </w:tc>
      </w:tr>
      <w:tr>
        <w:trPr>
          <w:trHeight w:val="212"/>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7,189.2</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7,141.2</w:t>
            </w:r>
          </w:p>
        </w:tc>
      </w:tr>
      <w:tr>
        <w:trPr>
          <w:trHeight w:val="207"/>
        </w:trPr>
        <w:tc>
          <w:tcPr>
            <w:tcW w:w="8380" w:type="dxa"/>
            <w:vAlign w:val="bottom"/>
          </w:tcPr>
          <w:p>
            <w:pPr>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515.5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533.5</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358.8</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342.3</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134.8</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133.9</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1,009.1</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1,009.7</w:t>
            </w:r>
          </w:p>
        </w:tc>
      </w:tr>
      <w:tr>
        <w:trPr>
          <w:trHeight w:val="219"/>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9,053.5</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8,915.8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March 31</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and commercial paper</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115.0</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Collateralized note payable</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130.0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130.0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168.5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280.1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Related party payables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0.1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89.2</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34.9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39.7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73.1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13.2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21.2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32.9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44.4</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30.2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37.3</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693.3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586.0</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2,923.5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2,923.0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545.7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558.8</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118.1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118.5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904.6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899.4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564.8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565.1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361.6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357.7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149.2</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148.1</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Long-Term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5,567.5</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5,570.6</w:t>
            </w: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9)</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1,563.1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1,563.1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1,225.0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1,191.5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4.6</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4.6</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2,792.7</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2,759.2</w:t>
            </w: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9,053.5</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8,915.8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r>
      <w:tr>
        <w:trPr>
          <w:trHeight w:val="186"/>
        </w:trPr>
        <w:tc>
          <w:tcPr>
            <w:tcW w:w="8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4"/>
                <w:szCs w:val="14"/>
                <w:color w:val="auto"/>
              </w:rPr>
              <w:t>(millions)</w:t>
            </w: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516.2</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375.5</w:t>
            </w: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241.2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Operating and maintenance</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93.4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105.9</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78.4</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213"/>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Taxes other than income tax</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32.0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r>
      <w:tr>
        <w:trPr>
          <w:trHeight w:val="212"/>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445.0</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311.8</w:t>
            </w:r>
          </w:p>
        </w:tc>
      </w:tr>
      <w:tr>
        <w:trPr>
          <w:trHeight w:val="20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FROM OPERATIONS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71.2</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r>
      <w:tr>
        <w:trPr>
          <w:trHeight w:val="19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0.1</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(8.4)</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12"/>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Expense, Net</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(4.3)</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28.3</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38.6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33.5</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33.5</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hedging activity, net of tax</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loss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33.5</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78.4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6.6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(23.2)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(0.3)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(274.6)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15.9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(85.6)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57.5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57.3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10.2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(117.1)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(160.2)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(135.7)</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5.6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money pool lending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100.0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(61.0)</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115.0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(0.1)</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114.9</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w:t>
            </w:r>
          </w:p>
        </w:tc>
      </w:tr>
      <w:tr>
        <w:trPr>
          <w:trHeight w:val="210"/>
        </w:trPr>
        <w:tc>
          <w:tcPr>
            <w:tcW w:w="86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(63.2)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123.1</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71.6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8.4</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Common stock</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AOCI - Net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Common Stock</w:t>
            </w: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87"/>
              </w:rPr>
              <w:t>gains (losses) on</w:t>
            </w:r>
          </w:p>
        </w:tc>
        <w:tc>
          <w:tcPr>
            <w:tcW w:w="160" w:type="dxa"/>
            <w:vAlign w:val="bottom"/>
          </w:tcPr>
          <w:p>
            <w:pPr>
              <w:spacing w:after="0"/>
              <w:rPr>
                <w:sz w:val="14"/>
                <w:szCs w:val="14"/>
                <w:color w:val="auto"/>
              </w:rPr>
            </w:pPr>
          </w:p>
        </w:tc>
        <w:tc>
          <w:tcPr>
            <w:tcW w:w="10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6"/>
              </w:rPr>
              <w:t>Total Equity</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earnings</w:t>
            </w: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5"/>
              </w:rPr>
              <w:t>cash flow hedges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Arial" w:cs="Arial" w:eastAsia="Arial" w:hAnsi="Arial"/>
                <w:sz w:val="14"/>
                <w:szCs w:val="14"/>
                <w:color w:val="auto"/>
              </w:rPr>
              <w:t>(millions, except share amounts)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1,012.8</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2,580.7</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978.4</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2,546.2</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1,191.5</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2,759.2</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rPr>
          <w:sz w:val="20"/>
          <w:szCs w:val="20"/>
          <w:color w:val="auto"/>
        </w:rPr>
      </w:pPr>
      <w:r>
        <w:rPr>
          <w:rFonts w:ascii="Arial" w:cs="Arial" w:eastAsia="Arial" w:hAnsi="Arial"/>
          <w:sz w:val="20"/>
          <w:szCs w:val="20"/>
          <w:b w:val="1"/>
          <w:bCs w:val="1"/>
          <w:color w:val="auto"/>
        </w:rPr>
        <w:t>EVERGY METRO, INC.</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91" w:lineRule="exact"/>
        <w:rPr>
          <w:sz w:val="20"/>
          <w:szCs w:val="20"/>
          <w:color w:val="auto"/>
        </w:rPr>
      </w:pPr>
    </w:p>
    <w:p>
      <w:pPr>
        <w:ind w:left="660" w:right="100" w:hanging="328"/>
        <w:spacing w:after="0" w:line="25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77"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is an integrated, regulated electric utility that provides electricity to customers in the states of Missouri and Kansas.</w:t>
      </w:r>
    </w:p>
    <w:p>
      <w:pPr>
        <w:spacing w:after="0" w:line="6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is an integrated, regulated electric utility that provides electricity to customers in the state of Missouri.</w:t>
      </w:r>
    </w:p>
    <w:p>
      <w:pPr>
        <w:spacing w:after="0" w:line="68"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9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18"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purchased power agreements and engage in the generation, transmission, distribution and sale of electricity to approximately 1.6 million customers in the states of Kansas and Missouri.</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2020 Form 10-K.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2" w:lineRule="exact"/>
        <w:rPr>
          <w:sz w:val="20"/>
          <w:szCs w:val="20"/>
          <w:color w:val="auto"/>
        </w:rPr>
      </w:pPr>
    </w:p>
    <w:p>
      <w:pPr>
        <w:ind w:right="220"/>
        <w:spacing w:after="0" w:line="257" w:lineRule="auto"/>
        <w:rPr>
          <w:sz w:val="20"/>
          <w:szCs w:val="20"/>
          <w:color w:val="auto"/>
        </w:rPr>
      </w:pPr>
      <w:r>
        <w:rPr>
          <w:rFonts w:ascii="Arial" w:cs="Arial" w:eastAsia="Arial" w:hAnsi="Arial"/>
          <w:sz w:val="19"/>
          <w:szCs w:val="19"/>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2" w:lineRule="exact"/>
        <w:rPr>
          <w:sz w:val="20"/>
          <w:szCs w:val="20"/>
          <w:color w:val="auto"/>
        </w:rPr>
      </w:pPr>
    </w:p>
    <w:p>
      <w:pPr>
        <w:ind w:right="740"/>
        <w:spacing w:after="0" w:line="244"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71"/>
              <w:spacing w:after="0" w:line="202" w:lineRule="exact"/>
              <w:rPr>
                <w:sz w:val="20"/>
                <w:szCs w:val="20"/>
                <w:color w:val="auto"/>
              </w:rPr>
            </w:pPr>
            <w:r>
              <w:rPr>
                <w:rFonts w:ascii="Arial" w:cs="Arial" w:eastAsia="Arial" w:hAnsi="Arial"/>
                <w:sz w:val="18"/>
                <w:szCs w:val="18"/>
                <w:b w:val="1"/>
                <w:bCs w:val="1"/>
                <w:color w:val="auto"/>
              </w:rPr>
              <w:t>March 31</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December 31</w:t>
            </w:r>
          </w:p>
        </w:tc>
      </w:tr>
      <w:tr>
        <w:trPr>
          <w:trHeight w:val="230"/>
        </w:trPr>
        <w:tc>
          <w:tcPr>
            <w:tcW w:w="7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500" w:type="dxa"/>
            <w:vAlign w:val="bottom"/>
          </w:tcPr>
          <w:p>
            <w:pPr>
              <w:spacing w:after="0"/>
              <w:rPr>
                <w:sz w:val="19"/>
                <w:szCs w:val="19"/>
                <w:color w:val="auto"/>
              </w:rPr>
            </w:pPr>
          </w:p>
        </w:tc>
        <w:tc>
          <w:tcPr>
            <w:tcW w:w="202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1440" w:type="dxa"/>
            <w:vAlign w:val="bottom"/>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127.5</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2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364.8</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w:t>
            </w:r>
          </w:p>
        </w:tc>
      </w:tr>
      <w:tr>
        <w:trPr>
          <w:trHeight w:val="223"/>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492.3</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75.5</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195.7</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23"/>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271.2</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36.6</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130.9</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167.5</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2021</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29,378.9</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14,239.8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11,414.0</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(11,146.4)</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(5,356.6)</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(4,597.8)</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18,956.8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9,607.5</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6,816.2</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999.8</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565.8</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300.5</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144.7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72.2</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72.5</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0.9</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0.9</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20,102.2</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10,246.4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7,189.2</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2020</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28,914.8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14,095.1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11,161.8</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(10,998.4)</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(5,293.5)</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(4,532.7)</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18,640.7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9,525.9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6,629.1</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1,153.5</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589.1</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433.9</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155.9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77.7</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78.2</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0.9</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0.9</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19,951.0</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10,193.6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7,141.2</w:t>
            </w:r>
          </w:p>
        </w:tc>
      </w:tr>
    </w:tbl>
    <w:p>
      <w:pPr>
        <w:spacing w:after="0" w:line="8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As of March 31, 2021 and December 31, 2020, represents the planned retirement of Evergy Kansas Central analog meters prior to the end of their remaining useful lives.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40" w:type="dxa"/>
            <w:vAlign w:val="bottom"/>
          </w:tcPr>
          <w:p>
            <w:pPr>
              <w:spacing w:after="0"/>
              <w:rPr>
                <w:sz w:val="19"/>
                <w:szCs w:val="19"/>
                <w:color w:val="auto"/>
              </w:rPr>
            </w:pPr>
          </w:p>
        </w:tc>
        <w:tc>
          <w:tcPr>
            <w:tcW w:w="194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160" w:type="dxa"/>
            <w:vAlign w:val="bottom"/>
          </w:tcPr>
          <w:p>
            <w:pPr>
              <w:spacing w:after="0"/>
              <w:rPr>
                <w:sz w:val="19"/>
                <w:szCs w:val="19"/>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(20.9)</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(5.6)</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(7.9)</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(0.5)</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8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(8.4)</w:t>
            </w:r>
          </w:p>
        </w:tc>
        <w:tc>
          <w:tcPr>
            <w:tcW w:w="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2"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To compute basic earnings per share (EPS), Evergy divides net income attributable to Evergy, Inc. by the weighted average number of common shares outstanding. Diluted EPS includes the effect of issuable common shares resulting from restricted share units (RSUs), performance shares, restricted stock and a warrant. Evergy computes the dilutive effects of potential issuances of common shares using the treasury stock method.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19"/>
                <w:szCs w:val="19"/>
                <w:color w:val="auto"/>
              </w:rPr>
            </w:pPr>
          </w:p>
        </w:tc>
        <w:tc>
          <w:tcPr>
            <w:tcW w:w="2940" w:type="dxa"/>
            <w:vAlign w:val="bottom"/>
            <w:gridSpan w:val="3"/>
          </w:tcPr>
          <w:p>
            <w:pPr>
              <w:jc w:val="right"/>
              <w:ind w:right="330"/>
              <w:spacing w:after="0"/>
              <w:rPr>
                <w:sz w:val="20"/>
                <w:szCs w:val="20"/>
                <w:color w:val="auto"/>
              </w:rPr>
            </w:pPr>
            <w:r>
              <w:rPr>
                <w:rFonts w:ascii="Arial" w:cs="Arial" w:eastAsia="Arial" w:hAnsi="Arial"/>
                <w:sz w:val="16"/>
                <w:szCs w:val="16"/>
                <w:color w:val="auto"/>
                <w:w w:val="96"/>
              </w:rPr>
              <w:t>(millions, except per share amounts)</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194.6</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191.6</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227.3</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Effect of dilutive securities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0.3</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dilutive</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227.6</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r>
      <w:tr>
        <w:trPr>
          <w:trHeight w:val="23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Basic and Diluted EPS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0.84</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r>
    </w:tbl>
    <w:p>
      <w:pPr>
        <w:spacing w:after="0" w:line="28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Anti-dilutive shares excluded from the computation of diluted EPS for the three months ended March 31, 2021, were 353,806 RSUs with performance measures and 3,950,000 common shares issuable pursuant to a warrant. Anti-dilutive shares excluded from the computation of diluted EPS for the three months ended March 31, 2020, were 175,991 RSUs with performance measures and 58,714 RSUs with only service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May 2021, Evergy's Board of Directors (Evergy Board) declared a quarterly dividend of $0.535 per share on Evergy's common stock. The common dividend is payable June 21, 2021, to shareholders of record as of May 21,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2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78.6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104.4</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Non-cash financing transactions:</w:t>
            </w: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Issuance of stock for compensation and reinvested dividends</w:t>
            </w:r>
          </w:p>
        </w:tc>
        <w:tc>
          <w:tcPr>
            <w:tcW w:w="18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45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2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31.2</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6"/>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45.4</w:t>
            </w: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6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r>
      <w:tr>
        <w:trPr>
          <w:trHeight w:val="230"/>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1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704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186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6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70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34.6</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2021 Winter Weather Event</w:t>
      </w:r>
    </w:p>
    <w:p>
      <w:pPr>
        <w:spacing w:after="0" w:line="2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In February 2021, much of the central and southern United States, including the service territories of the Evergy Companies, experienced a significant winter weather event that resulted in extremely cold temperatures over a multi-day period. This winter weather event resulted in an increase in the demand for natural gas used by the Evergy Companies for generating electricity and also contributed to the limited availability of other generation resources, including coal and renewables, within the SPP Integrated Marketplace. The Evergy Companies are members of the SPP and, as a result, principally sell and purchase power for the Evergy Companies' retail electric customers through the SPP Integrated Marketplace. These circumstances resulted in higher than normal market prices for both natural gas and power for the duration of the winter weather event. These higher than normal market prices also included make-whole payments calculated by the SPP to compensate natural gas generators within the SPP Integrated Marketplace for costs incurred in excess of revenues. As part of the winter weather event and inclusive of the aforementioned items, Evergy incurred natural gas and purchased power costs, net of wholesale revenues, of $341.3 million. This $341.3 million of net fuel and purchased power costs was primarily driven by $297.3 million of costs at Evergy Missouri West and $120.7 million of costs at Evergy Kansas Central, partially offset by $76.7 million of net wholesale revenues at Evergy Metro. The amount of purchased power costs incurred by the Evergy Companies during the winter weather event is subject to resettlement activity and further review by the SPP. This review and any subsequent resettlement activity could result in increases to the final amount of purchased power costs incurred by the Evergy Companies during the winter weather event and these increases could be material.</w:t>
      </w:r>
    </w:p>
    <w:p>
      <w:pPr>
        <w:spacing w:after="0" w:line="383"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Evergy Companies have fuel recovery mechanisms in their Kansas and Missouri jurisdictions, as applicable, that allow them to defer substantially all of any increased fuel and purchased power costs, net of wholesale revenues, to a regulatory asset or liability for future recovery from or refund to customers. Further, in February 2021, the State Corporation Commission of the State of Kansas (KCC) issued an emergency Accounting Authority Order (AAO) that allowed Evergy Kansas Central and Evergy Metro's Kansas jurisdiction to defer to a regulatory asset any extraordinary costs, including carrying costs, incurred to provide electric service during the winter weather event for consideration in future rate proceedings. See Note 4 for additional information regarding the AAO.</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As of March 31, 2021, the Evergy Companies have deferred substantially all of the fuel and purchased power costs, net of wholesale revenues, related to the winter weather event to a regulatory asset or liability pursuant to the mechanisms discussed above. While the Evergy Companies expect to recover substantially all of any increased fuel and purchased power costs related to the winter weather event from customers, the timing of the cost recovery could be delayed or spread over a longer than typical recovery timeframe by the KCC or the Public Service Commission of the State of Missouri (MPSC) given the extraordinary nature of the winter weather event and to help moderate monthly customer bill impacts.</w:t>
      </w:r>
    </w:p>
    <w:p>
      <w:pPr>
        <w:spacing w:after="0" w:line="19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in February 2021 across the central and southern United States driven by the winter weather event discussed above,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Evergy and Evergy Kansas Central recorded $96.5 million of energy marketing margins in the first quarter of 2021 related to the winter weather event.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7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Evergy</w:t>
            </w:r>
          </w:p>
        </w:tc>
        <w:tc>
          <w:tcPr>
            <w:tcW w:w="2660" w:type="dxa"/>
            <w:vAlign w:val="bottom"/>
            <w:tcBorders>
              <w:top w:val="single" w:sz="8" w:color="auto"/>
              <w:bottom w:val="single" w:sz="8" w:color="auto"/>
            </w:tcBorders>
            <w:gridSpan w:val="2"/>
          </w:tcPr>
          <w:p>
            <w:pPr>
              <w:jc w:val="right"/>
              <w:ind w:right="331"/>
              <w:spacing w:after="0"/>
              <w:rPr>
                <w:sz w:val="20"/>
                <w:szCs w:val="20"/>
                <w:color w:val="auto"/>
              </w:rPr>
            </w:pPr>
            <w:r>
              <w:rPr>
                <w:rFonts w:ascii="Arial" w:cs="Arial" w:eastAsia="Arial" w:hAnsi="Arial"/>
                <w:sz w:val="18"/>
                <w:szCs w:val="18"/>
                <w:b w:val="1"/>
                <w:bCs w:val="1"/>
                <w:color w:val="auto"/>
              </w:rPr>
              <w:t>Evergy Kansas Central</w:t>
            </w:r>
          </w:p>
        </w:tc>
        <w:tc>
          <w:tcPr>
            <w:tcW w:w="5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2"/>
              </w:rPr>
              <w:t>Evergy Metro</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60" w:type="dxa"/>
            <w:vAlign w:val="bottom"/>
          </w:tcPr>
          <w:p>
            <w:pPr>
              <w:jc w:val="right"/>
              <w:ind w:right="911"/>
              <w:spacing w:after="0"/>
              <w:rPr>
                <w:sz w:val="20"/>
                <w:szCs w:val="20"/>
                <w:color w:val="auto"/>
              </w:rPr>
            </w:pPr>
            <w:r>
              <w:rPr>
                <w:rFonts w:ascii="Arial" w:cs="Arial" w:eastAsia="Arial" w:hAnsi="Arial"/>
                <w:sz w:val="16"/>
                <w:szCs w:val="16"/>
                <w:color w:val="auto"/>
              </w:rPr>
              <w:t>(millions)</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396.7</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183.4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122.2</w:t>
            </w: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346.0</w:t>
            </w:r>
          </w:p>
        </w:tc>
        <w:tc>
          <w:tcPr>
            <w:tcW w:w="900" w:type="dxa"/>
            <w:vAlign w:val="bottom"/>
          </w:tcPr>
          <w:p>
            <w:pPr>
              <w:spacing w:after="0"/>
              <w:rPr>
                <w:sz w:val="19"/>
                <w:szCs w:val="19"/>
                <w:color w:val="auto"/>
              </w:rPr>
            </w:pPr>
          </w:p>
        </w:tc>
        <w:tc>
          <w:tcPr>
            <w:tcW w:w="1760" w:type="dxa"/>
            <w:vAlign w:val="bottom"/>
          </w:tcPr>
          <w:p>
            <w:pPr>
              <w:jc w:val="right"/>
              <w:ind w:right="631"/>
              <w:spacing w:after="0"/>
              <w:rPr>
                <w:sz w:val="20"/>
                <w:szCs w:val="20"/>
                <w:color w:val="auto"/>
              </w:rPr>
            </w:pPr>
            <w:r>
              <w:rPr>
                <w:rFonts w:ascii="Arial" w:cs="Arial" w:eastAsia="Arial" w:hAnsi="Arial"/>
                <w:sz w:val="18"/>
                <w:szCs w:val="18"/>
                <w:color w:val="auto"/>
              </w:rPr>
              <w:t>153.7</w:t>
            </w:r>
          </w:p>
        </w:tc>
        <w:tc>
          <w:tcPr>
            <w:tcW w:w="520" w:type="dxa"/>
            <w:vAlign w:val="bottom"/>
          </w:tcPr>
          <w:p>
            <w:pPr>
              <w:spacing w:after="0"/>
              <w:rPr>
                <w:sz w:val="19"/>
                <w:szCs w:val="19"/>
                <w:color w:val="auto"/>
              </w:rPr>
            </w:pP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132.5</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133.6</w:t>
            </w:r>
          </w:p>
        </w:tc>
        <w:tc>
          <w:tcPr>
            <w:tcW w:w="9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93.0</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22.3</w:t>
            </w:r>
          </w:p>
        </w:tc>
      </w:tr>
      <w:tr>
        <w:trPr>
          <w:trHeight w:val="229"/>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7.4</w:t>
            </w:r>
          </w:p>
        </w:tc>
        <w:tc>
          <w:tcPr>
            <w:tcW w:w="9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3.2</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2.1</w:t>
            </w:r>
          </w:p>
        </w:tc>
      </w:tr>
      <w:tr>
        <w:trPr>
          <w:trHeight w:val="22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electric retail</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883.7</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433.3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279.1</w:t>
            </w: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78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487.5</w:t>
            </w:r>
          </w:p>
        </w:tc>
        <w:tc>
          <w:tcPr>
            <w:tcW w:w="900" w:type="dxa"/>
            <w:vAlign w:val="bottom"/>
          </w:tcPr>
          <w:p>
            <w:pPr>
              <w:spacing w:after="0"/>
              <w:rPr>
                <w:sz w:val="19"/>
                <w:szCs w:val="19"/>
                <w:color w:val="auto"/>
              </w:rPr>
            </w:pPr>
          </w:p>
        </w:tc>
        <w:tc>
          <w:tcPr>
            <w:tcW w:w="1760" w:type="dxa"/>
            <w:vAlign w:val="bottom"/>
          </w:tcPr>
          <w:p>
            <w:pPr>
              <w:jc w:val="right"/>
              <w:ind w:right="631"/>
              <w:spacing w:after="0"/>
              <w:rPr>
                <w:sz w:val="20"/>
                <w:szCs w:val="20"/>
                <w:color w:val="auto"/>
              </w:rPr>
            </w:pPr>
            <w:r>
              <w:rPr>
                <w:rFonts w:ascii="Arial" w:cs="Arial" w:eastAsia="Arial" w:hAnsi="Arial"/>
                <w:sz w:val="18"/>
                <w:szCs w:val="18"/>
                <w:color w:val="auto"/>
              </w:rPr>
              <w:t>272.4</w:t>
            </w:r>
          </w:p>
        </w:tc>
        <w:tc>
          <w:tcPr>
            <w:tcW w:w="520" w:type="dxa"/>
            <w:vAlign w:val="bottom"/>
          </w:tcPr>
          <w:p>
            <w:pPr>
              <w:spacing w:after="0"/>
              <w:rPr>
                <w:sz w:val="19"/>
                <w:szCs w:val="19"/>
                <w:color w:val="auto"/>
              </w:rPr>
            </w:pP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200.5</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86.0</w:t>
            </w:r>
          </w:p>
        </w:tc>
        <w:tc>
          <w:tcPr>
            <w:tcW w:w="9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77.9</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4.0</w:t>
            </w:r>
          </w:p>
        </w:tc>
      </w:tr>
      <w:tr>
        <w:trPr>
          <w:trHeight w:val="229"/>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Industrial steam and other</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5.2</w:t>
            </w:r>
          </w:p>
        </w:tc>
        <w:tc>
          <w:tcPr>
            <w:tcW w:w="9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0.5</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0.3</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1,462.4</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784.1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483.9</w:t>
            </w: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149.5</w:t>
            </w:r>
          </w:p>
        </w:tc>
        <w:tc>
          <w:tcPr>
            <w:tcW w:w="9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117.0</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32.3</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1,611.9</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901.1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516.2</w:t>
            </w:r>
          </w:p>
        </w:tc>
      </w:tr>
    </w:tbl>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7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Evergy</w:t>
            </w:r>
          </w:p>
        </w:tc>
        <w:tc>
          <w:tcPr>
            <w:tcW w:w="2660" w:type="dxa"/>
            <w:vAlign w:val="bottom"/>
            <w:tcBorders>
              <w:top w:val="single" w:sz="8" w:color="auto"/>
              <w:bottom w:val="single" w:sz="8" w:color="auto"/>
            </w:tcBorders>
            <w:gridSpan w:val="2"/>
          </w:tcPr>
          <w:p>
            <w:pPr>
              <w:jc w:val="right"/>
              <w:ind w:right="331"/>
              <w:spacing w:after="0"/>
              <w:rPr>
                <w:sz w:val="20"/>
                <w:szCs w:val="20"/>
                <w:color w:val="auto"/>
              </w:rPr>
            </w:pPr>
            <w:r>
              <w:rPr>
                <w:rFonts w:ascii="Arial" w:cs="Arial" w:eastAsia="Arial" w:hAnsi="Arial"/>
                <w:sz w:val="18"/>
                <w:szCs w:val="18"/>
                <w:b w:val="1"/>
                <w:bCs w:val="1"/>
                <w:color w:val="auto"/>
              </w:rPr>
              <w:t>Evergy Kansas Central</w:t>
            </w:r>
          </w:p>
        </w:tc>
        <w:tc>
          <w:tcPr>
            <w:tcW w:w="5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2"/>
              </w:rPr>
              <w:t>Evergy Metro</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60" w:type="dxa"/>
            <w:vAlign w:val="bottom"/>
          </w:tcPr>
          <w:p>
            <w:pPr>
              <w:jc w:val="right"/>
              <w:ind w:right="911"/>
              <w:spacing w:after="0"/>
              <w:rPr>
                <w:sz w:val="20"/>
                <w:szCs w:val="20"/>
                <w:color w:val="auto"/>
              </w:rPr>
            </w:pPr>
            <w:r>
              <w:rPr>
                <w:rFonts w:ascii="Arial" w:cs="Arial" w:eastAsia="Arial" w:hAnsi="Arial"/>
                <w:sz w:val="16"/>
                <w:szCs w:val="16"/>
                <w:color w:val="auto"/>
              </w:rPr>
              <w:t>(millions)</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402.5</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167.8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147.4</w:t>
            </w: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384.7</w:t>
            </w:r>
          </w:p>
        </w:tc>
        <w:tc>
          <w:tcPr>
            <w:tcW w:w="900" w:type="dxa"/>
            <w:vAlign w:val="bottom"/>
          </w:tcPr>
          <w:p>
            <w:pPr>
              <w:spacing w:after="0"/>
              <w:rPr>
                <w:sz w:val="19"/>
                <w:szCs w:val="19"/>
                <w:color w:val="auto"/>
              </w:rPr>
            </w:pPr>
          </w:p>
        </w:tc>
        <w:tc>
          <w:tcPr>
            <w:tcW w:w="1760" w:type="dxa"/>
            <w:vAlign w:val="bottom"/>
          </w:tcPr>
          <w:p>
            <w:pPr>
              <w:jc w:val="right"/>
              <w:ind w:right="631"/>
              <w:spacing w:after="0"/>
              <w:rPr>
                <w:sz w:val="20"/>
                <w:szCs w:val="20"/>
                <w:color w:val="auto"/>
              </w:rPr>
            </w:pPr>
            <w:r>
              <w:rPr>
                <w:rFonts w:ascii="Arial" w:cs="Arial" w:eastAsia="Arial" w:hAnsi="Arial"/>
                <w:sz w:val="18"/>
                <w:szCs w:val="18"/>
                <w:color w:val="auto"/>
              </w:rPr>
              <w:t>151.1</w:t>
            </w:r>
          </w:p>
        </w:tc>
        <w:tc>
          <w:tcPr>
            <w:tcW w:w="520" w:type="dxa"/>
            <w:vAlign w:val="bottom"/>
          </w:tcPr>
          <w:p>
            <w:pPr>
              <w:spacing w:after="0"/>
              <w:rPr>
                <w:sz w:val="19"/>
                <w:szCs w:val="19"/>
                <w:color w:val="auto"/>
              </w:rPr>
            </w:pP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172.1</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140.6</w:t>
            </w:r>
          </w:p>
        </w:tc>
        <w:tc>
          <w:tcPr>
            <w:tcW w:w="9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92.1</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30.1</w:t>
            </w:r>
          </w:p>
        </w:tc>
      </w:tr>
      <w:tr>
        <w:trPr>
          <w:trHeight w:val="230"/>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10.6</w:t>
            </w:r>
          </w:p>
        </w:tc>
        <w:tc>
          <w:tcPr>
            <w:tcW w:w="9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4.7</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3.5</w:t>
            </w:r>
          </w:p>
        </w:tc>
      </w:tr>
      <w:tr>
        <w:trPr>
          <w:trHeight w:val="22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electric retail</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938.4</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415.7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353.1</w:t>
            </w: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78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63.5</w:t>
            </w:r>
          </w:p>
        </w:tc>
        <w:tc>
          <w:tcPr>
            <w:tcW w:w="900" w:type="dxa"/>
            <w:vAlign w:val="bottom"/>
          </w:tcPr>
          <w:p>
            <w:pPr>
              <w:spacing w:after="0"/>
              <w:rPr>
                <w:sz w:val="19"/>
                <w:szCs w:val="19"/>
                <w:color w:val="auto"/>
              </w:rPr>
            </w:pPr>
          </w:p>
        </w:tc>
        <w:tc>
          <w:tcPr>
            <w:tcW w:w="1760" w:type="dxa"/>
            <w:vAlign w:val="bottom"/>
          </w:tcPr>
          <w:p>
            <w:pPr>
              <w:jc w:val="right"/>
              <w:ind w:right="631"/>
              <w:spacing w:after="0"/>
              <w:rPr>
                <w:sz w:val="20"/>
                <w:szCs w:val="20"/>
                <w:color w:val="auto"/>
              </w:rPr>
            </w:pPr>
            <w:r>
              <w:rPr>
                <w:rFonts w:ascii="Arial" w:cs="Arial" w:eastAsia="Arial" w:hAnsi="Arial"/>
                <w:sz w:val="18"/>
                <w:szCs w:val="18"/>
                <w:color w:val="auto"/>
              </w:rPr>
              <w:t>54.8</w:t>
            </w:r>
          </w:p>
        </w:tc>
        <w:tc>
          <w:tcPr>
            <w:tcW w:w="520" w:type="dxa"/>
            <w:vAlign w:val="bottom"/>
          </w:tcPr>
          <w:p>
            <w:pPr>
              <w:spacing w:after="0"/>
              <w:rPr>
                <w:sz w:val="19"/>
                <w:szCs w:val="19"/>
                <w:color w:val="auto"/>
              </w:rPr>
            </w:pP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6.8</w:t>
            </w: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75.6</w:t>
            </w:r>
          </w:p>
        </w:tc>
        <w:tc>
          <w:tcPr>
            <w:tcW w:w="9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68.2</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3.1</w:t>
            </w:r>
          </w:p>
        </w:tc>
      </w:tr>
      <w:tr>
        <w:trPr>
          <w:trHeight w:val="230"/>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Industrial steam and other</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8.4</w:t>
            </w:r>
          </w:p>
        </w:tc>
        <w:tc>
          <w:tcPr>
            <w:tcW w:w="9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0.4</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1,085.9</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542.2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363.4</w:t>
            </w: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30.8</w:t>
            </w:r>
          </w:p>
        </w:tc>
        <w:tc>
          <w:tcPr>
            <w:tcW w:w="9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17.9</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12.1</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1,116.7</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560.1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375.5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RECEIVABLES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4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62.2</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205.1</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(23.6)</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247.5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200.9</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209.1</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bl>
    <w:p>
      <w:pPr>
        <w:spacing w:after="0" w:line="294"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color w:val="auto"/>
        </w:rPr>
        <w:t>The Evergy Companies' other receivables at March 31, 2021 and December 31, 2020,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tcPr>
          <w:p>
            <w:pPr>
              <w:jc w:val="center"/>
              <w:ind w:left="3370"/>
              <w:spacing w:after="0"/>
              <w:rPr>
                <w:sz w:val="20"/>
                <w:szCs w:val="20"/>
                <w:color w:val="auto"/>
              </w:rPr>
            </w:pPr>
            <w:r>
              <w:rPr>
                <w:rFonts w:ascii="Arial" w:cs="Arial" w:eastAsia="Arial" w:hAnsi="Arial"/>
                <w:sz w:val="18"/>
                <w:szCs w:val="18"/>
                <w:b w:val="1"/>
                <w:bCs w:val="1"/>
                <w:color w:val="auto"/>
                <w:w w:val="94"/>
              </w:rPr>
              <w:t>March 31</w:t>
            </w:r>
          </w:p>
        </w:tc>
        <w:tc>
          <w:tcPr>
            <w:tcW w:w="5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7"/>
        </w:trPr>
        <w:tc>
          <w:tcPr>
            <w:tcW w:w="47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7"/>
                <w:szCs w:val="17"/>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2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6"/>
              </w:rPr>
              <w:t>85.7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24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70.5</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6"/>
              </w:rPr>
              <w:t>13.8</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Evergy Companies' allowance for credit losses is summarized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5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20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20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23.6</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20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20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tcPr>
          <w:p>
            <w:pPr>
              <w:spacing w:after="0"/>
              <w:rPr>
                <w:sz w:val="21"/>
                <w:szCs w:val="21"/>
                <w:color w:val="auto"/>
              </w:rPr>
            </w:pPr>
          </w:p>
        </w:tc>
        <w:tc>
          <w:tcPr>
            <w:tcW w:w="4180" w:type="dxa"/>
            <w:vAlign w:val="bottom"/>
            <w:tcBorders>
              <w:top w:val="single" w:sz="8" w:color="auto"/>
            </w:tcBorders>
          </w:tcPr>
          <w:p>
            <w:pPr>
              <w:jc w:val="center"/>
              <w:ind w:left="3310"/>
              <w:spacing w:after="0"/>
              <w:rPr>
                <w:sz w:val="20"/>
                <w:szCs w:val="20"/>
                <w:color w:val="auto"/>
              </w:rPr>
            </w:pPr>
            <w:r>
              <w:rPr>
                <w:rFonts w:ascii="Arial" w:cs="Arial" w:eastAsia="Arial" w:hAnsi="Arial"/>
                <w:sz w:val="18"/>
                <w:szCs w:val="18"/>
                <w:b w:val="1"/>
                <w:bCs w:val="1"/>
                <w:color w:val="auto"/>
                <w:w w:val="94"/>
              </w:rPr>
              <w:t>March 31</w:t>
            </w:r>
          </w:p>
        </w:tc>
        <w:tc>
          <w:tcPr>
            <w:tcW w:w="5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w:t>
            </w:r>
          </w:p>
        </w:tc>
      </w:tr>
      <w:tr>
        <w:trPr>
          <w:trHeight w:val="234"/>
        </w:trPr>
        <w:tc>
          <w:tcPr>
            <w:tcW w:w="46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06"/>
        </w:trPr>
        <w:tc>
          <w:tcPr>
            <w:tcW w:w="46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460" w:type="dxa"/>
            <w:vAlign w:val="bottom"/>
          </w:tcPr>
          <w:p>
            <w:pPr>
              <w:spacing w:after="0"/>
              <w:rPr>
                <w:sz w:val="17"/>
                <w:szCs w:val="17"/>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1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365.0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18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185.0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37"/>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130.0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bl>
    <w:p>
      <w:pPr>
        <w:spacing w:after="0" w:line="280"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Each receivable sale facility expires in 2024. Evergy Kansas Central's facility allows for $185.0 million in aggregate outstanding principal amount of borrowings from mid-October through mid-June and then $200.0 million 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2021 Transmission Delivery Charge (TDC)</w:t>
      </w:r>
    </w:p>
    <w:p>
      <w:pPr>
        <w:jc w:val="both"/>
        <w:ind w:right="220"/>
        <w:spacing w:after="0" w:line="260" w:lineRule="auto"/>
        <w:rPr>
          <w:sz w:val="20"/>
          <w:szCs w:val="20"/>
          <w:color w:val="auto"/>
        </w:rPr>
      </w:pPr>
      <w:r>
        <w:rPr>
          <w:rFonts w:ascii="Arial" w:cs="Arial" w:eastAsia="Arial" w:hAnsi="Arial"/>
          <w:sz w:val="19"/>
          <w:szCs w:val="19"/>
          <w:color w:val="auto"/>
        </w:rPr>
        <w:t>In April 2021, the KCC issued an order adjusting Evergy Kansas Central's retail prices to include updated transmission costs as reflected in the Federal Energy Regulatory Commission (FERC) transmission formula rate (TFR). The new prices were effective in April 2021 and are expected to increase Evergy Kansas Central's annual retail revenues by $37.9 million when compared to 2020.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2021 TDC</w:t>
      </w:r>
    </w:p>
    <w:p>
      <w:pPr>
        <w:spacing w:after="0" w:line="16"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In April 2021, the KCC issued an order adjusting Evergy Metro's retail prices to include updated transmission costs as reflected in the FERC TFR. The new prices were effective in May 2021 and are expected to decrease Evergy Metro's annual retail revenues by $2.4 million when compared to 2020.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16" w:lineRule="exact"/>
        <w:rPr>
          <w:sz w:val="20"/>
          <w:szCs w:val="20"/>
          <w:color w:val="auto"/>
        </w:rPr>
      </w:pPr>
    </w:p>
    <w:p>
      <w:pPr>
        <w:ind w:right="40"/>
        <w:spacing w:after="0"/>
        <w:rPr>
          <w:sz w:val="20"/>
          <w:szCs w:val="20"/>
          <w:color w:val="auto"/>
        </w:rPr>
      </w:pPr>
      <w:r>
        <w:rPr>
          <w:rFonts w:ascii="Arial" w:cs="Arial" w:eastAsia="Arial" w:hAnsi="Arial"/>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198"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Evergy Kansas Central's and Evergy Metro's 2020 calculations of annual earnings did not result in a significant refund obligation. These calculations were filed with the KCC in March 2021. As of March 31, 2021, Evergy Kansas Central and Evergy Metro estimate their 2021 annual earnings will not result in a significant refund obligation. The final refund obligations for 2020 and 2021 will be decided by the KCC and could vary from the current estimates.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Winter Weather AAO</w:t>
      </w:r>
    </w:p>
    <w:p>
      <w:pPr>
        <w:spacing w:after="0" w:line="1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In February 2021, the KCC issued an emergency AAO directing all Kansas-jurisdictional natural gas and electric utilities, including Evergy Kansas Central and Evergy Metro, to defer to a regulatory asset any extraordinary costs, including carrying costs, incurred to provide electric service during the February 2021 winter weather event for consideration in future rate proceedings.</w:t>
      </w:r>
    </w:p>
    <w:p>
      <w:pPr>
        <w:spacing w:after="0" w:line="178"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As of March 31, 2021, Evergy Kansas Central had recognized a regulatory asset pursuant to the AAO of $109.9 million related to its costs incurred during the winter weather event, primarily consisting of increased fuel and purchased power costs and including make-whole payments calculated by and paid to the SPP. Evergy Metro incurred a net increase in wholesale revenues of $76.7 million during the winter weather event, of which substantially all was deferred to a regulatory liability and is expected to be refunded to customers through its fuel recovery mechanisms in Kansas and Missouri.</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MPSC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Other Proceedings</w:t>
      </w:r>
    </w:p>
    <w:p>
      <w:pPr>
        <w:spacing w:after="0" w:line="241" w:lineRule="auto"/>
        <w:rPr>
          <w:sz w:val="20"/>
          <w:szCs w:val="20"/>
          <w:color w:val="auto"/>
        </w:rPr>
      </w:pPr>
      <w:r>
        <w:rPr>
          <w:rFonts w:ascii="Arial" w:cs="Arial" w:eastAsia="Arial" w:hAnsi="Arial"/>
          <w:sz w:val="20"/>
          <w:szCs w:val="20"/>
          <w:color w:val="auto"/>
        </w:rPr>
        <w:t>In December 2018, the Office of the Public Counsel (OPC) and the Midwest Energy Consumers Group (MECG) filed a petition with the MPSC requesting an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19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In October 2019, the MPSC granted OPC's and MECG's request for an AAO and required Evergy Missouri West to record to a regulatory liability the revenues discussed above for consideration in Evergy Missouri West's next rate case, which is expected to be completed no later than the end of 2022. Depending on the MPSC's decision in this next rate case, Evergy Missouri West could be required to refund to customers all or a portion of amounts collected in revenue for Sibley Station since December 2018 or, alternatively, could be required to make no refunds.</w:t>
      </w:r>
    </w:p>
    <w:p>
      <w:pPr>
        <w:spacing w:after="0" w:line="19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As a result of the MPSC order, Evergy has recorded a regulatory liability of $21.1 million as of March 31, 2021 for the estimated amount of revenues that Evergy Missouri West has collected from customers for Sibley Station since December 2018 that Evergy has determined is probable of refund. Evergy expects that it will continue to defer such amounts as collected from customers until new rates become effective in Evergy Missouri West's next rate case.</w:t>
      </w:r>
    </w:p>
    <w:p>
      <w:pPr>
        <w:spacing w:after="0" w:line="19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accrual for this estimated amount does not include certain revenues collected related to Sibley Station that Evergy has determined to not be probable of refund in the next rate case based on the relevant facts and circumstances. While Evergy has determined these additional revenues to not be probable of refund, the ultimate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resolution of this matter in Evergy Missouri West's next rate case is uncertain and could result in an estimated loss of up to approximately $12 million per year in excess of the amount accrued until Evergy Missouri West's new rates become effective. Evergy's regulatory liability for probable refunds as of March 31, 2021 and estimated loss in excess of the amount accrued represent estimates that could change significantly based on ongoing developments including decisions in other regulatory proceedings that establish precedent applicable to this matter and positions of parties on this issue in a future Evergy Missouri West rate case.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2"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w:t>
      </w:r>
    </w:p>
    <w:p>
      <w:pPr>
        <w:spacing w:after="0" w:line="16" w:lineRule="exact"/>
        <w:rPr>
          <w:sz w:val="20"/>
          <w:szCs w:val="20"/>
          <w:color w:val="auto"/>
        </w:rPr>
      </w:pPr>
    </w:p>
    <w:p>
      <w:pPr>
        <w:ind w:right="1060"/>
        <w:spacing w:after="0" w:line="244" w:lineRule="auto"/>
        <w:rPr>
          <w:sz w:val="20"/>
          <w:szCs w:val="20"/>
          <w:color w:val="auto"/>
        </w:rPr>
      </w:pPr>
      <w:r>
        <w:rPr>
          <w:rFonts w:ascii="Arial" w:cs="Arial" w:eastAsia="Arial" w:hAnsi="Arial"/>
          <w:sz w:val="20"/>
          <w:szCs w:val="20"/>
          <w:color w:val="auto"/>
        </w:rPr>
        <w:t>In the most recent two years, the updated TFR was expected to adjust Evergy Kansas Central's annual transmission revenues by approximately:</w:t>
      </w:r>
    </w:p>
    <w:p>
      <w:pPr>
        <w:spacing w:after="0" w:line="8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$32.4 million increase effective in January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$6.8 million increase effective in January 2020.</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two years, the updated TFR was expected to adjust Evergy Metro's annual transmission revenues by approximately:</w:t>
      </w:r>
    </w:p>
    <w:p>
      <w:pPr>
        <w:spacing w:after="0" w:line="115" w:lineRule="exact"/>
        <w:rPr>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$3.9 million decrease effective in January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$1.7 million decrease effective in January 2020.</w:t>
      </w:r>
    </w:p>
    <w:p>
      <w:pPr>
        <w:spacing w:after="0" w:line="209"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PLANS AND POST-RETIREMENT BENEFITS</w:t>
      </w:r>
    </w:p>
    <w:p>
      <w:pPr>
        <w:spacing w:after="0" w:line="11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Station's (Wolf Creek) defined benefit plans, consisting of Evergy Kansas South's and Evergy Metro's respective 47% ownership shares.</w:t>
      </w:r>
    </w:p>
    <w:p>
      <w:pPr>
        <w:spacing w:after="0" w:line="194"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65"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52"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15"/>
                <w:szCs w:val="15"/>
                <w:color w:val="auto"/>
              </w:rPr>
            </w:pPr>
          </w:p>
        </w:tc>
        <w:tc>
          <w:tcPr>
            <w:tcW w:w="980" w:type="dxa"/>
            <w:vAlign w:val="bottom"/>
            <w:vMerge w:val="restart"/>
          </w:tcPr>
          <w:p>
            <w:pPr>
              <w:jc w:val="center"/>
              <w:ind w:right="151"/>
              <w:spacing w:after="0"/>
              <w:rPr>
                <w:sz w:val="20"/>
                <w:szCs w:val="20"/>
                <w:color w:val="auto"/>
              </w:rPr>
            </w:pPr>
            <w:r>
              <w:rPr>
                <w:rFonts w:ascii="Arial" w:cs="Arial" w:eastAsia="Arial" w:hAnsi="Arial"/>
                <w:sz w:val="18"/>
                <w:szCs w:val="18"/>
                <w:b w:val="1"/>
                <w:bCs w:val="1"/>
                <w:color w:val="auto"/>
                <w:w w:val="89"/>
              </w:rPr>
              <w:t>Evergy</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9"/>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104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89"/>
              </w:rPr>
              <w:t>Evergy</w:t>
            </w:r>
          </w:p>
        </w:tc>
        <w:tc>
          <w:tcPr>
            <w:tcW w:w="26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6"/>
              </w:rPr>
              <w:t>Central</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7"/>
              </w:rPr>
              <w:t>Metro</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11.2</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ind w:left="520"/>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3"/>
                <w:szCs w:val="13"/>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3"/>
                <w:szCs w:val="13"/>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13"/>
                <w:szCs w:val="13"/>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3"/>
                <w:szCs w:val="13"/>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38.0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15"/>
                <w:szCs w:val="15"/>
                <w:color w:val="auto"/>
              </w:rPr>
            </w:pPr>
          </w:p>
        </w:tc>
        <w:tc>
          <w:tcPr>
            <w:tcW w:w="980" w:type="dxa"/>
            <w:vAlign w:val="bottom"/>
            <w:vMerge w:val="restart"/>
          </w:tcPr>
          <w:p>
            <w:pPr>
              <w:jc w:val="center"/>
              <w:ind w:right="191"/>
              <w:spacing w:after="0"/>
              <w:rPr>
                <w:sz w:val="20"/>
                <w:szCs w:val="20"/>
                <w:color w:val="auto"/>
              </w:rPr>
            </w:pPr>
            <w:r>
              <w:rPr>
                <w:rFonts w:ascii="Arial" w:cs="Arial" w:eastAsia="Arial" w:hAnsi="Arial"/>
                <w:sz w:val="18"/>
                <w:szCs w:val="18"/>
                <w:b w:val="1"/>
                <w:bCs w:val="1"/>
                <w:color w:val="auto"/>
                <w:w w:val="89"/>
              </w:rPr>
              <w:t>Evergy</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104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6"/>
              </w:rPr>
              <w:t>Evergy</w:t>
            </w:r>
          </w:p>
        </w:tc>
        <w:tc>
          <w:tcPr>
            <w:tcW w:w="26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7"/>
              </w:rPr>
              <w:t>Metro</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(26.7)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ind w:left="500"/>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3"/>
                <w:szCs w:val="13"/>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13"/>
                <w:szCs w:val="13"/>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39.0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20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For the three months ended March 31, 2021, Evergy, Evergy Kansas Central and Evergy Metro made pension contributions of $27.8 million, $17.4 million and $10.4 million, respectively. Evergy expects to make additional pension contributions of $107.4 million in 2021 to satisfy the Employee Retirement Income Security Act of 1974, as amended (ERISA) funding requirements and KCC and MPSC rate orders, of which $42.1 million is expected to be paid by Evergy Kansas Central and $65.3 million is expected to be paid by Evergy Metro.</w:t>
      </w:r>
    </w:p>
    <w:p>
      <w:pPr>
        <w:spacing w:after="0" w:line="161"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Also in 2021, Evergy, Evergy Kansas Central and Evergy Metro expect to make post-retirement benefit contributions of $4.0 million, $0.6 million and $3.4 million,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SHORT-TERM BORROWINGS AND SHORT-TERM BANK LINES OF CREDIT</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Evergy's $2.5 billion master credit facility expires in 2023.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Evergy adjusted these sublimits in the first quarter of 2021 as further detailed in the table below. 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March 31, 2021, Evergy, Evergy Kansas Central, Evergy Metro and Evergy Missouri West were in compliance with this covenant.</w:t>
      </w:r>
    </w:p>
    <w:p>
      <w:pPr>
        <w:spacing w:after="0" w:line="168"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3) available to the Evergy Companies as of March 31, 2021 and December 31, 2020.</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Master Credit</w:t>
            </w:r>
          </w:p>
        </w:tc>
        <w:tc>
          <w:tcPr>
            <w:tcW w:w="160" w:type="dxa"/>
            <w:vAlign w:val="bottom"/>
          </w:tcPr>
          <w:p>
            <w:pPr>
              <w:spacing w:after="0"/>
              <w:rPr>
                <w:sz w:val="13"/>
                <w:szCs w:val="13"/>
                <w:color w:val="auto"/>
              </w:rPr>
            </w:pPr>
          </w:p>
        </w:tc>
        <w:tc>
          <w:tcPr>
            <w:tcW w:w="11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Cash</w:t>
            </w:r>
          </w:p>
        </w:tc>
        <w:tc>
          <w:tcPr>
            <w:tcW w:w="160" w:type="dxa"/>
            <w:vAlign w:val="bottom"/>
          </w:tcPr>
          <w:p>
            <w:pPr>
              <w:spacing w:after="0"/>
              <w:rPr>
                <w:sz w:val="13"/>
                <w:szCs w:val="13"/>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2"/>
              </w:rPr>
              <w:t>Letters of Credit</w:t>
            </w: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8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Paper</w:t>
            </w:r>
          </w:p>
        </w:tc>
        <w:tc>
          <w:tcPr>
            <w:tcW w:w="13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2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Arial" w:cs="Arial" w:eastAsia="Arial" w:hAnsi="Arial"/>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7"/>
              </w:rPr>
              <w:t>n/a</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1.36%</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504.2</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0.23%</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0.17%</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080" w:type="dxa"/>
            <w:vAlign w:val="bottom"/>
            <w:tcBorders>
              <w:bottom w:val="single" w:sz="8" w:color="CCEEFF"/>
            </w:tcBorders>
          </w:tcPr>
          <w:p>
            <w:pPr>
              <w:jc w:val="center"/>
              <w:ind w:left="110"/>
              <w:spacing w:after="0"/>
              <w:rPr>
                <w:sz w:val="20"/>
                <w:szCs w:val="20"/>
                <w:color w:val="auto"/>
              </w:rPr>
            </w:pPr>
            <w:r>
              <w:rPr>
                <w:rFonts w:ascii="Arial" w:cs="Arial" w:eastAsia="Arial" w:hAnsi="Arial"/>
                <w:sz w:val="18"/>
                <w:szCs w:val="18"/>
                <w:color w:val="auto"/>
                <w:w w:val="93"/>
              </w:rPr>
              <w:t>0.24%</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1,203.5</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87"/>
              </w:rPr>
              <w:t>n/a</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249.3</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1.40%</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0.23%</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0.36%</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In May 2021, Evergy, Inc. established a commercial paper program that will be supported by its borrowing capacity under the master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2" w:lineRule="exact"/>
        <w:rPr>
          <w:sz w:val="20"/>
          <w:szCs w:val="20"/>
          <w:color w:val="auto"/>
        </w:rPr>
      </w:pPr>
    </w:p>
    <w:p>
      <w:pPr>
        <w:ind w:right="560"/>
        <w:spacing w:after="0" w:line="274" w:lineRule="auto"/>
        <w:rPr>
          <w:sz w:val="20"/>
          <w:szCs w:val="20"/>
          <w:color w:val="auto"/>
        </w:rPr>
      </w:pPr>
      <w:r>
        <w:rPr>
          <w:rFonts w:ascii="Arial" w:cs="Arial" w:eastAsia="Arial" w:hAnsi="Arial"/>
          <w:sz w:val="18"/>
          <w:szCs w:val="18"/>
          <w:color w:val="auto"/>
        </w:rPr>
        <w:t>In April 2021, Evergy Missouri West issued in a private placement $350.0 million of 2.86% Series A Senior Notes, maturing in 2031, $75.0 million of 3.01% Series B Senior Notes, maturing in 2033 and $75.0 million of 3.21% Series C Senior Notes, maturing in 2036, pursuant to a note purchase agreement. In connection with the issuance, Evergy entered into an agreement to provide an unconditional guaranty of the Series A, B and C Senior Notes, and as required by certain existing note purchase agreements, also agreed to provide unconditional guaranty of the following series of outstanding Evergy Missouri West unsecured senior notes:</w:t>
      </w:r>
    </w:p>
    <w:p>
      <w:pPr>
        <w:spacing w:after="0" w:line="58"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$36.0 million of 3.49% Series A, maturing in 2025;</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$60.0 million of 4.06% Series B, maturing in 2033;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$150.0 million of 4.74% Series C, maturing in 2043;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$100.0 million of 3.74% Series, maturing in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In April 2021, Evergy redeemed its $350.0 million of 4.85% Senior Notes, which had a maturity date of June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15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8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6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2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2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3"/>
                <w:szCs w:val="23"/>
                <w:b w:val="1"/>
                <w:bCs w:val="1"/>
                <w:color w:val="auto"/>
                <w:vertAlign w:val="superscript"/>
              </w:rPr>
              <w:t>(a)</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Evergy</w:t>
            </w:r>
            <w:r>
              <w:rPr>
                <w:rFonts w:ascii="Arial" w:cs="Arial" w:eastAsia="Arial" w:hAnsi="Arial"/>
                <w:sz w:val="23"/>
                <w:szCs w:val="23"/>
                <w:color w:val="auto"/>
                <w:vertAlign w:val="superscript"/>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9,624.1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9,627.3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6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3,932.2</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3,931.5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4,801.7</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2,923.5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2,923.0</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3,591.2</w:t>
            </w: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Long-term debt of variable interest entities</w:t>
            </w:r>
            <w:r>
              <w:rPr>
                <w:rFonts w:ascii="Arial" w:cs="Arial" w:eastAsia="Arial" w:hAnsi="Arial"/>
                <w:sz w:val="23"/>
                <w:szCs w:val="23"/>
                <w:b w:val="1"/>
                <w:bCs w:val="1"/>
                <w:color w:val="auto"/>
                <w:vertAlign w:val="superscript"/>
              </w:rPr>
              <w:t>(a)</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Kansas Central</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bl>
    <w:p>
      <w:pPr>
        <w:spacing w:after="0" w:line="67"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jc w:val="both"/>
        <w:ind w:left="180" w:right="60" w:hanging="172"/>
        <w:spacing w:after="0" w:line="244" w:lineRule="auto"/>
        <w:tabs>
          <w:tab w:leader="none" w:pos="167"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Book value as of March 31, 2021 and December 31, 2020, includes $106.6 million and $110.4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Recurring Fair Value Measurements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160" w:type="dxa"/>
            <w:vAlign w:val="bottom"/>
            <w:tcBorders>
              <w:top w:val="single" w:sz="8" w:color="auto"/>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March 31, 2021</w:t>
            </w: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NAV</w:t>
            </w: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w w:val="99"/>
              </w:rPr>
              <w:t>(millions)</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4"/>
        </w:trPr>
        <w:tc>
          <w:tcPr>
            <w:tcW w:w="3620" w:type="dxa"/>
            <w:vAlign w:val="bottom"/>
          </w:tcPr>
          <w:p>
            <w:pPr>
              <w:ind w:left="20"/>
              <w:spacing w:after="0"/>
              <w:rPr>
                <w:sz w:val="20"/>
                <w:szCs w:val="20"/>
                <w:color w:val="auto"/>
              </w:rPr>
            </w:pPr>
            <w:r>
              <w:rPr>
                <w:rFonts w:ascii="Arial" w:cs="Arial" w:eastAsia="Arial" w:hAnsi="Arial"/>
                <w:sz w:val="16"/>
                <w:szCs w:val="16"/>
                <w:color w:val="auto"/>
              </w:rPr>
              <w:t>Assets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3620" w:type="dxa"/>
            <w:vAlign w:val="bottom"/>
          </w:tcPr>
          <w:p>
            <w:pPr>
              <w:ind w:left="180"/>
              <w:spacing w:after="0" w:line="223"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110.3</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101.9</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8.4</w:t>
            </w: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67.3</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67.3</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40.0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26.1</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26.1</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20.3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Combination debt/equity/other fund</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22.1</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22.1</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Alternative investments fund</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28.1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28.1</w:t>
            </w: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Real estate securities fund</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13.1</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13.1</w:t>
            </w:r>
          </w:p>
        </w:tc>
      </w:tr>
      <w:tr>
        <w:trPr>
          <w:trHeight w:val="21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0.4</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6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nuclear decommissioning trust</w:t>
            </w:r>
          </w:p>
        </w:tc>
        <w:tc>
          <w:tcPr>
            <w:tcW w:w="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327.7</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278.1</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49.6</w:t>
            </w:r>
          </w:p>
        </w:tc>
      </w:tr>
      <w:tr>
        <w:trPr>
          <w:trHeight w:val="199"/>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Fixed income funds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25.8</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25.8</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funds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Combination debt/equity/other fund</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0.7</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0.7</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0.1</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6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w:t>
            </w:r>
          </w:p>
        </w:tc>
        <w:tc>
          <w:tcPr>
            <w:tcW w:w="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31.6</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31.6</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09"/>
        </w:trPr>
        <w:tc>
          <w:tcPr>
            <w:tcW w:w="3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359.3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309.7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49.6</w:t>
            </w: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Evergy Metro</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3620" w:type="dxa"/>
            <w:vAlign w:val="bottom"/>
          </w:tcPr>
          <w:p>
            <w:pPr>
              <w:ind w:left="18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262.9</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262.9</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Debt securities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Treasury</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45.0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45.0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tcPr>
          <w:p>
            <w:pPr>
              <w:ind w:left="360"/>
              <w:spacing w:after="0"/>
              <w:rPr>
                <w:sz w:val="20"/>
                <w:szCs w:val="20"/>
                <w:color w:val="auto"/>
              </w:rPr>
            </w:pPr>
            <w:r>
              <w:rPr>
                <w:rFonts w:ascii="Arial" w:cs="Arial" w:eastAsia="Arial" w:hAnsi="Arial"/>
                <w:sz w:val="16"/>
                <w:szCs w:val="16"/>
                <w:color w:val="auto"/>
              </w:rPr>
              <w:t>U.S. Agency</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0.4</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0.4</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 and local obligations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tcPr>
          <w:p>
            <w:pPr>
              <w:ind w:left="360"/>
              <w:spacing w:after="0"/>
              <w:rPr>
                <w:sz w:val="20"/>
                <w:szCs w:val="20"/>
                <w:color w:val="auto"/>
              </w:rPr>
            </w:pPr>
            <w:r>
              <w:rPr>
                <w:rFonts w:ascii="Arial" w:cs="Arial" w:eastAsia="Arial" w:hAnsi="Arial"/>
                <w:sz w:val="16"/>
                <w:szCs w:val="16"/>
                <w:color w:val="auto"/>
              </w:rPr>
              <w:t>Corporate bonds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43.1</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43.1</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governments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Cash equivalents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2.5</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2.5</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0.7</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0.7</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6"/>
        </w:trPr>
        <w:tc>
          <w:tcPr>
            <w:tcW w:w="36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nuclear decommissioning trust</w:t>
            </w:r>
          </w:p>
        </w:tc>
        <w:tc>
          <w:tcPr>
            <w:tcW w:w="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358.8</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310.4</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48.4</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199"/>
        </w:trPr>
        <w:tc>
          <w:tcPr>
            <w:tcW w:w="362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8.6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5.6</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4.0</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8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14.4</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5.6</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373.2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319.2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2"/>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Assets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620" w:type="dxa"/>
            <w:vAlign w:val="bottom"/>
          </w:tcPr>
          <w:p>
            <w:pPr>
              <w:ind w:left="220"/>
              <w:spacing w:after="0"/>
              <w:rPr>
                <w:sz w:val="20"/>
                <w:szCs w:val="20"/>
                <w:color w:val="auto"/>
              </w:rPr>
            </w:pPr>
            <w:r>
              <w:rPr>
                <w:rFonts w:ascii="Arial" w:cs="Arial" w:eastAsia="Arial" w:hAnsi="Arial"/>
                <w:sz w:val="16"/>
                <w:szCs w:val="16"/>
                <w:color w:val="auto"/>
              </w:rPr>
              <w:t>Core bond fund</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12.7</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12.7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0.5</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6"/>
        </w:trPr>
        <w:tc>
          <w:tcPr>
            <w:tcW w:w="36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rabbi trusts</w:t>
            </w: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13.2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Assets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686.5</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588.5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49.6</w:t>
            </w: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Rabbi trusts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44.8</w:t>
            </w:r>
          </w:p>
        </w:tc>
        <w:tc>
          <w:tcPr>
            <w:tcW w:w="4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44.8</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14.4</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5.6</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7"/>
        </w:trPr>
        <w:tc>
          <w:tcPr>
            <w:tcW w:w="3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745.7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642.1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49.6</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6" w:name="page37"/>
    <w:bookmarkEnd w:id="3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December 31, 2020</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NAV</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w w:val="96"/>
              </w:rPr>
              <w:t>(millions)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50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102.7</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7.6</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63.8</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63.8</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40.6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25.0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21.0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Combination debt/equity/other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20.1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20.1</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Alternative investments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23.2</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23.2</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Real estate securities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12.9</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12.9</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309.8</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266.1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43.7</w:t>
            </w:r>
          </w:p>
        </w:tc>
      </w:tr>
      <w:tr>
        <w:trPr>
          <w:trHeight w:val="19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Core bond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25.6</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25.6</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7.1</w:t>
            </w:r>
          </w:p>
        </w:tc>
      </w:tr>
      <w:tr>
        <w:trPr>
          <w:trHeight w:val="207"/>
        </w:trPr>
        <w:tc>
          <w:tcPr>
            <w:tcW w:w="3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32.7</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32.7</w:t>
            </w:r>
          </w:p>
        </w:tc>
      </w:tr>
      <w:tr>
        <w:trPr>
          <w:trHeight w:val="209"/>
        </w:trPr>
        <w:tc>
          <w:tcPr>
            <w:tcW w:w="3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342.5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266.1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76.4</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Metro</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3500" w:type="dxa"/>
            <w:vAlign w:val="bottom"/>
          </w:tcPr>
          <w:p>
            <w:pPr>
              <w:ind w:left="14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243.1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243.1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Treasury</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47.7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U.S. Agency</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 and local obligations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Corporate bonds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43.1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43.1</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governments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342.3</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294.5</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47.8</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199"/>
        </w:trPr>
        <w:tc>
          <w:tcPr>
            <w:tcW w:w="350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13.2</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355.5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302.5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Fixed income fund</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13.1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13.1</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rabbi trusts</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13.1</w:t>
            </w: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652.1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560.6</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43.7</w:t>
            </w: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Rabbi trust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46.3</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45.8</w:t>
            </w: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13.2</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711.6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569.1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89.5</w:t>
            </w:r>
          </w:p>
        </w:tc>
      </w:tr>
    </w:tbl>
    <w:p>
      <w:pPr>
        <w:spacing w:after="0" w:line="67"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With the exception of investments measured at NAV, fair value is based on quoted market prices of the investments held by the trust and/or valuation models.</w:t>
      </w:r>
    </w:p>
    <w:p>
      <w:pPr>
        <w:ind w:left="180" w:right="440" w:hanging="172"/>
        <w:spacing w:after="0" w:line="234" w:lineRule="auto"/>
        <w:tabs>
          <w:tab w:leader="none" w:pos="168"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additional information on these Evergy and Evergy Kansas Central investments.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March 31, 2021</w:t>
            </w:r>
          </w:p>
        </w:tc>
        <w:tc>
          <w:tcPr>
            <w:tcW w:w="38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64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March 31, 2021</w:t>
            </w:r>
          </w:p>
        </w:tc>
      </w:tr>
      <w:tr>
        <w:trPr>
          <w:trHeight w:val="218"/>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Unfunded</w:t>
            </w:r>
          </w:p>
        </w:tc>
        <w:tc>
          <w:tcPr>
            <w:tcW w:w="380" w:type="dxa"/>
            <w:vAlign w:val="bottom"/>
          </w:tcPr>
          <w:p>
            <w:pPr>
              <w:spacing w:after="0"/>
              <w:rPr>
                <w:sz w:val="18"/>
                <w:szCs w:val="18"/>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126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Unfunded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Length of</w:t>
            </w:r>
          </w:p>
        </w:tc>
      </w:tr>
      <w:tr>
        <w:trPr>
          <w:trHeight w:val="234"/>
        </w:trPr>
        <w:tc>
          <w:tcPr>
            <w:tcW w:w="3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Commitments</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Value</w:t>
            </w:r>
          </w:p>
        </w:tc>
        <w:tc>
          <w:tcPr>
            <w:tcW w:w="1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9"/>
              </w:rPr>
              <w:t>Commitments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22"/>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(millions)</w:t>
            </w: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equity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29"/>
        </w:trPr>
        <w:tc>
          <w:tcPr>
            <w:tcW w:w="3060" w:type="dxa"/>
            <w:vAlign w:val="bottom"/>
          </w:tcPr>
          <w:p>
            <w:pPr>
              <w:ind w:left="14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2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1"/>
              </w:rPr>
              <w:t>Quarterly</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Quarterly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23"/>
        </w:trPr>
        <w:tc>
          <w:tcPr>
            <w:tcW w:w="30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43.7</w:t>
            </w:r>
          </w:p>
        </w:tc>
        <w:tc>
          <w:tcPr>
            <w:tcW w:w="12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3060" w:type="dxa"/>
            <w:vAlign w:val="bottom"/>
          </w:tcPr>
          <w:p>
            <w:pPr>
              <w:ind w:left="140"/>
              <w:spacing w:after="0"/>
              <w:rPr>
                <w:sz w:val="20"/>
                <w:szCs w:val="20"/>
                <w:color w:val="auto"/>
              </w:rPr>
            </w:pPr>
            <w:r>
              <w:rPr>
                <w:rFonts w:ascii="Arial" w:cs="Arial" w:eastAsia="Arial" w:hAnsi="Arial"/>
                <w:sz w:val="18"/>
                <w:szCs w:val="18"/>
                <w:color w:val="auto"/>
              </w:rPr>
              <w:t>Core bond fund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2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29"/>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Combination debt/equity/other fund</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23"/>
        </w:trPr>
        <w:tc>
          <w:tcPr>
            <w:tcW w:w="30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12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Evergy</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Rabbi trust: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3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 income fund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2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3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89.5</w:t>
            </w:r>
          </w:p>
        </w:tc>
        <w:tc>
          <w:tcPr>
            <w:tcW w:w="12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bl>
    <w:p>
      <w:pPr>
        <w:spacing w:after="0" w:line="85" w:lineRule="exact"/>
        <w:rPr>
          <w:sz w:val="20"/>
          <w:szCs w:val="20"/>
          <w:color w:val="auto"/>
        </w:rPr>
      </w:pPr>
    </w:p>
    <w:p>
      <w:pPr>
        <w:ind w:left="180" w:right="200" w:hanging="172"/>
        <w:spacing w:after="0" w:line="250" w:lineRule="auto"/>
        <w:tabs>
          <w:tab w:leader="none" w:pos="175"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ind w:left="160" w:hanging="152"/>
        <w:spacing w:after="0" w:line="219"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is a holdback on final redemptions.</w:t>
      </w:r>
    </w:p>
    <w:p>
      <w:pPr>
        <w:ind w:left="160" w:hanging="152"/>
        <w:spacing w:after="0" w:line="211" w:lineRule="auto"/>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This investment can be redeemed immediately and is not subject to any restrictions on redemptions.</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40" w:type="dxa"/>
            <w:vAlign w:val="bottom"/>
          </w:tcPr>
          <w:p>
            <w:pPr>
              <w:spacing w:after="0"/>
              <w:rPr>
                <w:sz w:val="19"/>
                <w:szCs w:val="19"/>
                <w:color w:val="auto"/>
              </w:rPr>
            </w:pPr>
          </w:p>
        </w:tc>
        <w:tc>
          <w:tcPr>
            <w:tcW w:w="1760" w:type="dxa"/>
            <w:vAlign w:val="bottom"/>
            <w:gridSpan w:val="2"/>
          </w:tcPr>
          <w:p>
            <w:pPr>
              <w:ind w:left="940"/>
              <w:spacing w:after="0"/>
              <w:rPr>
                <w:sz w:val="20"/>
                <w:szCs w:val="20"/>
                <w:color w:val="auto"/>
              </w:rPr>
            </w:pPr>
            <w:r>
              <w:rPr>
                <w:rFonts w:ascii="Arial" w:cs="Arial" w:eastAsia="Arial" w:hAnsi="Arial"/>
                <w:sz w:val="16"/>
                <w:szCs w:val="16"/>
                <w:color w:val="auto"/>
              </w:rPr>
              <w:t>(millions)</w:t>
            </w:r>
          </w:p>
        </w:tc>
        <w:tc>
          <w:tcPr>
            <w:tcW w:w="112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33.1</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340" w:type="dxa"/>
            <w:vAlign w:val="bottom"/>
          </w:tcPr>
          <w:p>
            <w:pPr>
              <w:spacing w:after="0"/>
              <w:rPr>
                <w:sz w:val="19"/>
                <w:szCs w:val="19"/>
                <w:color w:val="auto"/>
              </w:rPr>
            </w:pPr>
          </w:p>
        </w:tc>
        <w:tc>
          <w:tcPr>
            <w:tcW w:w="1260" w:type="dxa"/>
            <w:vAlign w:val="bottom"/>
          </w:tcPr>
          <w:p>
            <w:pPr>
              <w:ind w:left="800"/>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trusts - equity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800"/>
              <w:spacing w:after="0"/>
              <w:rPr>
                <w:sz w:val="20"/>
                <w:szCs w:val="20"/>
                <w:color w:val="auto"/>
              </w:rPr>
            </w:pPr>
            <w:r>
              <w:rPr>
                <w:rFonts w:ascii="Arial" w:cs="Arial" w:eastAsia="Arial" w:hAnsi="Arial"/>
                <w:sz w:val="18"/>
                <w:szCs w:val="18"/>
                <w:color w:val="auto"/>
              </w:rPr>
              <w:t>26.7</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800"/>
              <w:spacing w:after="0"/>
              <w:rPr>
                <w:sz w:val="20"/>
                <w:szCs w:val="20"/>
                <w:color w:val="auto"/>
              </w:rPr>
            </w:pPr>
            <w:r>
              <w:rPr>
                <w:rFonts w:ascii="Arial" w:cs="Arial" w:eastAsia="Arial" w:hAnsi="Arial"/>
                <w:sz w:val="18"/>
                <w:szCs w:val="18"/>
                <w:color w:val="auto"/>
              </w:rPr>
              <w:t>14.3</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 - equity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(0.8)</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800"/>
              <w:spacing w:after="0"/>
              <w:rPr>
                <w:sz w:val="20"/>
                <w:szCs w:val="20"/>
                <w:color w:val="auto"/>
              </w:rPr>
            </w:pPr>
            <w:r>
              <w:rPr>
                <w:rFonts w:ascii="Arial" w:cs="Arial" w:eastAsia="Arial" w:hAnsi="Arial"/>
                <w:sz w:val="18"/>
                <w:szCs w:val="18"/>
                <w:color w:val="auto"/>
              </w:rPr>
              <w:t>13.5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800"/>
              <w:spacing w:after="0"/>
              <w:rPr>
                <w:sz w:val="20"/>
                <w:szCs w:val="20"/>
                <w:color w:val="auto"/>
              </w:rPr>
            </w:pPr>
            <w:r>
              <w:rPr>
                <w:rFonts w:ascii="Arial" w:cs="Arial" w:eastAsia="Arial" w:hAnsi="Arial"/>
                <w:sz w:val="18"/>
                <w:szCs w:val="18"/>
                <w:color w:val="auto"/>
              </w:rPr>
              <w:t>18.8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(5.1)</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13.7</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and/or the imposition of remedial requirements. The Evergy Companies believe that all their operations are in substantial compliance with current federal, state and local environmental standards.</w:t>
      </w:r>
    </w:p>
    <w:p>
      <w:pPr>
        <w:spacing w:after="0" w:line="19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Cross-State Air Pollution Update Rule</w:t>
      </w:r>
    </w:p>
    <w:p>
      <w:pPr>
        <w:spacing w:after="0" w:line="16" w:lineRule="exact"/>
        <w:rPr>
          <w:sz w:val="20"/>
          <w:szCs w:val="20"/>
          <w:color w:val="auto"/>
        </w:rPr>
      </w:pPr>
    </w:p>
    <w:p>
      <w:pPr>
        <w:ind w:right="60"/>
        <w:spacing w:after="0"/>
        <w:rPr>
          <w:sz w:val="20"/>
          <w:szCs w:val="20"/>
          <w:color w:val="auto"/>
        </w:rPr>
      </w:pPr>
      <w:r>
        <w:rPr>
          <w:rFonts w:ascii="Arial" w:cs="Arial" w:eastAsia="Arial" w:hAnsi="Arial"/>
          <w:sz w:val="20"/>
          <w:szCs w:val="20"/>
          <w:color w:val="auto"/>
        </w:rPr>
        <w:t>In September 2016, the Environmental Protection Agency (EPA) finalized the Cross-State Air Pollution (CSAPR) Update Rule. The final rule addresses interstate transport of nitrogen oxides emissions in 22 states including Kansas, Missouri and Oklahoma during the ozone season and the impact from the formation of ozone on downwind states with respect to the 2008 ozone National Ambient Air Quality Standards (NAAQS). In December 2018, the EPA finalized a determination, known as the CSAPR Close-Out Rule, demonstrating the CSAPR Update Rule fully addressed certain upwind states' 2008 ozone NAAQS interstate transport obligations. Various states and others challenged both the CSAPR Update Rule and the CSAPR Close-Out Rule in the U.S. Court of Appeals for the D.C. Circuit (D.C. Circuit). In 2019, the D.C. Circuit granted these petitions and remanded a portion of the CSAPR Update Rule back to the EPA and vacated the CSAPR Close-Out Rule in its entirety.</w:t>
      </w:r>
    </w:p>
    <w:p>
      <w:pPr>
        <w:spacing w:after="0" w:line="196"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In response to the remand by the D.C. Circuit, the EPA published the final Revised Cross-State Air Pollution Rule Update for the 2008 Ozone NAAQS in April 2021. The final rule finds that nine of the states that were subject to the CSAPR Update Rule do not significantly contribute to downwind states' nonattainment and/or maintenance issues during the ozone season and that there are no further reductions in allowance budgets for these states. These nine states are Alabama, Arkansas, Iowa, Kansas, Mississippi, Missouri, Oklahoma, Texas and Wisconsin. The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ind w:right="700"/>
        <w:spacing w:after="0" w:line="281" w:lineRule="auto"/>
        <w:rPr>
          <w:sz w:val="20"/>
          <w:szCs w:val="20"/>
          <w:color w:val="auto"/>
        </w:rPr>
      </w:pPr>
      <w:r>
        <w:rPr>
          <w:rFonts w:ascii="Arial" w:cs="Arial" w:eastAsia="Arial" w:hAnsi="Arial"/>
          <w:sz w:val="20"/>
          <w:szCs w:val="20"/>
          <w:color w:val="auto"/>
        </w:rPr>
        <w:t>Evergy Companies will continue to monitor this rule as any future changes to their NO</w:t>
      </w:r>
      <w:r>
        <w:rPr>
          <w:rFonts w:ascii="Arial" w:cs="Arial" w:eastAsia="Arial" w:hAnsi="Arial"/>
          <w:sz w:val="25"/>
          <w:szCs w:val="25"/>
          <w:color w:val="auto"/>
          <w:vertAlign w:val="subscript"/>
        </w:rPr>
        <w:t>x</w:t>
      </w:r>
      <w:r>
        <w:rPr>
          <w:rFonts w:ascii="Arial" w:cs="Arial" w:eastAsia="Arial" w:hAnsi="Arial"/>
          <w:sz w:val="20"/>
          <w:szCs w:val="20"/>
          <w:color w:val="auto"/>
        </w:rPr>
        <w:t xml:space="preserve"> ozone season allowance allocations could be material.</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16" w:lineRule="exact"/>
        <w:rPr>
          <w:sz w:val="20"/>
          <w:szCs w:val="20"/>
          <w:color w:val="auto"/>
        </w:rPr>
      </w:pPr>
    </w:p>
    <w:p>
      <w:pPr>
        <w:ind w:right="740"/>
        <w:spacing w:after="0" w:line="214" w:lineRule="auto"/>
        <w:rPr>
          <w:sz w:val="20"/>
          <w:szCs w:val="20"/>
          <w:color w:val="auto"/>
        </w:rPr>
      </w:pPr>
      <w:r>
        <w:rPr>
          <w:rFonts w:ascii="Arial" w:cs="Arial" w:eastAsia="Arial" w:hAnsi="Arial"/>
          <w:sz w:val="20"/>
          <w:szCs w:val="20"/>
          <w:color w:val="auto"/>
        </w:rPr>
        <w:t>Burning coal and other fossil fuels releases carbon dioxide (CO</w:t>
      </w:r>
      <w:r>
        <w:rPr>
          <w:rFonts w:ascii="Arial" w:cs="Arial" w:eastAsia="Arial" w:hAnsi="Arial"/>
          <w:sz w:val="25"/>
          <w:szCs w:val="25"/>
          <w:color w:val="auto"/>
          <w:vertAlign w:val="subscript"/>
        </w:rPr>
        <w:t>2</w:t>
      </w:r>
      <w:r>
        <w:rPr>
          <w:rFonts w:ascii="Arial" w:cs="Arial" w:eastAsia="Arial" w:hAnsi="Arial"/>
          <w:sz w:val="20"/>
          <w:szCs w:val="20"/>
          <w:color w:val="auto"/>
        </w:rPr>
        <w:t>) and other gases referred to as greenhouse gases (GHG). Various regulations under the federal Clean Air Act Amendments of 1990 (CAA) limit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and other GHG emissions, and in addition, other measures are being imposed or offered by individual states, municipalities and regional agreements with the goal of reducing GHG emissions.</w:t>
      </w:r>
    </w:p>
    <w:p>
      <w:pPr>
        <w:spacing w:after="0" w:line="19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July 2019, the EPA published the final Affordable Clean Energy (ACE) rule in the Federal Register. This rule contained (1) emission guidelines for GHG emissions from existing electric utility generating units (EGUs) and (2) revisions to emission guideline implementing regulations. This rule defined the "best system of emission reduction" (BSER) for GHG emissions from existing coal-fired EGUs as on-site, heat-rate efficiency improvements. The final rule also provided states with a list of candidate technologies that can be used to establish standards of performance and incorporate these performance standards into state plans. In conjunction with the finalization of the ACE rule, the EPA repealed its previously adopted Clean Power Plan (CPP). In January 2021, the D.C. Circuit vacated and remanded the ACE rule back to the EPA. In February 2021, the D.C. Circuit granted a motion filed by the EPA for a partial stay of its January 2021 vacatur discussed above. The partial stay leaves the vacatur of the ACE rule in place while staying the mandate that vacates the repeal of the CPP. As a result of the partial stay, neither the ACE rule nor the CPP will be in effect while the EPA forms a new rule to regulate greenhouse gas emissions. In April 2021, 18 states filed a petition for a writ of certiorari to the Supreme Court requesting review of the D.C. Circuit ruling.</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Due to uncertainty regarding the future of the ACE rule or other potential GHG regulations, the Evergy Companies cannot determine the impact of the rule on their operations or consolidated financial results, but the cost to comply with the ACE rule or other potential GHG rules, could be material.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1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 Implementation timelines for this 2015 rule vary from 2018 to 2023. In April 2019, the U.S. Court of Appeals for the 5th Circuit (5th Circuit) issued a ruling that vacates and remands portions of the original ELG rule. Due to this ruling, future ELG modifications for the best available technology economically achievable for the discharge of legacy wastewater and leachate are likely and could be material.</w:t>
      </w:r>
    </w:p>
    <w:p>
      <w:pPr>
        <w:spacing w:after="0" w:line="17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In October 2020, the EPA published the final ELG reconsideration rule. This rule adjusts numeric limits for flue gas desulfurization (FGD) wastewater and adds a 10% volumetric purge limit for bottom ash transport water. The timeline for final FGD wastewater compliance is as soon as possible on or after one year following publication of the final rule in the Federal Register but no later than December 31, 2025. The Evergy Companies have reviewed the regulation and the costs to comply with these changes are not expected to be material.</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16"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w:t>
      </w:r>
    </w:p>
    <w:p>
      <w:pPr>
        <w:spacing w:after="0" w:line="19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In March 2019, the D.C. Circuit issued a ruling to grant the EPA's request to remand the Phase I, Part I CCR rule in response to a prior court ruling requiring the EPA to address un-lined surface impoundment closure requirements. In August 2020, the EPA published the Part A CCR Rule. This rule reclassified clay-lined surface impoundments from "lined" to "un-lined" and established a deadline of April 11, 2021 to initiate closure. In November 2020, the EPA published the final Part B CCR Rule. This rule includes a process to allow un-lined impoundments to continue to operate if a demonstration is made to prove that the un-lined impoundments are not adversely impacting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groundwater, human health or the environment. The Evergy Companies have initiated closure of all un-lined impoundments by the deadline in the Part A CCR rule and therefore the Part B CCR rule is not expected to have a material impact.</w:t>
      </w:r>
    </w:p>
    <w:p>
      <w:pPr>
        <w:spacing w:after="0" w:line="177"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Evergy Companies have recorded Asset Retirement Obligations (ARO) for their current estimates for the closure of ash disposal ponds, but the revision of these AROs may be required in the future due to changes in existing CCR regulations, the results of groundwater monitoring of CCR units or changes in interpretation of existing CCR regulations or changes in the timing or cost to close ash disposal ponds. If revisions to these AROs are necessary, the impact on the Evergy Companies' operations or consolidated financial results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RELATED PARTY TRANSACTIONS AND RELATIONSHIPS</w:t>
      </w:r>
    </w:p>
    <w:p>
      <w:pPr>
        <w:spacing w:after="0" w:line="11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2"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44" w:lineRule="auto"/>
        <w:rPr>
          <w:sz w:val="20"/>
          <w:szCs w:val="20"/>
          <w:color w:val="auto"/>
        </w:rPr>
      </w:pPr>
      <w:r>
        <w:rPr>
          <w:rFonts w:ascii="Arial" w:cs="Arial" w:eastAsia="Arial" w:hAnsi="Arial"/>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operating expenses and capital costs billed for jointly-owned plants and shared services are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07"/>
        </w:trPr>
        <w:tc>
          <w:tcPr>
            <w:tcW w:w="6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60" w:type="dxa"/>
            <w:vAlign w:val="bottom"/>
            <w:gridSpan w:val="2"/>
          </w:tcPr>
          <w:p>
            <w:pPr>
              <w:jc w:val="right"/>
              <w:ind w:right="5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7"/>
                <w:szCs w:val="17"/>
                <w:color w:val="auto"/>
              </w:rPr>
            </w:pPr>
          </w:p>
        </w:tc>
      </w:tr>
      <w:tr>
        <w:trPr>
          <w:trHeight w:val="23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Missouri West</w:t>
            </w:r>
          </w:p>
        </w:tc>
        <w:tc>
          <w:tcPr>
            <w:tcW w:w="2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Evergy Metro billings to Evergy Missouri West</w:t>
            </w:r>
          </w:p>
        </w:tc>
        <w:tc>
          <w:tcPr>
            <w:tcW w:w="236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34.7</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Metro</w:t>
            </w:r>
          </w:p>
        </w:tc>
        <w:tc>
          <w:tcPr>
            <w:tcW w:w="2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Metro billings to Evergy Kansas Central</w:t>
            </w:r>
          </w:p>
        </w:tc>
        <w:tc>
          <w:tcPr>
            <w:tcW w:w="2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2" w:lineRule="exact"/>
        <w:rPr>
          <w:sz w:val="20"/>
          <w:szCs w:val="20"/>
          <w:color w:val="auto"/>
        </w:rPr>
      </w:pPr>
    </w:p>
    <w:p>
      <w:pPr>
        <w:ind w:right="360"/>
        <w:spacing w:after="0"/>
        <w:rPr>
          <w:sz w:val="20"/>
          <w:szCs w:val="20"/>
          <w:color w:val="auto"/>
        </w:rPr>
      </w:pPr>
      <w:r>
        <w:rPr>
          <w:rFonts w:ascii="Arial" w:cs="Arial" w:eastAsia="Arial" w:hAnsi="Arial"/>
          <w:sz w:val="20"/>
          <w:szCs w:val="20"/>
          <w:color w:val="auto"/>
        </w:rPr>
        <w:t>Evergy Metro and Evergy Missouri West are authorized to participate in the Evergy, Inc. money pool, which is an internal financing arrangement in which funds may be lent on a short-term basis to Evergy Metro and Evergy Missouri West from Evergy, Inc. and between Evergy Metro and Evergy Missouri West. At March 31, 2021, Evergy Metro had no outstanding receivables or payables under the money pool. At December 31, 2020, Evergy Metro had a $100.0 million outstanding receivable from Evergy Missouri West and no outstanding payables under the money pool.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6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payable to Evergy Metro</w:t>
            </w:r>
          </w:p>
        </w:tc>
        <w:tc>
          <w:tcPr>
            <w:tcW w:w="26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55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6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19.4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Kansas Central</w:t>
            </w:r>
          </w:p>
        </w:tc>
        <w:tc>
          <w:tcPr>
            <w:tcW w:w="2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379.6</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2"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4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4"/>
              </w:rPr>
              <w:t>March 31</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7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38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 from Evergy</w:t>
            </w:r>
          </w:p>
        </w:tc>
        <w:tc>
          <w:tcPr>
            <w:tcW w:w="2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57"/>
        </w:trPr>
        <w:tc>
          <w:tcPr>
            <w:tcW w:w="57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6"/>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2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Evergy Metro leases certain transmission equipment from Evergy Kansas Central. This lease was entered into prior to the merger in an arms-length transaction and is accounted for as an operating lease. The right-of-use asset related to this lease is recorded within other long-term assets and the current and long-term lease liabilities are recorded within other current liabilities and other long-term liabilities, respectively, on the consolidated balance sheet. The assets and liabilities related to this lease between Evergy Kansas Central and Evergy Metro are eliminated at consolidated Evergy. The following table summarizes Evergy Metro's right-of-use assets and related liabilities on its consolidated balance sheet.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0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tcPr>
          <w:p>
            <w:pPr>
              <w:jc w:val="center"/>
              <w:ind w:left="2170"/>
              <w:spacing w:after="0"/>
              <w:rPr>
                <w:sz w:val="20"/>
                <w:szCs w:val="20"/>
                <w:color w:val="auto"/>
              </w:rPr>
            </w:pPr>
            <w:r>
              <w:rPr>
                <w:rFonts w:ascii="Arial" w:cs="Arial" w:eastAsia="Arial" w:hAnsi="Arial"/>
                <w:sz w:val="18"/>
                <w:szCs w:val="18"/>
                <w:b w:val="1"/>
                <w:bCs w:val="1"/>
                <w:color w:val="auto"/>
                <w:w w:val="94"/>
              </w:rPr>
              <w:t>March 31</w:t>
            </w:r>
          </w:p>
        </w:tc>
        <w:tc>
          <w:tcPr>
            <w:tcW w:w="4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0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0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recorded within other long-term assets</w:t>
            </w:r>
          </w:p>
        </w:tc>
        <w:tc>
          <w:tcPr>
            <w:tcW w:w="30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28.8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Lease liability recorded in other current liabilities</w:t>
            </w:r>
          </w:p>
        </w:tc>
        <w:tc>
          <w:tcPr>
            <w:tcW w:w="304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6"/>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liability recorded in other long-term liabilities</w:t>
            </w:r>
          </w:p>
        </w:tc>
        <w:tc>
          <w:tcPr>
            <w:tcW w:w="30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28.1</w:t>
            </w: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SHAREHOLDERS'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Bluescape Energy Partners, LLC (Bluescape) Securities Purchase Agreement</w:t>
      </w:r>
    </w:p>
    <w:p>
      <w:pPr>
        <w:spacing w:after="0" w:line="2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February 2021, Evergy entered into a securities purchase agreement with an affiliate of Bluescape. Pursuant to the securities purchase agreement, an affiliate of Bluescape agreed to purchase 2,269,447 shares of Evergy’s common stock for approximately $113.2 million and to receive a warrant to purchase up to 3,950,000 additional shares of Evergy’s common stock. Under the terms of the warrant, Evergy will have the option to elect a net cash settlement with respect to the exercise of the warrant under certain circumstances, or to net settle in shares of Evergy's common stock. The warrant expires three years from issuance and has an exercise price equal to $64.70 per share. Following the satisfaction of customary closing conditions, the affiliate of Bluescape completed the purchase of Evergy's common stock and the warrant in April 2021. The Executive Chairman of Bluescape, C. John Wilder, joined the Evergy Board in March 2021.</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TAXES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2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17.7</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3.8</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21.5</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tax credit amortization</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46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30"/>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2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8.7</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9.0</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tax credit amortization</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16.6</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2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28.3</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tax credit amortization</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0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3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Effect of:</w:t>
            </w:r>
          </w:p>
        </w:tc>
        <w:tc>
          <w:tcPr>
            <w:tcW w:w="3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3600" w:type="dxa"/>
            <w:vAlign w:val="bottom"/>
          </w:tcPr>
          <w:p>
            <w:pPr>
              <w:jc w:val="right"/>
              <w:ind w:right="510"/>
              <w:spacing w:after="0"/>
              <w:rPr>
                <w:sz w:val="20"/>
                <w:szCs w:val="20"/>
                <w:color w:val="auto"/>
              </w:rPr>
            </w:pPr>
            <w:r>
              <w:rPr>
                <w:rFonts w:ascii="Arial" w:cs="Arial" w:eastAsia="Arial" w:hAnsi="Arial"/>
                <w:sz w:val="18"/>
                <w:szCs w:val="18"/>
                <w:color w:val="auto"/>
              </w:rPr>
              <w:t>1.9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(3.1)</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600" w:type="dxa"/>
            <w:vAlign w:val="bottom"/>
          </w:tcPr>
          <w:p>
            <w:pPr>
              <w:jc w:val="right"/>
              <w:ind w:right="510"/>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3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(1.6)</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6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3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10.6 %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45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3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Effect of:</w:t>
            </w:r>
          </w:p>
        </w:tc>
        <w:tc>
          <w:tcPr>
            <w:tcW w:w="3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(1.8)</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3600" w:type="dxa"/>
            <w:vAlign w:val="bottom"/>
          </w:tcPr>
          <w:p>
            <w:pPr>
              <w:jc w:val="right"/>
              <w:ind w:right="510"/>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(3.3)</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(5.2)</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(6.6)</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3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(1.8)</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6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3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8.4 %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0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3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Effect of:</w:t>
            </w:r>
          </w:p>
        </w:tc>
        <w:tc>
          <w:tcPr>
            <w:tcW w:w="3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3600" w:type="dxa"/>
            <w:vAlign w:val="bottom"/>
          </w:tcPr>
          <w:p>
            <w:pPr>
              <w:jc w:val="right"/>
              <w:ind w:right="510"/>
              <w:spacing w:after="0"/>
              <w:rPr>
                <w:sz w:val="20"/>
                <w:szCs w:val="20"/>
                <w:color w:val="auto"/>
              </w:rPr>
            </w:pPr>
            <w:r>
              <w:rPr>
                <w:rFonts w:ascii="Arial" w:cs="Arial" w:eastAsia="Arial" w:hAnsi="Arial"/>
                <w:sz w:val="18"/>
                <w:szCs w:val="18"/>
                <w:color w:val="auto"/>
              </w:rPr>
              <w:t>0.6</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(7.8)</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(0.6)</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(0.7)</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3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Officer compensation limitation</w:t>
            </w:r>
          </w:p>
        </w:tc>
        <w:tc>
          <w:tcPr>
            <w:tcW w:w="3600" w:type="dxa"/>
            <w:vAlign w:val="bottom"/>
          </w:tcPr>
          <w:p>
            <w:pPr>
              <w:jc w:val="right"/>
              <w:ind w:right="510"/>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6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3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13.3 %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2020 Form 10-K. None of the registrants make any representation as to information related solely to Evergy, Evergy Kansas Central or Evergy Metro other than itself.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2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7" w:lineRule="exact"/>
        <w:rPr>
          <w:sz w:val="20"/>
          <w:szCs w:val="20"/>
          <w:color w:val="auto"/>
        </w:rPr>
      </w:pPr>
    </w:p>
    <w:p>
      <w:pPr>
        <w:ind w:left="660" w:right="140" w:hanging="328"/>
        <w:spacing w:after="0" w:line="287"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44" w:lineRule="exact"/>
        <w:rPr>
          <w:rFonts w:ascii="Arial" w:cs="Arial" w:eastAsia="Arial" w:hAnsi="Arial"/>
          <w:sz w:val="19"/>
          <w:szCs w:val="19"/>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119" w:lineRule="exact"/>
        <w:rPr>
          <w:rFonts w:ascii="Arial" w:cs="Arial" w:eastAsia="Arial" w:hAnsi="Arial"/>
          <w:sz w:val="19"/>
          <w:szCs w:val="19"/>
          <w:color w:val="auto"/>
        </w:rPr>
      </w:pPr>
    </w:p>
    <w:p>
      <w:pPr>
        <w:ind w:left="660" w:right="40" w:hanging="328"/>
        <w:spacing w:after="0" w:line="269"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52"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generation, transmission, distribution and sale of electricity to approximately 1.6 million customers in the states of Kansas and Missouri. The Evergy Companies assess financial performance and allocate resources on a consolidated basis (i.e., operate in one segment).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2021 Winter Weather Event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much of the central and southern United States, including the service territories of the Evergy Companies, experienced a</w:t>
      </w:r>
    </w:p>
    <w:p>
      <w:pPr>
        <w:spacing w:after="0" w:line="34"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color w:val="auto"/>
        </w:rPr>
        <w:t>significant winter weather event that resulted in extremely cold temperatures over a multi-day period. This winter weather event resulted in an increase in the demand for natural gas used by the Evergy Companies for generating electricity and also contributed to the limited</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availability of other generation resources, including coal and renewables, within the SPP Integrated Marketplace. As part of the winter weather event, Evergy incurred natural gas and purchased power costs, net of wholesale revenues, of $341.3 million. This $341.3 million of net fuel and purchased power costs was primarily driven by $297.3 million of costs at Evergy Missouri West and $120.7 million of costs at Evergy Kansas Central, partially offset by $76.7 million of net wholesale revenues at Evergy Metro. The amount of purchased power costs incurred by the Evergy Companies during the winter weather event is subject to resettlement activity and further review by the SPP. This review and any subsequent resettlement activity could result in increases to the final amount of purchased power costs incurred by the Evergy Companies during the winter weather event and these increases could be material.</w:t>
      </w:r>
    </w:p>
    <w:p>
      <w:pPr>
        <w:spacing w:after="0" w:line="185"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color w:val="auto"/>
        </w:rPr>
        <w:t>As of March 31, 2021, the Evergy Companies have deferred substantially all of the fuel and purchased power costs, net of wholesale revenues, related to the winter weather event to a regulatory asset or liability pursuant to their fuel recovery mechanisms and an emergency AAO issued by the KCC in February 2021. While the Evergy Companies expect to recover substantially all of any increased fuel and purchased power costs related to the winter weather event from customers, the timing of the cost recovery could be delayed or spread over a longer than typical recovery timeframe by the KCC or the MPSC given the extraordinary nature of the winter weather event and to help moderate monthly customer bill impacts.</w:t>
      </w:r>
    </w:p>
    <w:p>
      <w:pPr>
        <w:spacing w:after="0" w:line="184"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in February 2021 across the central and southern United States driven by the winter weather event discussed above, Evergy and Evergy Kansas Central recorded $96.5 million of energy marketing margins in the first quarter of 2021 related to the winter weather event.</w:t>
      </w:r>
    </w:p>
    <w:p>
      <w:pPr>
        <w:spacing w:after="0" w:line="184" w:lineRule="exact"/>
        <w:rPr>
          <w:sz w:val="20"/>
          <w:szCs w:val="20"/>
          <w:color w:val="auto"/>
        </w:rPr>
      </w:pPr>
    </w:p>
    <w:p>
      <w:pPr>
        <w:ind w:right="2220"/>
        <w:spacing w:after="0" w:line="353" w:lineRule="auto"/>
        <w:rPr>
          <w:sz w:val="20"/>
          <w:szCs w:val="20"/>
          <w:color w:val="auto"/>
        </w:rPr>
      </w:pPr>
      <w:r>
        <w:rPr>
          <w:rFonts w:ascii="Arial" w:cs="Arial" w:eastAsia="Arial" w:hAnsi="Arial"/>
          <w:sz w:val="20"/>
          <w:szCs w:val="20"/>
          <w:color w:val="auto"/>
        </w:rPr>
        <w:t xml:space="preserve">See Note 1 to the consolidated financial statements for additional information regarding the winter weather event. </w:t>
      </w:r>
      <w:r>
        <w:rPr>
          <w:rFonts w:ascii="Arial" w:cs="Arial" w:eastAsia="Arial" w:hAnsi="Arial"/>
          <w:sz w:val="20"/>
          <w:szCs w:val="20"/>
          <w:b w:val="1"/>
          <w:bCs w:val="1"/>
          <w:color w:val="auto"/>
        </w:rPr>
        <w:t>Bluescape Securities Purchase Agreement</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February 2021, Evergy entered into a securities purchase agreement with an affiliate of Bluescape. Pursuant to the securities purchase agreement, an affiliate of Bluescape agreed to purchase 2,269,447 shares of Evergy’s common stock for approximately $113.2 million and to receive a warrant to purchase up to 3,950,000 additional shares of Evergy’s common stock. Under the terms of the warrant, Evergy will have the option to elect a net cash settlement with respect to the exercise of the warrant under certain circumstances, or to net settle in shares of Evergy's common stock. The warrant expires three years from issuance and has an exercise price equal to $64.70 per share. Following the satisfaction of customary closing conditions, the affiliate of Bluescape completed the purchase of Evergy's common stock and the warrant in April 2021. The Executive Chairman of Bluescape, C. John Wilder, joined the Evergy Board in March 2021.</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Transforming Evergy’s Generation Fleet</w:t>
      </w:r>
    </w:p>
    <w:p>
      <w:pPr>
        <w:spacing w:after="0" w:line="2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Evergy Companies are committed to a long-term strategy to reduce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in a cost-effective and reliable manner. In 2020, Evergy achieved a reduction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of approximately 50% from 2005 levels in connection with its goal to achieve an 80% reduction from 2005 levels by 2050. In connection with the filing of its triennial integrated resource plan in Missouri in April 2021, Evergy announced a revised goal to achieve net-zero carbon emissions by 2045, which includes an interim goal of a 70% reduction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from 2005 levels by 2030. Evergy’s five-year Sustainability Transformation Plan (STP) includes steps that would achieve significant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ind w:right="180"/>
        <w:spacing w:after="0" w:line="252" w:lineRule="auto"/>
        <w:rPr>
          <w:sz w:val="20"/>
          <w:szCs w:val="20"/>
          <w:color w:val="auto"/>
        </w:rPr>
      </w:pPr>
      <w:r>
        <w:rPr>
          <w:rFonts w:ascii="Arial" w:cs="Arial" w:eastAsia="Arial" w:hAnsi="Arial"/>
          <w:sz w:val="20"/>
          <w:szCs w:val="20"/>
          <w:color w:val="auto"/>
        </w:rPr>
        <w:t>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emission reductions and provide a foundation to achieve future reductions by pursuing constructive legislative and regulatory recovery mechanisms to facilitate the retirement of coal-fired generation and expanding Evergy’s wind and solar footprint, while maintaining reliability. The trajectory and timing of reaching Evergy's net-zero carbon emissions goal are dependent on enabling technology developments and supportive energy policies and regulations.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w:t>
      </w:r>
    </w:p>
    <w:p>
      <w:pPr>
        <w:spacing w:after="0" w:line="2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See Part II, Item 7, MD&amp;A - Executive Summary in the Evergy Companies' combined 2020 Form 10-K for information regarding the impact of COVID-19 on the Evergy Companies.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Proceedings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4 to the consolidated financial statements for information regarding regulatory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6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3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07"/>
        </w:trPr>
        <w:tc>
          <w:tcPr>
            <w:tcW w:w="5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340" w:type="dxa"/>
            <w:vAlign w:val="bottom"/>
            <w:gridSpan w:val="5"/>
          </w:tcPr>
          <w:p>
            <w:pPr>
              <w:jc w:val="right"/>
              <w:ind w:right="610"/>
              <w:spacing w:after="0"/>
              <w:rPr>
                <w:sz w:val="20"/>
                <w:szCs w:val="20"/>
                <w:color w:val="auto"/>
              </w:rPr>
            </w:pPr>
            <w:r>
              <w:rPr>
                <w:rFonts w:ascii="Arial" w:cs="Arial" w:eastAsia="Arial" w:hAnsi="Arial"/>
                <w:sz w:val="16"/>
                <w:szCs w:val="16"/>
                <w:color w:val="auto"/>
              </w:rPr>
              <w:t>(millions, except per share amounts)</w:t>
            </w:r>
          </w:p>
        </w:tc>
      </w:tr>
      <w:tr>
        <w:trPr>
          <w:trHeight w:val="232"/>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122.2</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3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2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0.84</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0.53</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r>
    </w:tbl>
    <w:p>
      <w:pPr>
        <w:spacing w:after="0" w:line="29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Net income attributable to Evergy, Inc. increased for the three months ended March 31, 2021, compared to the same period in 2020, primarily due to non-regulated energy marketing margins related to the winter weather event in February 2021, higher retail sales driven by favorable weather and an increase in weather-normalized demand, and higher equity allowance for funds used during construction (AFUDC); partially offset by higher income tax expense.</w:t>
      </w:r>
    </w:p>
    <w:p>
      <w:pPr>
        <w:spacing w:after="0" w:line="191"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Diluted EPS increased for the three months ended March 31, 2021, compared to the same period in 2020, primarily due to the increase in net income attributable to Evergy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Earnings (non-GAAP) and Adjusted EPS (non-GAAP)</w:t>
      </w:r>
    </w:p>
    <w:p>
      <w:pPr>
        <w:spacing w:after="0" w:line="22"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Evergy's adjusted earnings (non-GAAP) and adjusted EPS (non-GAAP) for the three months ended March 31, 2021, were $125.4 million or $0.55 per share, respectively. For the three months ended March 31, 2020, Evergy's adjusted earnings (non-GAAP) and adjusted EPS (non-GAAP) were $94.2 million or $0.41 per share, respectively. In addition to net income attributable to Evergy, Inc. and diluted EPS, Evergy's management uses adjusted earnings (non-GAAP) and adjusted EPS (non-GAAP) to evaluate earnings and EPS without the income or costs resulting from non-regulated energy marketing margins from the February 2021 winter weather event, as well as executive transition, severance and advisor expenses.</w:t>
      </w:r>
    </w:p>
    <w:p>
      <w:pPr>
        <w:spacing w:after="0" w:line="197"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Adjusted earnings (non-GAAP) and adjusted EPS (non-GAAP) are intended to enhance an investor's overall understanding of results. 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may not be comparable to other companies' presentations or more useful than the GAAP information provided elsewhere in this report.</w:t>
      </w:r>
    </w:p>
    <w:p>
      <w:pPr>
        <w:spacing w:after="0" w:line="23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following table provides a reconciliation between net income attributable to Evergy, Inc. and diluted EPS as determined in accordance with GAAP and adjusted earnings (non-GAAP) and adjusted EPS (non-GAAP).</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7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5"/>
                <w:szCs w:val="15"/>
                <w:color w:val="auto"/>
              </w:rPr>
            </w:pPr>
          </w:p>
        </w:tc>
        <w:tc>
          <w:tcPr>
            <w:tcW w:w="10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(Loss) per</w:t>
            </w:r>
          </w:p>
        </w:tc>
        <w:tc>
          <w:tcPr>
            <w:tcW w:w="220" w:type="dxa"/>
            <w:vAlign w:val="bottom"/>
          </w:tcPr>
          <w:p>
            <w:pPr>
              <w:spacing w:after="0"/>
              <w:rPr>
                <w:sz w:val="15"/>
                <w:szCs w:val="15"/>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3"/>
              </w:rPr>
              <w:t>Earnings</w:t>
            </w:r>
          </w:p>
        </w:tc>
        <w:tc>
          <w:tcPr>
            <w:tcW w:w="18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(Loss) per</w:t>
            </w: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1"/>
              </w:rPr>
              <w:t>Diluted</w:t>
            </w: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0.84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Non-regulated energy marketing margin related to winter weather</w:t>
            </w:r>
          </w:p>
        </w:tc>
        <w:tc>
          <w:tcPr>
            <w:tcW w:w="7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ind w:left="270"/>
              <w:spacing w:after="0"/>
              <w:rPr>
                <w:sz w:val="20"/>
                <w:szCs w:val="20"/>
                <w:color w:val="auto"/>
              </w:rPr>
            </w:pPr>
            <w:r>
              <w:rPr>
                <w:rFonts w:ascii="Arial" w:cs="Arial" w:eastAsia="Arial" w:hAnsi="Arial"/>
                <w:sz w:val="18"/>
                <w:szCs w:val="18"/>
                <w:color w:val="auto"/>
                <w:w w:val="89"/>
              </w:rPr>
              <w:t>(0.42)</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event, pre-tax</w:t>
            </w:r>
            <w:r>
              <w:rPr>
                <w:rFonts w:ascii="Arial" w:cs="Arial" w:eastAsia="Arial" w:hAnsi="Arial"/>
                <w:sz w:val="23"/>
                <w:szCs w:val="23"/>
                <w:color w:val="auto"/>
                <w:vertAlign w:val="superscript"/>
              </w:rPr>
              <w:t>(a)</w:t>
            </w:r>
          </w:p>
        </w:tc>
        <w:tc>
          <w:tcPr>
            <w:tcW w:w="7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340"/>
              <w:spacing w:after="0" w:line="176" w:lineRule="exact"/>
              <w:rPr>
                <w:sz w:val="20"/>
                <w:szCs w:val="20"/>
                <w:color w:val="auto"/>
              </w:rPr>
            </w:pPr>
            <w:r>
              <w:rPr>
                <w:rFonts w:ascii="Arial" w:cs="Arial" w:eastAsia="Arial" w:hAnsi="Arial"/>
                <w:sz w:val="18"/>
                <w:szCs w:val="18"/>
                <w:color w:val="auto"/>
              </w:rPr>
              <w:t>Non-regulated energy marketing costs related to winter</w:t>
            </w:r>
          </w:p>
        </w:tc>
        <w:tc>
          <w:tcPr>
            <w:tcW w:w="780" w:type="dxa"/>
            <w:vAlign w:val="bottom"/>
          </w:tcPr>
          <w:p>
            <w:pPr>
              <w:spacing w:after="0"/>
              <w:rPr>
                <w:sz w:val="15"/>
                <w:szCs w:val="15"/>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5"/>
                <w:szCs w:val="15"/>
                <w:color w:val="auto"/>
              </w:rPr>
            </w:pPr>
          </w:p>
        </w:tc>
        <w:tc>
          <w:tcPr>
            <w:tcW w:w="1020" w:type="dxa"/>
            <w:vAlign w:val="bottom"/>
            <w:vMerge w:val="restart"/>
          </w:tcPr>
          <w:p>
            <w:pPr>
              <w:jc w:val="center"/>
              <w:ind w:left="290"/>
              <w:spacing w:after="0"/>
              <w:rPr>
                <w:sz w:val="20"/>
                <w:szCs w:val="20"/>
                <w:color w:val="auto"/>
              </w:rPr>
            </w:pPr>
            <w:r>
              <w:rPr>
                <w:rFonts w:ascii="Arial" w:cs="Arial" w:eastAsia="Arial" w:hAnsi="Arial"/>
                <w:sz w:val="18"/>
                <w:szCs w:val="18"/>
                <w:color w:val="auto"/>
                <w:w w:val="91"/>
              </w:rPr>
              <w:t>0.01</w:t>
            </w:r>
          </w:p>
        </w:tc>
        <w:tc>
          <w:tcPr>
            <w:tcW w:w="220" w:type="dxa"/>
            <w:vAlign w:val="bottom"/>
          </w:tcPr>
          <w:p>
            <w:pPr>
              <w:spacing w:after="0"/>
              <w:rPr>
                <w:sz w:val="15"/>
                <w:szCs w:val="15"/>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ind w:left="480"/>
              <w:spacing w:after="0" w:line="230" w:lineRule="exact"/>
              <w:rPr>
                <w:sz w:val="20"/>
                <w:szCs w:val="20"/>
                <w:color w:val="auto"/>
              </w:rPr>
            </w:pPr>
            <w:r>
              <w:rPr>
                <w:rFonts w:ascii="Arial" w:cs="Arial" w:eastAsia="Arial" w:hAnsi="Arial"/>
                <w:sz w:val="18"/>
                <w:szCs w:val="18"/>
                <w:color w:val="auto"/>
              </w:rPr>
              <w:t>weather event, pre-tax</w:t>
            </w:r>
            <w:r>
              <w:rPr>
                <w:rFonts w:ascii="Arial" w:cs="Arial" w:eastAsia="Arial" w:hAnsi="Arial"/>
                <w:sz w:val="23"/>
                <w:szCs w:val="23"/>
                <w:color w:val="auto"/>
                <w:vertAlign w:val="superscript"/>
              </w:rPr>
              <w:t>(b)</w:t>
            </w:r>
          </w:p>
        </w:tc>
        <w:tc>
          <w:tcPr>
            <w:tcW w:w="7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(c)</w:t>
            </w:r>
          </w:p>
        </w:tc>
        <w:tc>
          <w:tcPr>
            <w:tcW w:w="7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0.02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340"/>
              <w:spacing w:after="0" w:line="230" w:lineRule="exact"/>
              <w:rPr>
                <w:sz w:val="20"/>
                <w:szCs w:val="20"/>
                <w:color w:val="auto"/>
              </w:rPr>
            </w:pPr>
            <w:r>
              <w:rPr>
                <w:rFonts w:ascii="Arial" w:cs="Arial" w:eastAsia="Arial" w:hAnsi="Arial"/>
                <w:sz w:val="18"/>
                <w:szCs w:val="18"/>
                <w:color w:val="auto"/>
              </w:rPr>
              <w:t>Severance costs, pre-tax</w:t>
            </w:r>
            <w:r>
              <w:rPr>
                <w:rFonts w:ascii="Arial" w:cs="Arial" w:eastAsia="Arial" w:hAnsi="Arial"/>
                <w:sz w:val="23"/>
                <w:szCs w:val="23"/>
                <w:color w:val="auto"/>
                <w:vertAlign w:val="superscript"/>
              </w:rPr>
              <w:t>(d)</w:t>
            </w:r>
          </w:p>
        </w:tc>
        <w:tc>
          <w:tcPr>
            <w:tcW w:w="7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020" w:type="dxa"/>
            <w:vAlign w:val="bottom"/>
          </w:tcPr>
          <w:p>
            <w:pPr>
              <w:jc w:val="center"/>
              <w:ind w:left="290"/>
              <w:spacing w:after="0"/>
              <w:rPr>
                <w:sz w:val="20"/>
                <w:szCs w:val="20"/>
                <w:color w:val="auto"/>
              </w:rPr>
            </w:pPr>
            <w:r>
              <w:rPr>
                <w:rFonts w:ascii="Arial" w:cs="Arial" w:eastAsia="Arial" w:hAnsi="Arial"/>
                <w:sz w:val="18"/>
                <w:szCs w:val="18"/>
                <w:color w:val="auto"/>
                <w:w w:val="91"/>
              </w:rPr>
              <w:t>0.01</w:t>
            </w:r>
          </w:p>
        </w:tc>
        <w:tc>
          <w:tcPr>
            <w:tcW w:w="22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(e)</w:t>
            </w:r>
          </w:p>
        </w:tc>
        <w:tc>
          <w:tcPr>
            <w:tcW w:w="7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0.01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auto"/>
            </w:tcBorders>
          </w:tcPr>
          <w:p>
            <w:pPr>
              <w:ind w:left="34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(f)</w:t>
            </w:r>
          </w:p>
        </w:tc>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1"/>
              </w:rPr>
              <w:t>0.08</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earnings (non-GAAP)</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0.55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right="540" w:hanging="172"/>
        <w:spacing w:after="0" w:line="233"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non-regulated energy marketing margins related to the winter weather event in February 2021 and are included in operating revenues on the consolidated statements of comprehensive income.</w:t>
      </w:r>
    </w:p>
    <w:p>
      <w:pPr>
        <w:spacing w:after="0" w:line="1" w:lineRule="exact"/>
        <w:rPr>
          <w:rFonts w:ascii="Arial" w:cs="Arial" w:eastAsia="Arial" w:hAnsi="Arial"/>
          <w:sz w:val="20"/>
          <w:szCs w:val="20"/>
          <w:color w:val="auto"/>
          <w:vertAlign w:val="superscript"/>
        </w:rPr>
      </w:pPr>
    </w:p>
    <w:p>
      <w:pPr>
        <w:ind w:left="180" w:right="82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non-regulated energy marketing incentive compensation costs related to the winter weather event in February 2021 and are included in operating and maintenance expense on the consolidated statements of comprehensive income.</w:t>
      </w:r>
    </w:p>
    <w:p>
      <w:pPr>
        <w:ind w:left="180" w:right="160" w:hanging="172"/>
        <w:spacing w:after="0" w:line="213" w:lineRule="auto"/>
        <w:tabs>
          <w:tab w:leader="none" w:pos="175"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costs associated with executive transition including inducement bonuses, severance agreements and other transition expenses and are included in operating and maintenance expense on the consolidated statements of comprehensive income.</w:t>
      </w:r>
    </w:p>
    <w:p>
      <w:pPr>
        <w:ind w:left="180" w:right="8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severance costs incurred associated with certain voluntary severance programs at the Evergy Companies and are included in operating and maintenance expense on the consolidated statements of comprehensive income.</w:t>
      </w:r>
    </w:p>
    <w:p>
      <w:pPr>
        <w:ind w:left="180" w:right="720" w:hanging="172"/>
        <w:spacing w:after="0" w:line="225"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advisor expenses incurred associated with strategic planning and are included in operating and maintenance expense on the consolidated statements of comprehensive income.</w:t>
      </w:r>
    </w:p>
    <w:p>
      <w:pPr>
        <w:ind w:left="160" w:hanging="152"/>
        <w:spacing w:after="0" w:line="200" w:lineRule="auto"/>
        <w:tabs>
          <w:tab w:leader="none" w:pos="16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an income tax effect calculated at a statutory rate of approximately 22% in 2021 and 26% in 2020, with the exception of certain non-deductible items.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Wolf Creek Refueling Outage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Wolf Creek's most recent refueling outage began in March 2021 and the unit is expected to return to service in May 2021.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9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10 to the consolidated financial statements for information regarding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0"/>
        </w:trPr>
        <w:tc>
          <w:tcPr>
            <w:tcW w:w="7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31"/>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1,611.9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495.2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635.1</w:t>
            </w:r>
          </w:p>
        </w:tc>
        <w:tc>
          <w:tcPr>
            <w:tcW w:w="28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376.9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275.5</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219.3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94.9</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317.7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120.2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6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194.6</w:t>
            </w:r>
          </w:p>
        </w:tc>
        <w:tc>
          <w:tcPr>
            <w:tcW w:w="28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122.4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122.2</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Utility Gross Margin and MWh Sales</w:t>
      </w:r>
    </w:p>
    <w:p>
      <w:pPr>
        <w:spacing w:after="0" w:line="22"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Utility gross margin is a financial measure that is not calculated in accordance with GAAP. Utility gross margin,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w:t>
      </w:r>
    </w:p>
    <w:p>
      <w:pPr>
        <w:spacing w:after="0" w:line="18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Management believes that utility gross margin provides a meaningful basis for evaluating the Evergy Companies' operations across periods because utility gross margin excludes the revenue effect of fluctuations in these expenses. Utility gross margin is used internally to measure performance against budget and in reports for management and the Evergy Board. Utility gross margin should be viewed as a supplement to, and not a substitute for, income from operations, which is the most directly comparable financial measure prepared in accordance with GAAP. The Evergy Companies' definition of utility gross margin may differ from similar terms used by other companies.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ind w:left="1"/>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The following table summarizes Evergy's utility gross margin and MWhs sold and provides a reconciliation of utility gross margin to income from operations.</w:t>
      </w:r>
    </w:p>
    <w:p>
      <w:pPr>
        <w:spacing w:after="0" w:line="201"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3,962</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384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346.0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384.7</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4,222</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16</w:t>
            </w:r>
          </w:p>
        </w:tc>
        <w:tc>
          <w:tcPr>
            <w:tcW w:w="840" w:type="dxa"/>
            <w:vAlign w:val="bottom"/>
          </w:tcPr>
          <w:p>
            <w:pPr>
              <w:jc w:val="right"/>
              <w:spacing w:after="0"/>
              <w:rPr>
                <w:sz w:val="20"/>
                <w:szCs w:val="20"/>
                <w:color w:val="auto"/>
              </w:rPr>
            </w:pPr>
            <w:r>
              <w:rPr>
                <w:rFonts w:ascii="Arial" w:cs="Arial" w:eastAsia="Arial" w:hAnsi="Arial"/>
                <w:sz w:val="18"/>
                <w:szCs w:val="18"/>
                <w:color w:val="auto"/>
              </w:rPr>
              <w:t>4,206</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2,058</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883.7</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10,273</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457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487.5</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424.0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4,313</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1,439</w:t>
            </w:r>
          </w:p>
        </w:tc>
        <w:tc>
          <w:tcPr>
            <w:tcW w:w="840" w:type="dxa"/>
            <w:vAlign w:val="bottom"/>
          </w:tcPr>
          <w:p>
            <w:pPr>
              <w:jc w:val="right"/>
              <w:spacing w:after="0"/>
              <w:rPr>
                <w:sz w:val="20"/>
                <w:szCs w:val="20"/>
                <w:color w:val="auto"/>
              </w:rPr>
            </w:pPr>
            <w:r>
              <w:rPr>
                <w:rFonts w:ascii="Arial" w:cs="Arial" w:eastAsia="Arial" w:hAnsi="Arial"/>
                <w:sz w:val="18"/>
                <w:szCs w:val="18"/>
                <w:color w:val="auto"/>
              </w:rPr>
              <w:t>2,874</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154.7</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1,611.9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495.2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14,586</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(635.1)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907.4</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110.9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796.5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7"/>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120.2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197.5</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bl>
    <w:p>
      <w:pPr>
        <w:ind w:left="161" w:hanging="161"/>
        <w:spacing w:after="0" w:line="230" w:lineRule="auto"/>
        <w:tabs>
          <w:tab w:leader="none" w:pos="16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Utility gross margin is a non-GAAP financial measure. See explanation of utility gross margin above.</w:t>
      </w:r>
    </w:p>
    <w:p>
      <w:pPr>
        <w:spacing w:after="0" w:line="300" w:lineRule="exact"/>
        <w:rPr>
          <w:sz w:val="20"/>
          <w:szCs w:val="20"/>
          <w:color w:val="auto"/>
        </w:rPr>
      </w:pPr>
    </w:p>
    <w:p>
      <w:pPr>
        <w:ind w:left="1" w:right="340"/>
        <w:spacing w:after="0" w:line="260" w:lineRule="auto"/>
        <w:rPr>
          <w:sz w:val="20"/>
          <w:szCs w:val="20"/>
          <w:color w:val="auto"/>
        </w:rPr>
      </w:pPr>
      <w:r>
        <w:rPr>
          <w:rFonts w:ascii="Arial" w:cs="Arial" w:eastAsia="Arial" w:hAnsi="Arial"/>
          <w:sz w:val="20"/>
          <w:szCs w:val="20"/>
          <w:color w:val="auto"/>
        </w:rPr>
        <w:t>Evergy's utility gross margin increased $110.9 million for the three months ended March 31, 2021, compared to the same period in 2020, driven by:</w:t>
      </w:r>
    </w:p>
    <w:p>
      <w:pPr>
        <w:spacing w:after="0" w:line="69" w:lineRule="exact"/>
        <w:rPr>
          <w:sz w:val="20"/>
          <w:szCs w:val="20"/>
          <w:color w:val="auto"/>
        </w:rPr>
      </w:pPr>
    </w:p>
    <w:p>
      <w:pPr>
        <w:ind w:left="661" w:right="240" w:hanging="328"/>
        <w:spacing w:after="0" w:line="260" w:lineRule="auto"/>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$96.5 million of non-regulated energy marketing margins recognized at Evergy Kansas Central during the winter weather event in February 2021; and</w:t>
      </w:r>
    </w:p>
    <w:p>
      <w:pPr>
        <w:spacing w:after="0" w:line="68" w:lineRule="exact"/>
        <w:rPr>
          <w:rFonts w:ascii="Arial" w:cs="Arial" w:eastAsia="Arial" w:hAnsi="Arial"/>
          <w:sz w:val="20"/>
          <w:szCs w:val="20"/>
          <w:color w:val="auto"/>
        </w:rPr>
      </w:pPr>
    </w:p>
    <w:p>
      <w:pPr>
        <w:ind w:left="661" w:right="120" w:hanging="328"/>
        <w:spacing w:after="0" w:line="250" w:lineRule="auto"/>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$22.0 million increase primarily due to colder winter weather (heating degree days increased by 11%) and an increase in weather-normalized residential and industrial demand, partially offset by a decrease in weather-normalized commercial demand; partially offset by</w:t>
      </w:r>
    </w:p>
    <w:p>
      <w:pPr>
        <w:spacing w:after="0" w:line="77" w:lineRule="exact"/>
        <w:rPr>
          <w:rFonts w:ascii="Arial" w:cs="Arial" w:eastAsia="Arial" w:hAnsi="Arial"/>
          <w:sz w:val="20"/>
          <w:szCs w:val="20"/>
          <w:color w:val="auto"/>
        </w:rPr>
      </w:pPr>
    </w:p>
    <w:p>
      <w:pPr>
        <w:ind w:left="661" w:right="80" w:hanging="328"/>
        <w:spacing w:after="0" w:line="260" w:lineRule="auto"/>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$7.2 million decrease in revenues at Evergy Kansas Central and Evergy Metro due to rate reductions beginning January 1, 2021 in Kansas to reflect their exemption from Kansas corporate income taxes; and</w:t>
      </w:r>
    </w:p>
    <w:p>
      <w:pPr>
        <w:spacing w:after="0" w:line="68" w:lineRule="exact"/>
        <w:rPr>
          <w:rFonts w:ascii="Arial" w:cs="Arial" w:eastAsia="Arial" w:hAnsi="Arial"/>
          <w:sz w:val="20"/>
          <w:szCs w:val="20"/>
          <w:color w:val="auto"/>
        </w:rPr>
      </w:pPr>
    </w:p>
    <w:p>
      <w:pPr>
        <w:ind w:left="641" w:hanging="308"/>
        <w:spacing w:after="0"/>
        <w:tabs>
          <w:tab w:leader="none" w:pos="6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$0.4 million net decrease due to other impacts primarily from the February 2021 winter weather event driven by:</w:t>
      </w:r>
    </w:p>
    <w:p>
      <w:pPr>
        <w:spacing w:after="0" w:line="107" w:lineRule="exact"/>
        <w:rPr>
          <w:rFonts w:ascii="Arial" w:cs="Arial" w:eastAsia="Arial" w:hAnsi="Arial"/>
          <w:sz w:val="20"/>
          <w:szCs w:val="20"/>
          <w:color w:val="auto"/>
        </w:rPr>
      </w:pPr>
    </w:p>
    <w:p>
      <w:pPr>
        <w:jc w:val="both"/>
        <w:ind w:left="1301" w:right="280" w:hanging="320"/>
        <w:spacing w:after="0" w:line="250" w:lineRule="auto"/>
        <w:tabs>
          <w:tab w:leader="none" w:pos="129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$21.1 million decrease at Evergy Missouri West driven by $14.9 million of increased fuel and purchased power costs in February 2021 that are not recoverable from customers through its fuel recovery mechanism and $6.2 million related to a special requirements contract with an industrial customer; and</w:t>
      </w:r>
    </w:p>
    <w:p>
      <w:pPr>
        <w:spacing w:after="0" w:line="77" w:lineRule="exact"/>
        <w:rPr>
          <w:rFonts w:ascii="Arial" w:cs="Arial" w:eastAsia="Arial" w:hAnsi="Arial"/>
          <w:sz w:val="20"/>
          <w:szCs w:val="20"/>
          <w:color w:val="auto"/>
        </w:rPr>
      </w:pPr>
    </w:p>
    <w:p>
      <w:pPr>
        <w:ind w:left="1301" w:hanging="320"/>
        <w:spacing w:after="0" w:line="250" w:lineRule="auto"/>
        <w:tabs>
          <w:tab w:leader="none" w:pos="129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$12.5 million decrease at Evergy Metro primarily driven by jurisdictional allocation differences between its fuel recovery mechanisms in Missouri and Kansas regarding its refund to customers for the net increase in wholesale revenues in February 2021; partially offset by</w:t>
      </w:r>
    </w:p>
    <w:p>
      <w:pPr>
        <w:spacing w:after="0" w:line="77" w:lineRule="exact"/>
        <w:rPr>
          <w:rFonts w:ascii="Arial" w:cs="Arial" w:eastAsia="Arial" w:hAnsi="Arial"/>
          <w:sz w:val="20"/>
          <w:szCs w:val="20"/>
          <w:color w:val="auto"/>
        </w:rPr>
      </w:pPr>
    </w:p>
    <w:p>
      <w:pPr>
        <w:ind w:left="1301" w:right="200" w:hanging="320"/>
        <w:spacing w:after="0" w:line="260" w:lineRule="auto"/>
        <w:tabs>
          <w:tab w:leader="none" w:pos="129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$34.0 million increase at Evergy Kansas Central driven by higher utility gross margin at its non-regulated 8% ownership share of JEC due to higher wholesale sales prices and MWhs sold in February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50" w:name="page51"/>
    <w:bookmarkEnd w:id="5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2"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Evergy's operating and maintenance expense decreased $12.7 million for the three months ended March 31, 2021, compared to the same period in 2020, primarily driven by:</w:t>
      </w:r>
    </w:p>
    <w:p>
      <w:pPr>
        <w:spacing w:after="0" w:line="83" w:lineRule="exact"/>
        <w:rPr>
          <w:sz w:val="20"/>
          <w:szCs w:val="20"/>
          <w:color w:val="auto"/>
        </w:rPr>
      </w:pPr>
    </w:p>
    <w:p>
      <w:pPr>
        <w:ind w:left="660" w:right="40" w:hanging="328"/>
        <w:spacing w:after="0" w:line="342" w:lineRule="auto"/>
        <w:tabs>
          <w:tab w:leader="none" w:pos="6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$24.9 million decrease in voluntary severance expenses due to an $18.7 million decrease at Evergy Kansas Central, Evergy Metro and Evergy Missouri West related to Evergy voluntary exit programs in 2020 and a $6.2 million decrease in voluntary severance expenses incurred at Evergy Kansas Central and Evergy Metro related to Wolf Creek voluntary exit programs in 2020; and</w:t>
      </w:r>
    </w:p>
    <w:p>
      <w:pPr>
        <w:spacing w:after="0" w:line="9" w:lineRule="exact"/>
        <w:rPr>
          <w:rFonts w:ascii="Arial" w:cs="Arial" w:eastAsia="Arial" w:hAnsi="Arial"/>
          <w:sz w:val="16"/>
          <w:szCs w:val="16"/>
          <w:color w:val="auto"/>
        </w:rPr>
      </w:pPr>
    </w:p>
    <w:p>
      <w:pPr>
        <w:ind w:left="660" w:right="54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$5.1 million decrease in advisor expenses incurred in the first quarter of 2021 by Evergy associated with strategic planning; partially offset by</w:t>
      </w:r>
    </w:p>
    <w:p>
      <w:pPr>
        <w:spacing w:after="0" w:line="6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$6.5 million increase in plant operating and maintenance expense at Evergy Kansas Central related to a major maintenance outage at JEC in the first quarter of 2021;</w:t>
      </w:r>
    </w:p>
    <w:p>
      <w:pPr>
        <w:spacing w:after="0" w:line="68" w:lineRule="exact"/>
        <w:rPr>
          <w:rFonts w:ascii="Arial" w:cs="Arial" w:eastAsia="Arial" w:hAnsi="Arial"/>
          <w:sz w:val="20"/>
          <w:szCs w:val="20"/>
          <w:color w:val="auto"/>
        </w:rPr>
      </w:pPr>
    </w:p>
    <w:p>
      <w:pPr>
        <w:ind w:left="660" w:right="44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$5.5 million of costs associated with executive transition in the first quarter of 2021, including inducement bonuses, severance agreements and other transition expenses;</w:t>
      </w:r>
    </w:p>
    <w:p>
      <w:pPr>
        <w:spacing w:after="0" w:line="68" w:lineRule="exact"/>
        <w:rPr>
          <w:rFonts w:ascii="Arial" w:cs="Arial" w:eastAsia="Arial" w:hAnsi="Arial"/>
          <w:sz w:val="20"/>
          <w:szCs w:val="20"/>
          <w:color w:val="auto"/>
        </w:rPr>
      </w:pPr>
    </w:p>
    <w:p>
      <w:pPr>
        <w:ind w:left="660" w:right="460" w:hanging="328"/>
        <w:spacing w:after="0" w:line="369" w:lineRule="auto"/>
        <w:tabs>
          <w:tab w:leader="none" w:pos="6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$3.0 million increase in property insurance expense due to a lower annual refund of nuclear insurance premiums received by Evergy Kansas Central and Evergy Metro in the first quarter of 2021 related to their ownership interests in Wolf Creek; and</w:t>
      </w:r>
    </w:p>
    <w:p>
      <w:pPr>
        <w:spacing w:after="0" w:line="1" w:lineRule="exact"/>
        <w:rPr>
          <w:rFonts w:ascii="Arial" w:cs="Arial" w:eastAsia="Arial" w:hAnsi="Arial"/>
          <w:sz w:val="16"/>
          <w:szCs w:val="16"/>
          <w:color w:val="auto"/>
        </w:rPr>
      </w:pPr>
    </w:p>
    <w:p>
      <w:pPr>
        <w:ind w:left="660" w:right="38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$2.0 million of costs at Evergy Kansas Central related to non-regulated energy marketing margins recognized during the winter weather event in February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 Net</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Evergy's other expense, net decreased $13.1 million for the three months ended March 31, 2021, compared to the same period in 2020, primarily driven by:</w:t>
      </w:r>
    </w:p>
    <w:p>
      <w:pPr>
        <w:spacing w:after="0" w:line="83" w:lineRule="exact"/>
        <w:rPr>
          <w:sz w:val="20"/>
          <w:szCs w:val="20"/>
          <w:color w:val="auto"/>
        </w:rPr>
      </w:pPr>
    </w:p>
    <w:p>
      <w:pPr>
        <w:ind w:left="660" w:right="20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$5.7 million decrease due to higher Evergy Kansas Central and Evergy Metro equity AFUDC primarily due to lower short-term debt and higher construction work in progress balances in the first quarter of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$3.1 million of other income recorded in the first quarter of 2021 related to a contract termination fee; and</w:t>
      </w:r>
    </w:p>
    <w:p>
      <w:pPr>
        <w:spacing w:after="0" w:line="107" w:lineRule="exact"/>
        <w:rPr>
          <w:rFonts w:ascii="Arial" w:cs="Arial" w:eastAsia="Arial" w:hAnsi="Arial"/>
          <w:sz w:val="20"/>
          <w:szCs w:val="20"/>
          <w:color w:val="auto"/>
        </w:rPr>
      </w:pPr>
    </w:p>
    <w:p>
      <w:pPr>
        <w:ind w:left="660" w:right="24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$2.4 million decrease due to higher investment earnings primarily due to an unrealized gain from equity investments in the first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2"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auto"/>
        </w:rPr>
        <w:t>Evergy's income tax expense increased $12.9 million for the three months ended March 31,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$36.5 million increase primarily due to higher Evergy Kansas Central pre-tax income in 2021; partially offset by</w:t>
      </w:r>
    </w:p>
    <w:p>
      <w:pPr>
        <w:spacing w:after="0" w:line="107" w:lineRule="exact"/>
        <w:rPr>
          <w:rFonts w:ascii="Arial" w:cs="Arial" w:eastAsia="Arial" w:hAnsi="Arial"/>
          <w:sz w:val="20"/>
          <w:szCs w:val="20"/>
          <w:color w:val="auto"/>
        </w:rPr>
      </w:pPr>
    </w:p>
    <w:p>
      <w:pPr>
        <w:ind w:left="660" w:right="22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$10.2 million decrease as a result of the state of Kansas exempting certain public utilities, including Evergy Kansas Central and Evergy Metro, from Kansas corporate income tax beginning in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$9.0 million decrease due to flow-through items primarily driven by higher amortization of excess deferred income taxes; and</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$3.7 million decrease due to higher wind and other income tax credits in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2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Evergy relies primarily upon cash from operations, short-term borrowings,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2020 Form 10-K for more information on Evergy's sources and uses of cash.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51" w:name="page52"/>
    <w:bookmarkEnd w:id="5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As of March 31, 2021, Evergy had $482.0 million of cash and cash equivalents on hand and $1.2 billion of available borrowing capacity under its master credit facility. Evergy believes that its existing cash on hand and available borrowing capacity under its master credit facility provide sufficient liquidity for its existing capital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As of March 31, 2021, Evergy had $1.2 billion of available borrowing capacity under its master credit facility. The available borrowing capacity under the master credit facility consisted of $354.3 million for Evergy, Inc., $504.2 million for Evergy Kansas Central, $235.0 million for Evergy Metro and $110.0 million for Evergy Missouri West. The Evergy Companies' borrowing capacity under the master credit facility also supports their issuance of commercial paper. See Note 6 to the consolidated financial statements for more information regarding the master credit facility. Along with cash flows from operations and receivable sales facilities, Evergy generally uses borrowings under its master credit facility and the issuance of commercial paper to meet its day-to-day cash flow requirements.</w:t>
      </w:r>
    </w:p>
    <w:p>
      <w:pPr>
        <w:spacing w:after="0" w:line="170"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In May 2021, Evergy, Inc. established a commercial paper program that will be supported by its borrowing capacity under the master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7 to the consolidated financial statements for information regarding significant debt issuances.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Issuance</w:t>
      </w:r>
    </w:p>
    <w:p>
      <w:pPr>
        <w:spacing w:after="0" w:line="22"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See Note 11 to the consolidated financial statements for information regarding Evergy's securities purchase agreement with an affiliate of Bluescape to purchase Evergy's common stock and a warrant that was completed in April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For the three months ended March 31, 2021, Evergy made pension contributions of $27.8 million. Evergy expects to make additional pension contributions of $107.4 million in 2021 to satisfy ERISA funding requirements and KCC and MPSC rate orders, of which $42.1 million is expected to be paid by Evergy Kansas Central and $65.3 million is expected to be paid by Evergy Metro. Also in 2021, Evergy expects to make post-retirement benefit contributions of $4.0 million.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As of March 31, 2021, Evergy was in compliance with all debt covenants under the master credit facility and certain debt instruments that contain restrictions that require the maintenance of certain capitalization and leverage ratios. See Note 6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2"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color w:val="auto"/>
        </w:rPr>
        <w:t>Evergy's off-balance sheet arrangements were reported in the Evergy Companies' combined 2020 Form 10-K. See Note 7 to the consolidated financial statements for information regarding Evergy's agreement to unconditionally guarantee certain series of Evergy Missouri West long-term debt in April 2021.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8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7"/>
        </w:trPr>
        <w:tc>
          <w:tcPr>
            <w:tcW w:w="60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7"/>
                <w:szCs w:val="17"/>
                <w:color w:val="auto"/>
              </w:rPr>
            </w:pPr>
          </w:p>
        </w:tc>
      </w:tr>
      <w:tr>
        <w:trPr>
          <w:trHeight w:val="23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(used in) Operating Activities</w:t>
            </w:r>
          </w:p>
        </w:tc>
        <w:tc>
          <w:tcPr>
            <w:tcW w:w="2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320.6</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8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(475.2)</w:t>
            </w:r>
          </w:p>
        </w:tc>
        <w:tc>
          <w:tcPr>
            <w:tcW w:w="420" w:type="dxa"/>
            <w:vAlign w:val="bottom"/>
          </w:tcPr>
          <w:p>
            <w:pPr>
              <w:spacing w:after="0"/>
              <w:rPr>
                <w:sz w:val="19"/>
                <w:szCs w:val="19"/>
                <w:color w:val="auto"/>
              </w:rPr>
            </w:pPr>
          </w:p>
        </w:tc>
        <w:tc>
          <w:tcPr>
            <w:tcW w:w="920" w:type="dxa"/>
            <w:vAlign w:val="bottom"/>
          </w:tcPr>
          <w:p>
            <w:pPr>
              <w:jc w:val="center"/>
              <w:ind w:left="270"/>
              <w:spacing w:after="0"/>
              <w:rPr>
                <w:sz w:val="20"/>
                <w:szCs w:val="20"/>
                <w:color w:val="auto"/>
              </w:rPr>
            </w:pPr>
            <w:r>
              <w:rPr>
                <w:rFonts w:ascii="Arial" w:cs="Arial" w:eastAsia="Arial" w:hAnsi="Arial"/>
                <w:sz w:val="18"/>
                <w:szCs w:val="18"/>
                <w:color w:val="auto"/>
                <w:w w:val="91"/>
              </w:rPr>
              <w:t>(333.4)</w:t>
            </w:r>
          </w:p>
        </w:tc>
      </w:tr>
      <w:tr>
        <w:trPr>
          <w:trHeight w:val="237"/>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294.0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(used in) Operating Activities</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Evergy's cash flows from (used in) operating activities decreased $349.2 million for the three months ended March 31,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$363.7 million of cash payments for net fuel and purchased power costs during the February 2021 winter weather event; and</w:t>
      </w:r>
    </w:p>
    <w:p>
      <w:pPr>
        <w:spacing w:after="0" w:line="119" w:lineRule="exact"/>
        <w:rPr>
          <w:rFonts w:ascii="Arial" w:cs="Arial" w:eastAsia="Arial" w:hAnsi="Arial"/>
          <w:sz w:val="19"/>
          <w:szCs w:val="19"/>
          <w:color w:val="auto"/>
        </w:rPr>
      </w:pPr>
    </w:p>
    <w:p>
      <w:pPr>
        <w:ind w:left="660" w:right="40" w:hanging="328"/>
        <w:spacing w:after="0" w:line="25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$99.5 million increase in cash payments due to the timing of payments made to taxing authorities for property tax payments as well as various suppliers and other service providers for goods and services purchased in the ordinary course of business; partially offset by</w:t>
      </w:r>
    </w:p>
    <w:p>
      <w:pPr>
        <w:spacing w:after="0" w:line="77" w:lineRule="exact"/>
        <w:rPr>
          <w:rFonts w:ascii="Arial" w:cs="Arial" w:eastAsia="Arial" w:hAnsi="Arial"/>
          <w:sz w:val="20"/>
          <w:szCs w:val="20"/>
          <w:color w:val="auto"/>
        </w:rPr>
      </w:pPr>
    </w:p>
    <w:p>
      <w:pPr>
        <w:ind w:left="660" w:right="30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$90.6 million of cash receipts related to non-regulated energy marketing margins earned during the February 2021 winter weather event.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16"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Evergy's cash flows used in investing activities increased $141.8 million for the three months ended March 31, 2021, compared to the same period in 2020, primarily driven by:</w:t>
      </w:r>
    </w:p>
    <w:p>
      <w:pPr>
        <w:spacing w:after="0" w:line="83" w:lineRule="exact"/>
        <w:rPr>
          <w:sz w:val="20"/>
          <w:szCs w:val="20"/>
          <w:color w:val="auto"/>
        </w:rPr>
      </w:pPr>
    </w:p>
    <w:p>
      <w:pPr>
        <w:ind w:left="660" w:right="60" w:hanging="328"/>
        <w:spacing w:after="0" w:line="24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$113.3 million increase in additions to property, plant and equipment due to increases at Evergy Kansas Central, Evergy Metro and Evergy Missouri West of $54.5 million, $24.5 million and $34.3 million, respectively, primarily due to increased spending for a variety of capital projects including transmission and distribution projects related to grid resiliency and other infrastructure improvements; and</w:t>
      </w:r>
    </w:p>
    <w:p>
      <w:pPr>
        <w:spacing w:after="0" w:line="83" w:lineRule="exact"/>
        <w:rPr>
          <w:rFonts w:ascii="Arial" w:cs="Arial" w:eastAsia="Arial" w:hAnsi="Arial"/>
          <w:sz w:val="20"/>
          <w:szCs w:val="20"/>
          <w:color w:val="auto"/>
        </w:rPr>
      </w:pPr>
    </w:p>
    <w:p>
      <w:pPr>
        <w:ind w:left="660" w:right="38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decrease of $30.0 million in proceeds from corporate-owned life insurance (COLI) investments, primarily from Evergy Kansas Central, due to a higher number of policy settlements in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16"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auto"/>
        </w:rPr>
        <w:t>Evergy's cash flows from financing activities increased $546.9 million for the three months ended March 31, 2021, compared to the same period in 2020, primarily driven by:</w:t>
      </w:r>
    </w:p>
    <w:p>
      <w:pPr>
        <w:spacing w:after="0" w:line="83" w:lineRule="exact"/>
        <w:rPr>
          <w:sz w:val="20"/>
          <w:szCs w:val="20"/>
          <w:color w:val="auto"/>
        </w:rPr>
      </w:pPr>
    </w:p>
    <w:p>
      <w:pPr>
        <w:ind w:left="660" w:right="320" w:hanging="328"/>
        <w:spacing w:after="0" w:line="24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$486.9 million increase in short-term debt borrowings primarily driven by an increase of $525.0 million of commercial paper borrowings in 2021 at Evergy Missouri West to support the payment of costs related to the winter weather event and for the repayment of a $347.4 million affiliated note payable to Evergy prior to the issuance of Evergy Missouri West's $500.0 million of Series A, B and C Senior Notes in April 2021; and</w:t>
      </w:r>
    </w:p>
    <w:p>
      <w:pPr>
        <w:spacing w:after="0" w:line="83" w:lineRule="exact"/>
        <w:rPr>
          <w:rFonts w:ascii="Arial" w:cs="Arial" w:eastAsia="Arial" w:hAnsi="Arial"/>
          <w:sz w:val="20"/>
          <w:szCs w:val="20"/>
          <w:color w:val="auto"/>
        </w:rPr>
      </w:pPr>
    </w:p>
    <w:p>
      <w:pPr>
        <w:ind w:left="660" w:right="30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$27.7 million decrease in the repayment of borrowings against cash surrender value of corporate-owned life insurance primarily due to a higher number of policy settlements in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EVERGY KANSAS CENTRAL, INC.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0"/>
        </w:trPr>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341.0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294.8</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195.6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130.8</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115.5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50.3</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240.3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125.8</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181.1</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125.9</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Kansas Central,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125.7</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Utility Gross Margin and MWh Sales</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The following table summarizes Evergy Kansas Central's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Revenues and Expenses</w:t>
            </w:r>
          </w:p>
        </w:tc>
        <w:tc>
          <w:tcPr>
            <w:tcW w:w="6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3"/>
              </w:rPr>
              <w:t>Change</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2020</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1,538</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153.7</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151.1</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1,635</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1,624</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1,326</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3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3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8</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433.3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17.6</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4,507</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272.4</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217.6</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3,249</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1,780</w:t>
            </w:r>
          </w:p>
        </w:tc>
        <w:tc>
          <w:tcPr>
            <w:tcW w:w="96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117.5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96.1</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901.1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341.0</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7,756</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(294.8)</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(195.6)</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(69.4)</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(7.4)</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39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536.9</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b w:val="1"/>
                <w:bCs w:val="1"/>
                <w:color w:val="auto"/>
              </w:rPr>
              <w:t>138.0</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398.9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(115.5)</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(50.3)</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125.8</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pacing w:after="0" w:line="71"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Utility gross margin is a non-GAAP financial measure. See explanation of utility gross margin under Evergy's Results of Operations.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47"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4" w:name="page55"/>
    <w:bookmarkEnd w:id="5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Evergy Kansas Central's utility gross margin increased $138.0 million for the three months ended March 31, 2021, compared to the same period in 2020, primarily driven by:</w:t>
      </w:r>
    </w:p>
    <w:p>
      <w:pPr>
        <w:spacing w:after="0" w:line="6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$96.5 million of non-regulated energy marketing margins recognized during the winter weather event in February 2021; and</w:t>
      </w:r>
    </w:p>
    <w:p>
      <w:pPr>
        <w:spacing w:after="0" w:line="119" w:lineRule="exact"/>
        <w:rPr>
          <w:rFonts w:ascii="Arial" w:cs="Arial" w:eastAsia="Arial" w:hAnsi="Arial"/>
          <w:sz w:val="19"/>
          <w:szCs w:val="19"/>
          <w:color w:val="auto"/>
        </w:rPr>
      </w:pPr>
    </w:p>
    <w:p>
      <w:pPr>
        <w:ind w:left="660" w:right="80" w:hanging="328"/>
        <w:spacing w:after="0" w:line="25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$34.0 million increase due to other impacts from the February 2021 winter weather event driven by higher utility gross margin at Evergy Kansas Central's non-regulated 8% ownership share of JEC due to higher wholesale sales prices and MWhs sold in February 2021; partially offset by</w:t>
      </w:r>
    </w:p>
    <w:p>
      <w:pPr>
        <w:spacing w:after="0" w:line="77" w:lineRule="exact"/>
        <w:rPr>
          <w:rFonts w:ascii="Arial" w:cs="Arial" w:eastAsia="Arial" w:hAnsi="Arial"/>
          <w:sz w:val="20"/>
          <w:szCs w:val="20"/>
          <w:color w:val="auto"/>
        </w:rPr>
      </w:pPr>
    </w:p>
    <w:p>
      <w:pPr>
        <w:ind w:left="660" w:right="22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$5.1 million decrease in revenues due to a rate reduction beginning January 1, 2021 in Kansas to reflect the exemption of Evergy Kansas Central from Kansas corporate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Evergy Kansas Central's operating and maintenance expense increased $7.1 million for the three months ended March 31, 2021, compared to the same period in 2020, primarily driven by:</w:t>
      </w:r>
    </w:p>
    <w:p>
      <w:pPr>
        <w:spacing w:after="0" w:line="83" w:lineRule="exact"/>
        <w:rPr>
          <w:sz w:val="20"/>
          <w:szCs w:val="20"/>
          <w:color w:val="auto"/>
        </w:rPr>
      </w:pPr>
    </w:p>
    <w:p>
      <w:pPr>
        <w:ind w:left="660" w:right="480" w:hanging="328"/>
        <w:spacing w:after="0" w:line="25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$7.2 million increase in various administrative and general operating and maintenance expenses that included a $1.6 million increase in property insurance expense due to a lower annual refund of nuclear insurance premiums received by Evergy Kansas Central in the first quarter of 2021 related to its ownership interest in Wolf Creek;</w:t>
      </w:r>
    </w:p>
    <w:p>
      <w:pPr>
        <w:spacing w:after="0" w:line="77" w:lineRule="exact"/>
        <w:rPr>
          <w:rFonts w:ascii="Arial" w:cs="Arial" w:eastAsia="Arial" w:hAnsi="Arial"/>
          <w:sz w:val="20"/>
          <w:szCs w:val="20"/>
          <w:color w:val="auto"/>
        </w:rPr>
      </w:pPr>
    </w:p>
    <w:p>
      <w:pPr>
        <w:ind w:left="660" w:right="14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$6.5 million increase in plant operating and maintenance expense related to a major maintenance outage at JEC in the first quarter of 2021;</w:t>
      </w:r>
    </w:p>
    <w:p>
      <w:pPr>
        <w:spacing w:after="0" w:line="68" w:lineRule="exact"/>
        <w:rPr>
          <w:rFonts w:ascii="Arial" w:cs="Arial" w:eastAsia="Arial" w:hAnsi="Arial"/>
          <w:sz w:val="20"/>
          <w:szCs w:val="20"/>
          <w:color w:val="auto"/>
        </w:rPr>
      </w:pPr>
    </w:p>
    <w:p>
      <w:pPr>
        <w:ind w:left="660" w:right="56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$2.7 million of costs associated with executive transition in the first quarter of 2021, including inducement bonuses, severance agreements and other transition expenses; and</w:t>
      </w:r>
    </w:p>
    <w:p>
      <w:pPr>
        <w:spacing w:after="0" w:line="68" w:lineRule="exact"/>
        <w:rPr>
          <w:rFonts w:ascii="Arial" w:cs="Arial" w:eastAsia="Arial" w:hAnsi="Arial"/>
          <w:sz w:val="20"/>
          <w:szCs w:val="20"/>
          <w:color w:val="auto"/>
        </w:rPr>
      </w:pPr>
    </w:p>
    <w:p>
      <w:pPr>
        <w:ind w:left="660" w:right="44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$2.0 million of costs related to non-regulated energy marketing margins recognized during the winter weather event in February 2021; partially offset by</w:t>
      </w:r>
    </w:p>
    <w:p>
      <w:pPr>
        <w:spacing w:after="0" w:line="68" w:lineRule="exact"/>
        <w:rPr>
          <w:rFonts w:ascii="Arial" w:cs="Arial" w:eastAsia="Arial" w:hAnsi="Arial"/>
          <w:sz w:val="20"/>
          <w:szCs w:val="20"/>
          <w:color w:val="auto"/>
        </w:rPr>
      </w:pPr>
    </w:p>
    <w:p>
      <w:pPr>
        <w:ind w:left="660" w:right="60" w:hanging="328"/>
        <w:spacing w:after="0" w:line="31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$12.2 million decrease in voluntary severance expenses due to a $9.1 million decrease related to Evergy voluntary exit programs in 2020 and a $3.1 million decrease in voluntary severance expenses related to Wolf Creek voluntary exit programs in 2020.</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Expense, Net</w:t>
      </w:r>
    </w:p>
    <w:p>
      <w:pPr>
        <w:spacing w:after="0" w:line="2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Evergy Kansas Central's other expense, net decreased $7.9 million for the three months ended March 31, 2021, compared to the same period in 2020, primarily driven by:</w:t>
      </w:r>
    </w:p>
    <w:p>
      <w:pPr>
        <w:spacing w:after="0" w:line="83" w:lineRule="exact"/>
        <w:rPr>
          <w:sz w:val="20"/>
          <w:szCs w:val="20"/>
          <w:color w:val="auto"/>
        </w:rPr>
      </w:pPr>
    </w:p>
    <w:p>
      <w:pPr>
        <w:ind w:left="660" w:hanging="328"/>
        <w:spacing w:after="0" w:line="26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$2.8 million decrease due to higher equity AFUDC primarily due to lower short-term debt and higher construction work in progress balances in the first quarter of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$1.4 million of other income recorded in the first quarter of 2021 related to a contract termination fee;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$1.0 million decrease due to lower net unrealized losses in Evergy Kansas Central's rabbi trust in the first quarter of 2021.</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 Kansas Central's income tax expense increased $8.8 million for the three months ended March 31,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$36.1 million increase due to higher pre-tax income in 2021; partially offset by</w:t>
      </w:r>
    </w:p>
    <w:p>
      <w:pPr>
        <w:spacing w:after="0" w:line="107"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$10.9 million decrease as a result of the state of Kansas exempting certain public utilities, including Evergy Kansas Central, from Kansas corporate income tax beginning in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$6.4 million decrease due to flow-through items primarily driven by higher amortization of excess deferred income taxes; and</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$7.1 million decrease due to higher wind and other income tax credits in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EVERGY METRO,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87"/>
              </w:rPr>
              <w:t>Change</w:t>
            </w: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0"/>
        </w:trPr>
        <w:tc>
          <w:tcPr>
            <w:tcW w:w="8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6"/>
                <w:szCs w:val="16"/>
                <w:color w:val="auto"/>
                <w:w w:val="99"/>
              </w:rPr>
              <w:t>(millions)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140.7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241.2</w:t>
            </w:r>
          </w:p>
        </w:tc>
        <w:tc>
          <w:tcPr>
            <w:tcW w:w="24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148.7</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32.0</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Utility Gross Margin and MWh Sales</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following table summarizes Evergy Metro's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1"/>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(25.2)</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1,411</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132.5</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(39.6)</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172.1</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1,798</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(13)</w:t>
            </w:r>
          </w:p>
        </w:tc>
        <w:tc>
          <w:tcPr>
            <w:tcW w:w="960" w:type="dxa"/>
            <w:vAlign w:val="bottom"/>
          </w:tcPr>
          <w:p>
            <w:pPr>
              <w:jc w:val="right"/>
              <w:spacing w:after="0"/>
              <w:rPr>
                <w:sz w:val="20"/>
                <w:szCs w:val="20"/>
                <w:color w:val="auto"/>
              </w:rPr>
            </w:pPr>
            <w:r>
              <w:rPr>
                <w:rFonts w:ascii="Arial" w:cs="Arial" w:eastAsia="Arial" w:hAnsi="Arial"/>
                <w:sz w:val="18"/>
                <w:szCs w:val="18"/>
                <w:color w:val="auto"/>
              </w:rPr>
              <w:t>1,811</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396</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279.1</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(74.0)</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3,622</w:t>
            </w:r>
          </w:p>
        </w:tc>
        <w:tc>
          <w:tcPr>
            <w:tcW w:w="140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114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200.5</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193.7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751</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(520)</w:t>
            </w:r>
          </w:p>
        </w:tc>
        <w:tc>
          <w:tcPr>
            <w:tcW w:w="96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32.6</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516.2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140.7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4,373</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(406)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(148.7)</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3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275.0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(8.0)</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(93.4)</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7.5</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spacing w:after="0" w:line="84"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Utility gross margin is a non-GAAP financial measure. See explanation of utility gross margin under Evergy's Results of Operations.</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Evergy Metro's utility gross margin decreased $8.0 million for the three months ended March 31, 2021, compared to the same period in 2020, driven by:</w:t>
      </w:r>
    </w:p>
    <w:p>
      <w:pPr>
        <w:spacing w:after="0" w:line="69" w:lineRule="exact"/>
        <w:rPr>
          <w:sz w:val="20"/>
          <w:szCs w:val="20"/>
          <w:color w:val="auto"/>
        </w:rPr>
      </w:pPr>
    </w:p>
    <w:p>
      <w:pPr>
        <w:ind w:left="660" w:right="160" w:hanging="328"/>
        <w:spacing w:after="0" w:line="25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$12.5 million decrease due to impacts from the February 2021 winter weather event primarily driven by jurisdictional allocation differences between Evergy Metro's fuel recovery mechanisms in Missouri and Kansas regarding its refund to customers for the net increase in wholesale revenues in February 2021; and</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6" w:name="page57"/>
    <w:bookmarkEnd w:id="5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60" w:right="8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$2.1 million decrease in revenues due to a rate reduction beginning January 1, 2021 in Kansas to reflect Evergy Metro's exemption from Kansas corporate income taxes; partially offset by</w:t>
      </w:r>
    </w:p>
    <w:p>
      <w:pPr>
        <w:spacing w:after="0" w:line="68" w:lineRule="exact"/>
        <w:rPr>
          <w:rFonts w:ascii="Arial" w:cs="Arial" w:eastAsia="Arial" w:hAnsi="Arial"/>
          <w:sz w:val="20"/>
          <w:szCs w:val="20"/>
          <w:color w:val="auto"/>
        </w:rPr>
      </w:pPr>
    </w:p>
    <w:p>
      <w:pPr>
        <w:ind w:left="660" w:right="360" w:hanging="328"/>
        <w:spacing w:after="0" w:line="287" w:lineRule="auto"/>
        <w:tabs>
          <w:tab w:leader="none" w:pos="648"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$6.6 million increase primarily due to colder winter weather (heating degree days increased by 9%) and an increase in weather-normalized residential demand, partially offset by a decrease in weather-normalized commercial demand.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2"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Evergy Metro's operating and maintenance expense decreased $12.5 million for the three months ended March 31, 2021, compared to the same period in 2020, primarily driven by:</w:t>
      </w:r>
    </w:p>
    <w:p>
      <w:pPr>
        <w:spacing w:after="0" w:line="83" w:lineRule="exact"/>
        <w:rPr>
          <w:sz w:val="20"/>
          <w:szCs w:val="20"/>
          <w:color w:val="auto"/>
        </w:rPr>
      </w:pPr>
    </w:p>
    <w:p>
      <w:pPr>
        <w:ind w:left="660" w:right="160" w:hanging="328"/>
        <w:spacing w:after="0" w:line="31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$9.8 million decrease in voluntary severance expenses due to a $6.7 million decrease related to Evergy voluntary exit programs in 2020 and a $3.1 million decrease in voluntary severance expenses related to Wolf Creek voluntary exit programs in 2020; and</w:t>
      </w:r>
    </w:p>
    <w:p>
      <w:pPr>
        <w:spacing w:after="0" w:line="21" w:lineRule="exact"/>
        <w:rPr>
          <w:rFonts w:ascii="Arial" w:cs="Arial" w:eastAsia="Arial" w:hAnsi="Arial"/>
          <w:sz w:val="18"/>
          <w:szCs w:val="18"/>
          <w:color w:val="auto"/>
        </w:rPr>
      </w:pPr>
    </w:p>
    <w:p>
      <w:pPr>
        <w:ind w:left="660" w:right="120" w:hanging="328"/>
        <w:spacing w:after="0" w:line="25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$4.2 million decrease in plant operating and maintenance expense at fossil-fuel generating units primarily driven by a $2.5 million decrease at Hawthorn Station, Iatan Station and La Cygne Station primarily due to lower employee headcount in 2021; partially offset by</w:t>
      </w:r>
    </w:p>
    <w:p>
      <w:pPr>
        <w:spacing w:after="0" w:line="77"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$3.3 million increase in various administrative and general operating and maintenance expenses including a $1.4 million increase in property insurance expense due to a lower annual refund of nuclear insurance premiums received in the first quarter of 2021 by Evergy Metro related to its ownership interest in Wolf Creek; and</w:t>
      </w:r>
    </w:p>
    <w:p>
      <w:pPr>
        <w:spacing w:after="0" w:line="77" w:lineRule="exact"/>
        <w:rPr>
          <w:rFonts w:ascii="Arial" w:cs="Arial" w:eastAsia="Arial" w:hAnsi="Arial"/>
          <w:sz w:val="20"/>
          <w:szCs w:val="20"/>
          <w:color w:val="auto"/>
        </w:rPr>
      </w:pPr>
    </w:p>
    <w:p>
      <w:pPr>
        <w:ind w:left="660" w:right="56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$1.8 million of costs associated with executive transition in the first quarter of 2021, including inducement bonuses, severance agreements and other transition expenses.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Other Expense, Net</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Evergy Metro's other expense, net decreased $2.6 million for the three months ended March 31, 2021, compared to the same period in 2020, driven by a $2.7 million increase in equity AFUDC primarily due to lower short-term debt and higher construction work in progress balances in the first quarter of 2021.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2020 Form 10-K and therefore are not represented here.</w:t>
      </w:r>
    </w:p>
    <w:p>
      <w:pPr>
        <w:spacing w:after="0" w:line="186" w:lineRule="exact"/>
        <w:rPr>
          <w:sz w:val="20"/>
          <w:szCs w:val="20"/>
          <w:color w:val="auto"/>
        </w:rPr>
      </w:pPr>
    </w:p>
    <w:p>
      <w:pPr>
        <w:jc w:val="both"/>
        <w:ind w:right="160"/>
        <w:spacing w:after="0" w:line="291" w:lineRule="auto"/>
        <w:rPr>
          <w:sz w:val="20"/>
          <w:szCs w:val="20"/>
          <w:color w:val="auto"/>
        </w:rPr>
      </w:pPr>
      <w:r>
        <w:rPr>
          <w:rFonts w:ascii="Arial" w:cs="Arial" w:eastAsia="Arial" w:hAnsi="Arial"/>
          <w:sz w:val="18"/>
          <w:szCs w:val="18"/>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2020 Form 10-K.</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jc w:val="both"/>
        <w:ind w:right="800"/>
        <w:spacing w:after="0" w:line="231" w:lineRule="auto"/>
        <w:rPr>
          <w:sz w:val="20"/>
          <w:szCs w:val="20"/>
          <w:color w:val="auto"/>
        </w:rPr>
      </w:pPr>
      <w:r>
        <w:rPr>
          <w:rFonts w:ascii="Arial" w:cs="Arial" w:eastAsia="Arial" w:hAnsi="Arial"/>
          <w:sz w:val="20"/>
          <w:szCs w:val="20"/>
          <w:color w:val="auto"/>
        </w:rPr>
        <w:t>In January 2021, Evergy Kansas Central implemented a new customer billing system that changed its internal control over financial reporting. In connection with this implementation, Evergy has updated its internal controls over financial reporting, as necessary, to accommodate modifications to its business processes.</w:t>
      </w:r>
    </w:p>
    <w:p>
      <w:pPr>
        <w:spacing w:after="0" w:line="211"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Except as described above, there has been no change in Evergy’s internal control over financial reporting (as defined in Rules 13a-15(f) and 15d-15(f) of the Exchange Act) that occurred during the quarterly period ended March 31, 2021, that has materially affected, or is reasonably likely to materially affect, its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640"/>
        <w:spacing w:after="0" w:line="231" w:lineRule="auto"/>
        <w:rPr>
          <w:sz w:val="20"/>
          <w:szCs w:val="20"/>
          <w:color w:val="auto"/>
        </w:rPr>
      </w:pPr>
      <w:r>
        <w:rPr>
          <w:rFonts w:ascii="Arial" w:cs="Arial" w:eastAsia="Arial" w:hAnsi="Arial"/>
          <w:sz w:val="20"/>
          <w:szCs w:val="20"/>
          <w:color w:val="auto"/>
        </w:rPr>
        <w:t>In January 2021, Evergy Kansas Central implemented a new customer billing system that changed its internal control over financial reporting. In connection with this implementation, Evergy Kansas Central has updated its internal controls over financial reporting, as necessary, to accommodate modifications to its business processes.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Except as described above, there has been no change in Evergy Kansas Central’s internal control over financial reporting (as defined in Rules 13a-15(f) and 15d-15(f) of the Exchange Act) that occurred during the quarterly period ended March 31, 2021, that has materially affected, or is reasonably likely to materially affect, its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440"/>
        <w:spacing w:after="0" w:line="231" w:lineRule="auto"/>
        <w:rPr>
          <w:sz w:val="20"/>
          <w:szCs w:val="20"/>
          <w:color w:val="auto"/>
        </w:rPr>
      </w:pPr>
      <w:r>
        <w:rPr>
          <w:rFonts w:ascii="Arial" w:cs="Arial" w:eastAsia="Arial" w:hAnsi="Arial"/>
          <w:sz w:val="20"/>
          <w:szCs w:val="20"/>
          <w:color w:val="auto"/>
        </w:rPr>
        <w:t>There has been no change in Evergy Metro’s internal control over financial reporting (as defined in Rules 13a-15(f) and 15d-15(f) of the Exchange Act) that occurred during the quarterly period ended March 31, 2021,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2" w:lineRule="exact"/>
        <w:rPr>
          <w:sz w:val="20"/>
          <w:szCs w:val="20"/>
          <w:color w:val="auto"/>
        </w:rPr>
      </w:pPr>
    </w:p>
    <w:p>
      <w:pPr>
        <w:ind w:right="20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The Evergy Companies are parties to various lawsuits and regulatory proceedings in the ordinary course of their respective businesses. For information regarding material lawsuits and proceedings, see Notes </w:t>
      </w:r>
      <w:hyperlink w:anchor="page30">
        <w:r>
          <w:rPr>
            <w:rFonts w:ascii="Arial" w:cs="Arial" w:eastAsia="Arial" w:hAnsi="Arial"/>
            <w:sz w:val="20"/>
            <w:szCs w:val="20"/>
            <w:color w:val="auto"/>
          </w:rPr>
          <w:t xml:space="preserve">4 </w:t>
        </w:r>
      </w:hyperlink>
      <w:r>
        <w:rPr>
          <w:rFonts w:ascii="Arial" w:cs="Arial" w:eastAsia="Arial" w:hAnsi="Arial"/>
          <w:sz w:val="20"/>
          <w:szCs w:val="20"/>
          <w:color w:val="auto"/>
        </w:rPr>
        <w:t>and 9 to the consolidated financial statements. Such information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2020 Form 10-K for each of Evergy, Evergy Kansas Central and Evergy Metro, as well as Quarterly Reports on Form 10-Q and Current Reports on Form 8-K filed by Evergy, Evergy Kansas Central and Evergy Metro. There have been no material changes with regards to those risk factors.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The following table provides information regarding purchases by Evergy of its equity securities that are registered pursuant to Section 12 of the Exchange Act during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2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2"/>
              </w:rPr>
              <w:t>Total Number of</w:t>
            </w:r>
          </w:p>
        </w:tc>
        <w:tc>
          <w:tcPr>
            <w:tcW w:w="2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3120" w:type="dxa"/>
            <w:vAlign w:val="bottom"/>
            <w:vMerge w:val="restart"/>
          </w:tcPr>
          <w:p>
            <w:pPr>
              <w:jc w:val="center"/>
              <w:ind w:left="1030"/>
              <w:spacing w:after="0"/>
              <w:rPr>
                <w:sz w:val="20"/>
                <w:szCs w:val="20"/>
                <w:color w:val="auto"/>
              </w:rPr>
            </w:pPr>
            <w:r>
              <w:rPr>
                <w:rFonts w:ascii="Arial" w:cs="Arial" w:eastAsia="Arial" w:hAnsi="Arial"/>
                <w:sz w:val="18"/>
                <w:szCs w:val="18"/>
                <w:b w:val="1"/>
                <w:bCs w:val="1"/>
                <w:color w:val="auto"/>
                <w:w w:val="92"/>
              </w:rPr>
              <w:t>Total Number of</w:t>
            </w:r>
          </w:p>
        </w:tc>
        <w:tc>
          <w:tcPr>
            <w:tcW w:w="15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8"/>
              </w:rPr>
              <w:t>Average Price</w:t>
            </w:r>
          </w:p>
        </w:tc>
        <w:tc>
          <w:tcPr>
            <w:tcW w:w="16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Purchased as</w:t>
            </w: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6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3"/>
              </w:rPr>
              <w:t>Part of Publicly</w:t>
            </w: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that May Yet Be</w:t>
            </w:r>
          </w:p>
        </w:tc>
        <w:tc>
          <w:tcPr>
            <w:tcW w:w="0" w:type="dxa"/>
            <w:vAlign w:val="bottom"/>
          </w:tcPr>
          <w:p>
            <w:pPr>
              <w:spacing w:after="0"/>
              <w:rPr>
                <w:sz w:val="1"/>
                <w:szCs w:val="1"/>
                <w:color w:val="auto"/>
              </w:rPr>
            </w:pPr>
          </w:p>
        </w:tc>
      </w:tr>
      <w:tr>
        <w:trPr>
          <w:trHeight w:val="175"/>
        </w:trPr>
        <w:tc>
          <w:tcPr>
            <w:tcW w:w="2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Month</w:t>
            </w:r>
          </w:p>
        </w:tc>
        <w:tc>
          <w:tcPr>
            <w:tcW w:w="3120" w:type="dxa"/>
            <w:vAlign w:val="bottom"/>
          </w:tcPr>
          <w:p>
            <w:pPr>
              <w:jc w:val="center"/>
              <w:ind w:left="1030"/>
              <w:spacing w:after="0" w:line="176" w:lineRule="exact"/>
              <w:rPr>
                <w:sz w:val="20"/>
                <w:szCs w:val="20"/>
                <w:color w:val="auto"/>
              </w:rPr>
            </w:pPr>
            <w:r>
              <w:rPr>
                <w:rFonts w:ascii="Arial" w:cs="Arial" w:eastAsia="Arial" w:hAnsi="Arial"/>
                <w:sz w:val="18"/>
                <w:szCs w:val="18"/>
                <w:b w:val="1"/>
                <w:bCs w:val="1"/>
                <w:color w:val="auto"/>
                <w:w w:val="90"/>
              </w:rPr>
              <w:t>Shares (or Units)</w:t>
            </w:r>
          </w:p>
        </w:tc>
        <w:tc>
          <w:tcPr>
            <w:tcW w:w="15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0"/>
              </w:rPr>
              <w:t>Paid per Share</w:t>
            </w:r>
          </w:p>
        </w:tc>
        <w:tc>
          <w:tcPr>
            <w:tcW w:w="16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Announced Plans</w:t>
            </w: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 the Plans</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vMerge w:val="continue"/>
          </w:tcPr>
          <w:p>
            <w:pPr>
              <w:spacing w:after="0"/>
              <w:rPr>
                <w:sz w:val="19"/>
                <w:szCs w:val="19"/>
                <w:color w:val="auto"/>
              </w:rPr>
            </w:pPr>
          </w:p>
        </w:tc>
        <w:tc>
          <w:tcPr>
            <w:tcW w:w="3120" w:type="dxa"/>
            <w:vAlign w:val="bottom"/>
            <w:tcBorders>
              <w:bottom w:val="single" w:sz="8" w:color="auto"/>
            </w:tcBorders>
          </w:tcPr>
          <w:p>
            <w:pPr>
              <w:jc w:val="center"/>
              <w:ind w:left="1030"/>
              <w:spacing w:after="0" w:line="230" w:lineRule="exact"/>
              <w:rPr>
                <w:sz w:val="20"/>
                <w:szCs w:val="20"/>
                <w:color w:val="auto"/>
              </w:rPr>
            </w:pPr>
            <w:r>
              <w:rPr>
                <w:rFonts w:ascii="Arial" w:cs="Arial" w:eastAsia="Arial" w:hAnsi="Arial"/>
                <w:sz w:val="18"/>
                <w:szCs w:val="18"/>
                <w:b w:val="1"/>
                <w:bCs w:val="1"/>
                <w:color w:val="auto"/>
                <w:w w:val="86"/>
              </w:rPr>
              <w:t>Purchased</w:t>
            </w:r>
            <w:r>
              <w:rPr>
                <w:rFonts w:ascii="Arial" w:cs="Arial" w:eastAsia="Arial" w:hAnsi="Arial"/>
                <w:sz w:val="23"/>
                <w:szCs w:val="23"/>
                <w:b w:val="1"/>
                <w:bCs w:val="1"/>
                <w:color w:val="auto"/>
                <w:w w:val="86"/>
                <w:vertAlign w:val="superscript"/>
              </w:rPr>
              <w:t>(a)</w:t>
            </w: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(or Unit)</w:t>
            </w: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or Programs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1 - 31</w:t>
            </w:r>
          </w:p>
        </w:tc>
        <w:tc>
          <w:tcPr>
            <w:tcW w:w="3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February 1 - 28</w:t>
            </w:r>
          </w:p>
        </w:tc>
        <w:tc>
          <w:tcPr>
            <w:tcW w:w="3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2280" w:type="dxa"/>
            <w:vAlign w:val="bottom"/>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1 - 31</w:t>
            </w:r>
          </w:p>
        </w:tc>
        <w:tc>
          <w:tcPr>
            <w:tcW w:w="3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29,851</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$56.96</w:t>
            </w:r>
          </w:p>
        </w:tc>
        <w:tc>
          <w:tcPr>
            <w:tcW w:w="16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29,851</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$56.96</w:t>
            </w:r>
          </w:p>
        </w:tc>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Represents shares Evergy purchased for withholding taxes related to the vesting of restricted stock and performance shares.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Annual Shareholder Meeting Results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Evergy's annual meeting of shareholders was held on May 4, 2021. In accordance with the recommendations of the Board, the shareholders</w:t>
      </w:r>
    </w:p>
    <w:p>
      <w:pPr>
        <w:spacing w:after="0" w:line="23" w:lineRule="exact"/>
        <w:rPr>
          <w:sz w:val="20"/>
          <w:szCs w:val="20"/>
          <w:color w:val="auto"/>
        </w:rPr>
      </w:pPr>
    </w:p>
    <w:p>
      <w:pPr>
        <w:ind w:right="280" w:firstLine="8"/>
        <w:spacing w:after="0" w:line="260" w:lineRule="auto"/>
        <w:tabs>
          <w:tab w:leader="none" w:pos="236" w:val="left"/>
        </w:tabs>
        <w:numPr>
          <w:ilvl w:val="0"/>
          <w:numId w:val="31"/>
        </w:numPr>
        <w:rPr>
          <w:rFonts w:ascii="Arial" w:cs="Arial" w:eastAsia="Arial" w:hAnsi="Arial"/>
          <w:sz w:val="19"/>
          <w:szCs w:val="19"/>
          <w:color w:val="auto"/>
        </w:rPr>
      </w:pPr>
      <w:r>
        <w:rPr>
          <w:rFonts w:ascii="Arial" w:cs="Arial" w:eastAsia="Arial" w:hAnsi="Arial"/>
          <w:sz w:val="19"/>
          <w:szCs w:val="19"/>
          <w:color w:val="auto"/>
        </w:rPr>
        <w:t>elected thirteen directors; (ii) approved, on an advisory and non-binding basis, the 2020 compensation of Evergy's named executive officers; and (iii) ratified the appointment of Deloitte &amp; Touche LLP as independent registered public accountants for 2021. The proposals voted upon at the annual meeting, as well as the voting results for each proposal are set forth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on the Proxy Card. </w:t>
      </w:r>
      <w:r>
        <w:rPr>
          <w:rFonts w:ascii="Arial" w:cs="Arial" w:eastAsia="Arial" w:hAnsi="Arial"/>
          <w:sz w:val="18"/>
          <w:szCs w:val="18"/>
          <w:color w:val="auto"/>
        </w:rPr>
        <w:t>The thirteen persons named below were elected, as proposed in the proxy statement, to serve as directors until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Evergy's annual meeting in 2021, and until their successors are elected and qualified. The voting regarding the election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Number of Votes</w:t>
            </w:r>
          </w:p>
        </w:tc>
        <w:tc>
          <w:tcPr>
            <w:tcW w:w="2460" w:type="dxa"/>
            <w:vAlign w:val="bottom"/>
            <w:tcBorders>
              <w:bottom w:val="single" w:sz="8" w:color="auto"/>
            </w:tcBorders>
          </w:tcPr>
          <w:p>
            <w:pPr>
              <w:spacing w:after="0"/>
              <w:rPr>
                <w:sz w:val="20"/>
                <w:szCs w:val="20"/>
                <w:color w:val="auto"/>
              </w:rPr>
            </w:pPr>
          </w:p>
        </w:tc>
      </w:tr>
      <w:tr>
        <w:trPr>
          <w:trHeight w:val="229"/>
        </w:trPr>
        <w:tc>
          <w:tcPr>
            <w:tcW w:w="4120" w:type="dxa"/>
            <w:vAlign w:val="bottom"/>
          </w:tcPr>
          <w:p>
            <w:pPr>
              <w:spacing w:after="0"/>
              <w:rPr>
                <w:sz w:val="19"/>
                <w:szCs w:val="19"/>
                <w:color w:val="auto"/>
              </w:rPr>
            </w:pPr>
          </w:p>
        </w:tc>
        <w:tc>
          <w:tcPr>
            <w:tcW w:w="2340" w:type="dxa"/>
            <w:vAlign w:val="bottom"/>
          </w:tcPr>
          <w:p>
            <w:pPr>
              <w:jc w:val="center"/>
              <w:ind w:left="230"/>
              <w:spacing w:after="0"/>
              <w:rPr>
                <w:sz w:val="20"/>
                <w:szCs w:val="20"/>
                <w:color w:val="auto"/>
              </w:rPr>
            </w:pPr>
            <w:r>
              <w:rPr>
                <w:rFonts w:ascii="Arial" w:cs="Arial" w:eastAsia="Arial" w:hAnsi="Arial"/>
                <w:sz w:val="18"/>
                <w:szCs w:val="18"/>
                <w:color w:val="auto"/>
                <w:w w:val="96"/>
              </w:rPr>
              <w:t>For</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93"/>
              </w:rPr>
              <w:t>Against</w:t>
            </w:r>
          </w:p>
        </w:tc>
        <w:tc>
          <w:tcPr>
            <w:tcW w:w="2460" w:type="dxa"/>
            <w:vAlign w:val="bottom"/>
          </w:tcPr>
          <w:p>
            <w:pPr>
              <w:jc w:val="center"/>
              <w:ind w:right="130"/>
              <w:spacing w:after="0"/>
              <w:rPr>
                <w:sz w:val="20"/>
                <w:szCs w:val="20"/>
                <w:color w:val="auto"/>
              </w:rPr>
            </w:pPr>
            <w:r>
              <w:rPr>
                <w:rFonts w:ascii="Arial" w:cs="Arial" w:eastAsia="Arial" w:hAnsi="Arial"/>
                <w:sz w:val="18"/>
                <w:szCs w:val="18"/>
                <w:color w:val="auto"/>
                <w:w w:val="92"/>
              </w:rPr>
              <w:t>Broker Non-Votes</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A. Campbell</w:t>
            </w:r>
          </w:p>
        </w:tc>
        <w:tc>
          <w:tcPr>
            <w:tcW w:w="23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175,518,076</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1,519,342</w:t>
            </w:r>
          </w:p>
        </w:tc>
        <w:tc>
          <w:tcPr>
            <w:tcW w:w="24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Mollie Hale Carter</w:t>
            </w:r>
          </w:p>
        </w:tc>
        <w:tc>
          <w:tcPr>
            <w:tcW w:w="2340" w:type="dxa"/>
            <w:vAlign w:val="bottom"/>
          </w:tcPr>
          <w:p>
            <w:pPr>
              <w:jc w:val="center"/>
              <w:ind w:left="230"/>
              <w:spacing w:after="0"/>
              <w:rPr>
                <w:sz w:val="20"/>
                <w:szCs w:val="20"/>
                <w:color w:val="auto"/>
              </w:rPr>
            </w:pPr>
            <w:r>
              <w:rPr>
                <w:rFonts w:ascii="Arial" w:cs="Arial" w:eastAsia="Arial" w:hAnsi="Arial"/>
                <w:sz w:val="18"/>
                <w:szCs w:val="18"/>
                <w:color w:val="auto"/>
                <w:w w:val="89"/>
              </w:rPr>
              <w:t>166,771,045</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8"/>
              </w:rPr>
              <w:t>10,283,901</w:t>
            </w:r>
          </w:p>
        </w:tc>
        <w:tc>
          <w:tcPr>
            <w:tcW w:w="2460" w:type="dxa"/>
            <w:vAlign w:val="bottom"/>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D. Hyde</w:t>
            </w:r>
          </w:p>
        </w:tc>
        <w:tc>
          <w:tcPr>
            <w:tcW w:w="23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164,965,018</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12,060,736</w:t>
            </w:r>
          </w:p>
        </w:tc>
        <w:tc>
          <w:tcPr>
            <w:tcW w:w="24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B. Anthony Isaac</w:t>
            </w:r>
          </w:p>
        </w:tc>
        <w:tc>
          <w:tcPr>
            <w:tcW w:w="2340" w:type="dxa"/>
            <w:vAlign w:val="bottom"/>
          </w:tcPr>
          <w:p>
            <w:pPr>
              <w:jc w:val="center"/>
              <w:ind w:left="230"/>
              <w:spacing w:after="0"/>
              <w:rPr>
                <w:sz w:val="20"/>
                <w:szCs w:val="20"/>
                <w:color w:val="auto"/>
              </w:rPr>
            </w:pPr>
            <w:r>
              <w:rPr>
                <w:rFonts w:ascii="Arial" w:cs="Arial" w:eastAsia="Arial" w:hAnsi="Arial"/>
                <w:sz w:val="18"/>
                <w:szCs w:val="18"/>
                <w:color w:val="auto"/>
                <w:w w:val="89"/>
              </w:rPr>
              <w:t>169,944,412</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9"/>
              </w:rPr>
              <w:t>7,088,776</w:t>
            </w:r>
          </w:p>
        </w:tc>
        <w:tc>
          <w:tcPr>
            <w:tcW w:w="2460" w:type="dxa"/>
            <w:vAlign w:val="bottom"/>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Paul M. Keglevic</w:t>
            </w:r>
          </w:p>
        </w:tc>
        <w:tc>
          <w:tcPr>
            <w:tcW w:w="23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175,539,522</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1,480,101</w:t>
            </w:r>
          </w:p>
        </w:tc>
        <w:tc>
          <w:tcPr>
            <w:tcW w:w="24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Mary L. Landrieu</w:t>
            </w:r>
          </w:p>
        </w:tc>
        <w:tc>
          <w:tcPr>
            <w:tcW w:w="2340" w:type="dxa"/>
            <w:vAlign w:val="bottom"/>
          </w:tcPr>
          <w:p>
            <w:pPr>
              <w:jc w:val="center"/>
              <w:ind w:left="230"/>
              <w:spacing w:after="0"/>
              <w:rPr>
                <w:sz w:val="20"/>
                <w:szCs w:val="20"/>
                <w:color w:val="auto"/>
              </w:rPr>
            </w:pPr>
            <w:r>
              <w:rPr>
                <w:rFonts w:ascii="Arial" w:cs="Arial" w:eastAsia="Arial" w:hAnsi="Arial"/>
                <w:sz w:val="18"/>
                <w:szCs w:val="18"/>
                <w:color w:val="auto"/>
                <w:w w:val="89"/>
              </w:rPr>
              <w:t>175,606,452</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9"/>
              </w:rPr>
              <w:t>1,359,208</w:t>
            </w:r>
          </w:p>
        </w:tc>
        <w:tc>
          <w:tcPr>
            <w:tcW w:w="2460" w:type="dxa"/>
            <w:vAlign w:val="bottom"/>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Sandra A.J. Lawrence</w:t>
            </w:r>
          </w:p>
        </w:tc>
        <w:tc>
          <w:tcPr>
            <w:tcW w:w="23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166,979,719</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10,076,275</w:t>
            </w:r>
          </w:p>
        </w:tc>
        <w:tc>
          <w:tcPr>
            <w:tcW w:w="24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Ann D. Murtlow</w:t>
            </w:r>
          </w:p>
        </w:tc>
        <w:tc>
          <w:tcPr>
            <w:tcW w:w="2340" w:type="dxa"/>
            <w:vAlign w:val="bottom"/>
          </w:tcPr>
          <w:p>
            <w:pPr>
              <w:jc w:val="center"/>
              <w:ind w:left="230"/>
              <w:spacing w:after="0"/>
              <w:rPr>
                <w:sz w:val="20"/>
                <w:szCs w:val="20"/>
                <w:color w:val="auto"/>
              </w:rPr>
            </w:pPr>
            <w:r>
              <w:rPr>
                <w:rFonts w:ascii="Arial" w:cs="Arial" w:eastAsia="Arial" w:hAnsi="Arial"/>
                <w:sz w:val="18"/>
                <w:szCs w:val="18"/>
                <w:color w:val="auto"/>
                <w:w w:val="89"/>
              </w:rPr>
              <w:t>173,096,295</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9"/>
              </w:rPr>
              <w:t>3,945,272</w:t>
            </w:r>
          </w:p>
        </w:tc>
        <w:tc>
          <w:tcPr>
            <w:tcW w:w="2460" w:type="dxa"/>
            <w:vAlign w:val="bottom"/>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Sandra J. Price</w:t>
            </w:r>
          </w:p>
        </w:tc>
        <w:tc>
          <w:tcPr>
            <w:tcW w:w="23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172,936,848</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4,108,854</w:t>
            </w:r>
          </w:p>
        </w:tc>
        <w:tc>
          <w:tcPr>
            <w:tcW w:w="24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Mark A. Ruelle</w:t>
            </w:r>
          </w:p>
        </w:tc>
        <w:tc>
          <w:tcPr>
            <w:tcW w:w="2340" w:type="dxa"/>
            <w:vAlign w:val="bottom"/>
          </w:tcPr>
          <w:p>
            <w:pPr>
              <w:jc w:val="center"/>
              <w:ind w:left="230"/>
              <w:spacing w:after="0"/>
              <w:rPr>
                <w:sz w:val="20"/>
                <w:szCs w:val="20"/>
                <w:color w:val="auto"/>
              </w:rPr>
            </w:pPr>
            <w:r>
              <w:rPr>
                <w:rFonts w:ascii="Arial" w:cs="Arial" w:eastAsia="Arial" w:hAnsi="Arial"/>
                <w:sz w:val="18"/>
                <w:szCs w:val="18"/>
                <w:color w:val="auto"/>
                <w:w w:val="89"/>
              </w:rPr>
              <w:t>164,448,297</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8"/>
              </w:rPr>
              <w:t>12,502,921</w:t>
            </w:r>
          </w:p>
        </w:tc>
        <w:tc>
          <w:tcPr>
            <w:tcW w:w="2460" w:type="dxa"/>
            <w:vAlign w:val="bottom"/>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 Carl Soderstrom Jr.</w:t>
            </w:r>
          </w:p>
        </w:tc>
        <w:tc>
          <w:tcPr>
            <w:tcW w:w="23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171,512,401</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5,507,917</w:t>
            </w:r>
          </w:p>
        </w:tc>
        <w:tc>
          <w:tcPr>
            <w:tcW w:w="24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John Arthur Stall</w:t>
            </w:r>
          </w:p>
        </w:tc>
        <w:tc>
          <w:tcPr>
            <w:tcW w:w="2340" w:type="dxa"/>
            <w:vAlign w:val="bottom"/>
          </w:tcPr>
          <w:p>
            <w:pPr>
              <w:jc w:val="center"/>
              <w:ind w:left="230"/>
              <w:spacing w:after="0"/>
              <w:rPr>
                <w:sz w:val="20"/>
                <w:szCs w:val="20"/>
                <w:color w:val="auto"/>
              </w:rPr>
            </w:pPr>
            <w:r>
              <w:rPr>
                <w:rFonts w:ascii="Arial" w:cs="Arial" w:eastAsia="Arial" w:hAnsi="Arial"/>
                <w:sz w:val="18"/>
                <w:szCs w:val="18"/>
                <w:color w:val="auto"/>
                <w:w w:val="89"/>
              </w:rPr>
              <w:t>173,057,205</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9"/>
              </w:rPr>
              <w:t>3,966,540</w:t>
            </w:r>
          </w:p>
        </w:tc>
        <w:tc>
          <w:tcPr>
            <w:tcW w:w="2460" w:type="dxa"/>
            <w:vAlign w:val="bottom"/>
          </w:tcPr>
          <w:p>
            <w:pPr>
              <w:jc w:val="center"/>
              <w:ind w:right="130"/>
              <w:spacing w:after="0"/>
              <w:rPr>
                <w:sz w:val="20"/>
                <w:szCs w:val="20"/>
                <w:color w:val="auto"/>
              </w:rPr>
            </w:pPr>
            <w:r>
              <w:rPr>
                <w:rFonts w:ascii="Arial" w:cs="Arial" w:eastAsia="Arial" w:hAnsi="Arial"/>
                <w:sz w:val="18"/>
                <w:szCs w:val="18"/>
                <w:color w:val="auto"/>
                <w:w w:val="88"/>
              </w:rPr>
              <w:t>22,330,458</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 John Wilder</w:t>
            </w:r>
          </w:p>
        </w:tc>
        <w:tc>
          <w:tcPr>
            <w:tcW w:w="23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139,314,673</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37,619,562</w:t>
            </w:r>
          </w:p>
        </w:tc>
        <w:tc>
          <w:tcPr>
            <w:tcW w:w="24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22,330,458</w:t>
            </w:r>
          </w:p>
        </w:tc>
      </w:tr>
    </w:tbl>
    <w:p>
      <w:pPr>
        <w:spacing w:after="0" w:line="288"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b w:val="1"/>
          <w:bCs w:val="1"/>
          <w:color w:val="auto"/>
        </w:rPr>
        <w:t xml:space="preserve">Item 2 on the Proxy Card. </w:t>
      </w:r>
      <w:r>
        <w:rPr>
          <w:rFonts w:ascii="Arial" w:cs="Arial" w:eastAsia="Arial" w:hAnsi="Arial"/>
          <w:sz w:val="20"/>
          <w:szCs w:val="20"/>
          <w:color w:val="auto"/>
        </w:rPr>
        <w:t>In an advisory and non-binding "say on pay" vote, shareholders approved the 2020 compensation of Evergy's</w:t>
      </w:r>
      <w:r>
        <w:rPr>
          <w:rFonts w:ascii="Arial" w:cs="Arial" w:eastAsia="Arial" w:hAnsi="Arial"/>
          <w:sz w:val="20"/>
          <w:szCs w:val="20"/>
          <w:b w:val="1"/>
          <w:bCs w:val="1"/>
          <w:color w:val="auto"/>
        </w:rPr>
        <w:t xml:space="preserve"> </w:t>
      </w:r>
      <w:r>
        <w:rPr>
          <w:rFonts w:ascii="Arial" w:cs="Arial" w:eastAsia="Arial" w:hAnsi="Arial"/>
          <w:sz w:val="20"/>
          <w:szCs w:val="20"/>
          <w:color w:val="auto"/>
        </w:rPr>
        <w:t>named executive officers, with the following vote: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Number of Votes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2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6"/>
              </w:rPr>
              <w:t>For</w:t>
            </w:r>
          </w:p>
        </w:tc>
        <w:tc>
          <w:tcPr>
            <w:tcW w:w="29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0"/>
              </w:rPr>
              <w:t>Against</w:t>
            </w:r>
          </w:p>
        </w:tc>
        <w:tc>
          <w:tcPr>
            <w:tcW w:w="2900" w:type="dxa"/>
            <w:vAlign w:val="bottom"/>
            <w:tcBorders>
              <w:top w:val="single" w:sz="8" w:color="auto"/>
            </w:tcBorders>
            <w:gridSpan w:val="2"/>
          </w:tcPr>
          <w:p>
            <w:pPr>
              <w:ind w:left="920"/>
              <w:spacing w:after="0"/>
              <w:rPr>
                <w:sz w:val="20"/>
                <w:szCs w:val="20"/>
                <w:color w:val="auto"/>
              </w:rPr>
            </w:pPr>
            <w:r>
              <w:rPr>
                <w:rFonts w:ascii="Arial" w:cs="Arial" w:eastAsia="Arial" w:hAnsi="Arial"/>
                <w:sz w:val="18"/>
                <w:szCs w:val="18"/>
                <w:b w:val="1"/>
                <w:bCs w:val="1"/>
                <w:color w:val="auto"/>
              </w:rPr>
              <w:t>Abstain</w:t>
            </w: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169,208,071</w:t>
            </w:r>
          </w:p>
        </w:tc>
        <w:tc>
          <w:tcPr>
            <w:tcW w:w="46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7,420,236</w:t>
            </w:r>
          </w:p>
        </w:tc>
        <w:tc>
          <w:tcPr>
            <w:tcW w:w="4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723,664</w:t>
            </w:r>
          </w:p>
        </w:tc>
        <w:tc>
          <w:tcPr>
            <w:tcW w:w="4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22,330,458</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on the Proxy Card. </w:t>
      </w:r>
      <w:r>
        <w:rPr>
          <w:rFonts w:ascii="Arial" w:cs="Arial" w:eastAsia="Arial" w:hAnsi="Arial"/>
          <w:sz w:val="19"/>
          <w:szCs w:val="19"/>
          <w:color w:val="auto"/>
        </w:rPr>
        <w:t>Shareholders voted for the ratification and confirmation of the appointment of Deloitte &amp; Touche LLP as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Evergy's independent registered public accounting firm for 2021, with the following vote: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Votes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92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6"/>
              </w:rPr>
              <w:t>For</w:t>
            </w:r>
          </w:p>
        </w:tc>
        <w:tc>
          <w:tcPr>
            <w:tcW w:w="292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7"/>
              </w:rPr>
              <w:t>Against</w:t>
            </w:r>
          </w:p>
        </w:tc>
        <w:tc>
          <w:tcPr>
            <w:tcW w:w="2920" w:type="dxa"/>
            <w:vAlign w:val="bottom"/>
            <w:tcBorders>
              <w:top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Abstain</w:t>
            </w: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9"/>
        </w:trPr>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198,004,196</w:t>
            </w:r>
          </w:p>
        </w:tc>
        <w:tc>
          <w:tcPr>
            <w:tcW w:w="46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1,290,711</w:t>
            </w:r>
          </w:p>
        </w:tc>
        <w:tc>
          <w:tcPr>
            <w:tcW w:w="44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387,522</w:t>
            </w:r>
          </w:p>
        </w:tc>
        <w:tc>
          <w:tcPr>
            <w:tcW w:w="44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rPr>
              <w:t>0</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16"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Evergy Companies' website, www.evergy.com. Such reports are accessible at no charge and are made available as soon as reasonably practical after such material is filed with or furnished to the SEC.</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www.evergy.com, to communicate with investors. It is possible that the financial and other information posted there could be deemed to be material information. The information on Evergy's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1820" w:type="dxa"/>
            <w:vAlign w:val="bottom"/>
            <w:gridSpan w:val="5"/>
          </w:tcPr>
          <w:p>
            <w:pPr>
              <w:spacing w:after="0"/>
              <w:rPr>
                <w:sz w:val="20"/>
                <w:szCs w:val="20"/>
                <w:color w:val="auto"/>
              </w:rPr>
            </w:pPr>
            <w:r>
              <w:rPr>
                <w:rFonts w:ascii="Arial" w:cs="Arial" w:eastAsia="Arial" w:hAnsi="Arial"/>
                <w:sz w:val="20"/>
                <w:szCs w:val="20"/>
                <w:b w:val="1"/>
                <w:bCs w:val="1"/>
                <w:color w:val="auto"/>
              </w:rPr>
              <w:t>ITEM 6. EXHIBITS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6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20"/>
                <w:szCs w:val="20"/>
                <w:color w:val="auto"/>
                <w:w w:val="96"/>
              </w:rPr>
              <w:t>Exhibit</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60" w:type="dxa"/>
            <w:vAlign w:val="bottom"/>
            <w:gridSpan w:val="31"/>
            <w:vMerge w:val="restart"/>
          </w:tcPr>
          <w:p>
            <w:pPr>
              <w:ind w:left="400"/>
              <w:spacing w:after="0"/>
              <w:rPr>
                <w:sz w:val="20"/>
                <w:szCs w:val="20"/>
                <w:color w:val="auto"/>
              </w:rPr>
            </w:pPr>
            <w:r>
              <w:rPr>
                <w:rFonts w:ascii="Arial" w:cs="Arial" w:eastAsia="Arial" w:hAnsi="Arial"/>
                <w:sz w:val="20"/>
                <w:szCs w:val="20"/>
                <w:color w:val="auto"/>
              </w:rPr>
              <w:t>Description of Document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80" w:type="dxa"/>
            <w:vAlign w:val="bottom"/>
            <w:gridSpan w:val="2"/>
          </w:tcPr>
          <w:p>
            <w:pPr>
              <w:jc w:val="center"/>
              <w:ind w:right="240"/>
              <w:spacing w:after="0" w:line="203" w:lineRule="exact"/>
              <w:rPr>
                <w:sz w:val="20"/>
                <w:szCs w:val="20"/>
                <w:color w:val="auto"/>
              </w:rPr>
            </w:pPr>
            <w:r>
              <w:rPr>
                <w:rFonts w:ascii="Arial" w:cs="Arial" w:eastAsia="Arial" w:hAnsi="Arial"/>
                <w:sz w:val="20"/>
                <w:szCs w:val="20"/>
                <w:color w:val="auto"/>
                <w:w w:val="89"/>
              </w:rPr>
              <w:t>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60" w:type="dxa"/>
            <w:vAlign w:val="bottom"/>
            <w:gridSpan w:val="3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4.1</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5"/>
              </w:rPr>
            </w:pPr>
            <w:hyperlink r:id="rId76">
              <w:r>
                <w:rPr>
                  <w:rFonts w:ascii="Arial" w:cs="Arial" w:eastAsia="Arial" w:hAnsi="Arial"/>
                  <w:sz w:val="20"/>
                  <w:szCs w:val="20"/>
                  <w:color w:val="0000FF"/>
                  <w:w w:val="95"/>
                </w:rPr>
                <w:t>Note Purchase Agreement, dated April 20, 2021, among Evergy Missouri West,</w:t>
              </w:r>
            </w:hyperlink>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20" w:type="dxa"/>
            <w:vAlign w:val="bottom"/>
            <w:tcBorders>
              <w:top w:val="single" w:sz="8" w:color="0000FF"/>
            </w:tcBorders>
            <w:gridSpan w:val="19"/>
          </w:tcPr>
          <w:p>
            <w:pPr>
              <w:spacing w:after="0" w:line="176" w:lineRule="exact"/>
              <w:rPr>
                <w:rFonts w:ascii="Arial" w:cs="Arial" w:eastAsia="Arial" w:hAnsi="Arial"/>
                <w:sz w:val="20"/>
                <w:szCs w:val="20"/>
                <w:color w:val="0000FF"/>
                <w:w w:val="89"/>
              </w:rPr>
            </w:pPr>
            <w:hyperlink r:id="rId76">
              <w:r>
                <w:rPr>
                  <w:rFonts w:ascii="Arial" w:cs="Arial" w:eastAsia="Arial" w:hAnsi="Arial"/>
                  <w:sz w:val="20"/>
                  <w:szCs w:val="20"/>
                  <w:color w:val="0000FF"/>
                  <w:w w:val="89"/>
                </w:rPr>
                <w:t>Evergy and the purchasers party thereto (Exhibit 4.1 to Evergy's Current Report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13"/>
          </w:tcPr>
          <w:p>
            <w:pPr>
              <w:spacing w:after="0" w:line="176" w:lineRule="exact"/>
              <w:rPr>
                <w:rFonts w:ascii="Arial" w:cs="Arial" w:eastAsia="Arial" w:hAnsi="Arial"/>
                <w:sz w:val="20"/>
                <w:szCs w:val="20"/>
                <w:color w:val="0000FF"/>
              </w:rPr>
            </w:pPr>
            <w:hyperlink r:id="rId76">
              <w:r>
                <w:rPr>
                  <w:rFonts w:ascii="Arial" w:cs="Arial" w:eastAsia="Arial" w:hAnsi="Arial"/>
                  <w:sz w:val="20"/>
                  <w:szCs w:val="20"/>
                  <w:color w:val="0000FF"/>
                </w:rPr>
                <w:t>on</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5"/>
          </w:tcPr>
          <w:p>
            <w:pPr>
              <w:spacing w:after="0" w:line="169" w:lineRule="exact"/>
              <w:rPr>
                <w:rFonts w:ascii="Arial" w:cs="Arial" w:eastAsia="Arial" w:hAnsi="Arial"/>
                <w:sz w:val="19"/>
                <w:szCs w:val="19"/>
                <w:color w:val="0000FF"/>
                <w:w w:val="98"/>
              </w:rPr>
            </w:pPr>
            <w:hyperlink r:id="rId76">
              <w:r>
                <w:rPr>
                  <w:rFonts w:ascii="Arial" w:cs="Arial" w:eastAsia="Arial" w:hAnsi="Arial"/>
                  <w:sz w:val="19"/>
                  <w:szCs w:val="19"/>
                  <w:color w:val="0000FF"/>
                  <w:w w:val="98"/>
                </w:rPr>
                <w:t>Form 8-K filed on April 20, 2021).</w:t>
              </w:r>
            </w:hyperlink>
          </w:p>
        </w:tc>
        <w:tc>
          <w:tcPr>
            <w:tcW w:w="380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10.1</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4"/>
              </w:rPr>
            </w:pPr>
            <w:hyperlink r:id="rId77">
              <w:r>
                <w:rPr>
                  <w:rFonts w:ascii="Arial" w:cs="Arial" w:eastAsia="Arial" w:hAnsi="Arial"/>
                  <w:sz w:val="20"/>
                  <w:szCs w:val="20"/>
                  <w:color w:val="0000FF"/>
                  <w:w w:val="94"/>
                </w:rPr>
                <w:t>Form of Evergy, Inc. 2021 Performance-Based Restricted Stock Unit Agreement</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380" w:type="dxa"/>
            <w:vAlign w:val="bottom"/>
            <w:tcBorders>
              <w:top w:val="single" w:sz="8" w:color="0000FF"/>
              <w:bottom w:val="single" w:sz="8" w:color="0000FF"/>
            </w:tcBorders>
            <w:gridSpan w:val="23"/>
          </w:tcPr>
          <w:p>
            <w:pPr>
              <w:spacing w:after="0" w:line="169" w:lineRule="exact"/>
              <w:rPr>
                <w:rFonts w:ascii="Arial" w:cs="Arial" w:eastAsia="Arial" w:hAnsi="Arial"/>
                <w:sz w:val="19"/>
                <w:szCs w:val="19"/>
                <w:color w:val="0000FF"/>
                <w:w w:val="95"/>
              </w:rPr>
            </w:pPr>
            <w:hyperlink r:id="rId77">
              <w:r>
                <w:rPr>
                  <w:rFonts w:ascii="Arial" w:cs="Arial" w:eastAsia="Arial" w:hAnsi="Arial"/>
                  <w:sz w:val="19"/>
                  <w:szCs w:val="19"/>
                  <w:color w:val="0000FF"/>
                  <w:w w:val="95"/>
                </w:rPr>
                <w:t>(Exhibit 10.21 to Evergy's Form 10-K for the period ended December 31, 2020).</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10.2</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3"/>
              </w:rPr>
            </w:pPr>
            <w:hyperlink r:id="rId78">
              <w:r>
                <w:rPr>
                  <w:rFonts w:ascii="Arial" w:cs="Arial" w:eastAsia="Arial" w:hAnsi="Arial"/>
                  <w:sz w:val="20"/>
                  <w:szCs w:val="20"/>
                  <w:color w:val="0000FF"/>
                  <w:w w:val="93"/>
                </w:rPr>
                <w:t>Form of Evergy, Inc. 2021 Time-Based Restricted Stock Unit Agreement (Exhibit</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80" w:type="dxa"/>
            <w:vAlign w:val="bottom"/>
            <w:tcBorders>
              <w:top w:val="single" w:sz="8" w:color="0000FF"/>
            </w:tcBorders>
            <w:gridSpan w:val="25"/>
          </w:tcPr>
          <w:p>
            <w:pPr>
              <w:spacing w:after="0" w:line="169" w:lineRule="exact"/>
              <w:rPr>
                <w:rFonts w:ascii="Arial" w:cs="Arial" w:eastAsia="Arial" w:hAnsi="Arial"/>
                <w:sz w:val="19"/>
                <w:szCs w:val="19"/>
                <w:color w:val="0000FF"/>
              </w:rPr>
            </w:pPr>
            <w:hyperlink r:id="rId78">
              <w:r>
                <w:rPr>
                  <w:rFonts w:ascii="Arial" w:cs="Arial" w:eastAsia="Arial" w:hAnsi="Arial"/>
                  <w:sz w:val="19"/>
                  <w:szCs w:val="19"/>
                  <w:color w:val="0000FF"/>
                </w:rPr>
                <w:t>10.</w:t>
              </w:r>
              <w:r>
                <w:rPr>
                  <w:rFonts w:ascii="Arial" w:cs="Arial" w:eastAsia="Arial" w:hAnsi="Arial"/>
                  <w:sz w:val="19"/>
                  <w:szCs w:val="19"/>
                  <w:u w:val="single" w:color="auto"/>
                  <w:color w:val="0000FF"/>
                </w:rPr>
                <w:t>22</w:t>
              </w:r>
              <w:r>
                <w:rPr>
                  <w:rFonts w:ascii="Arial" w:cs="Arial" w:eastAsia="Arial" w:hAnsi="Arial"/>
                  <w:sz w:val="19"/>
                  <w:szCs w:val="19"/>
                  <w:color w:val="0000FF"/>
                </w:rPr>
                <w:t xml:space="preserve"> to Evergy's Form 10-K for the period ended December 31, 2020).</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10.3</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3"/>
              </w:rPr>
            </w:pPr>
            <w:hyperlink r:id="rId79">
              <w:r>
                <w:rPr>
                  <w:rFonts w:ascii="Arial" w:cs="Arial" w:eastAsia="Arial" w:hAnsi="Arial"/>
                  <w:sz w:val="20"/>
                  <w:szCs w:val="20"/>
                  <w:color w:val="0000FF"/>
                  <w:w w:val="93"/>
                </w:rPr>
                <w:t>Evergy, Inc. 2021 Annual Incentive Plan (Exhibit 10.27 to Evergy's Form 10-K for</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560" w:type="dxa"/>
            <w:vAlign w:val="bottom"/>
            <w:tcBorders>
              <w:top w:val="single" w:sz="8" w:color="0000FF"/>
            </w:tcBorders>
            <w:gridSpan w:val="28"/>
          </w:tcPr>
          <w:p>
            <w:pPr>
              <w:spacing w:after="0" w:line="169" w:lineRule="exact"/>
              <w:rPr>
                <w:rFonts w:ascii="Arial" w:cs="Arial" w:eastAsia="Arial" w:hAnsi="Arial"/>
                <w:sz w:val="19"/>
                <w:szCs w:val="19"/>
                <w:color w:val="0000FF"/>
              </w:rPr>
            </w:pPr>
            <w:hyperlink r:id="rId79">
              <w:r>
                <w:rPr>
                  <w:rFonts w:ascii="Arial" w:cs="Arial" w:eastAsia="Arial" w:hAnsi="Arial"/>
                  <w:sz w:val="19"/>
                  <w:szCs w:val="19"/>
                  <w:color w:val="0000FF"/>
                </w:rPr>
                <w:t>the period ended December 31, 2020)</w:t>
              </w:r>
              <w:r>
                <w:rPr>
                  <w:rFonts w:ascii="Arial" w:cs="Arial" w:eastAsia="Arial" w:hAnsi="Arial"/>
                  <w:sz w:val="19"/>
                  <w:szCs w:val="19"/>
                  <w:u w:val="single" w:color="auto"/>
                  <w:color w:val="0000FF"/>
                </w:rPr>
                <w: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4"/>
              </w:rPr>
            </w:pPr>
            <w:hyperlink r:id="rId80">
              <w:r>
                <w:rPr>
                  <w:rFonts w:ascii="Arial" w:cs="Arial" w:eastAsia="Arial" w:hAnsi="Arial"/>
                  <w:sz w:val="20"/>
                  <w:szCs w:val="20"/>
                  <w:color w:val="0000FF"/>
                  <w:w w:val="94"/>
                </w:rPr>
                <w:t>Kirkland Andrews Offer Letter, dated January 30, 2021 (Exhibit 10.1 to Evergy's</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60" w:type="dxa"/>
            <w:vAlign w:val="bottom"/>
            <w:tcBorders>
              <w:top w:val="single" w:sz="8" w:color="0000FF"/>
              <w:bottom w:val="single" w:sz="8" w:color="0000FF"/>
            </w:tcBorders>
            <w:gridSpan w:val="11"/>
          </w:tcPr>
          <w:p>
            <w:pPr>
              <w:spacing w:after="0" w:line="169" w:lineRule="exact"/>
              <w:rPr>
                <w:rFonts w:ascii="Arial" w:cs="Arial" w:eastAsia="Arial" w:hAnsi="Arial"/>
                <w:sz w:val="19"/>
                <w:szCs w:val="19"/>
                <w:color w:val="0000FF"/>
                <w:w w:val="95"/>
              </w:rPr>
            </w:pPr>
            <w:hyperlink r:id="rId80">
              <w:r>
                <w:rPr>
                  <w:rFonts w:ascii="Arial" w:cs="Arial" w:eastAsia="Arial" w:hAnsi="Arial"/>
                  <w:sz w:val="19"/>
                  <w:szCs w:val="19"/>
                  <w:color w:val="0000FF"/>
                  <w:w w:val="95"/>
                </w:rPr>
                <w:t>Current Report on Form 8-K filed on February 4, 2021).</w:t>
              </w:r>
            </w:hyperlink>
          </w:p>
        </w:tc>
        <w:tc>
          <w:tcPr>
            <w:tcW w:w="1960" w:type="dxa"/>
            <w:vAlign w:val="bottom"/>
            <w:tcBorders>
              <w:top w:val="single" w:sz="8" w:color="0000FF"/>
            </w:tcBorders>
            <w:gridSpan w:val="13"/>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10.5</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tcBorders>
              <w:bottom w:val="single" w:sz="8" w:color="0000FF"/>
            </w:tcBorders>
            <w:gridSpan w:val="34"/>
          </w:tcPr>
          <w:p>
            <w:pPr>
              <w:spacing w:after="0"/>
              <w:rPr>
                <w:rFonts w:ascii="Arial" w:cs="Arial" w:eastAsia="Arial" w:hAnsi="Arial"/>
                <w:sz w:val="20"/>
                <w:szCs w:val="20"/>
                <w:color w:val="0000FF"/>
                <w:w w:val="91"/>
              </w:rPr>
            </w:pPr>
            <w:hyperlink r:id="rId81">
              <w:r>
                <w:rPr>
                  <w:rFonts w:ascii="Arial" w:cs="Arial" w:eastAsia="Arial" w:hAnsi="Arial"/>
                  <w:sz w:val="20"/>
                  <w:szCs w:val="20"/>
                  <w:color w:val="0000FF"/>
                  <w:w w:val="91"/>
                </w:rPr>
                <w:t>Form of Time-Based Restricted Stock Unit Award Agreement for Kirkland Andrews</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380" w:type="dxa"/>
            <w:vAlign w:val="bottom"/>
            <w:tcBorders>
              <w:bottom w:val="single" w:sz="8" w:color="0000FF"/>
            </w:tcBorders>
            <w:gridSpan w:val="22"/>
          </w:tcPr>
          <w:p>
            <w:pPr>
              <w:spacing w:after="0" w:line="169" w:lineRule="exact"/>
              <w:rPr>
                <w:rFonts w:ascii="Arial" w:cs="Arial" w:eastAsia="Arial" w:hAnsi="Arial"/>
                <w:sz w:val="19"/>
                <w:szCs w:val="19"/>
                <w:color w:val="0000FF"/>
                <w:w w:val="95"/>
              </w:rPr>
            </w:pPr>
            <w:hyperlink r:id="rId81">
              <w:r>
                <w:rPr>
                  <w:rFonts w:ascii="Arial" w:cs="Arial" w:eastAsia="Arial" w:hAnsi="Arial"/>
                  <w:sz w:val="19"/>
                  <w:szCs w:val="19"/>
                  <w:color w:val="0000FF"/>
                  <w:w w:val="95"/>
                </w:rPr>
                <w:t>(Exhibit 10.31 to Evergy's Form 10-K for the period ended December 31, 2020).</w:t>
              </w:r>
            </w:hyperlink>
          </w:p>
        </w:tc>
        <w:tc>
          <w:tcPr>
            <w:tcW w:w="32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10.6</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080" w:type="dxa"/>
            <w:vAlign w:val="bottom"/>
            <w:tcBorders>
              <w:bottom w:val="single" w:sz="8" w:color="0000FF"/>
            </w:tcBorders>
            <w:gridSpan w:val="15"/>
          </w:tcPr>
          <w:p>
            <w:pPr>
              <w:spacing w:after="0"/>
              <w:rPr>
                <w:rFonts w:ascii="Arial" w:cs="Arial" w:eastAsia="Arial" w:hAnsi="Arial"/>
                <w:sz w:val="20"/>
                <w:szCs w:val="20"/>
                <w:color w:val="0000FF"/>
                <w:w w:val="89"/>
              </w:rPr>
            </w:pPr>
            <w:hyperlink r:id="rId82">
              <w:r>
                <w:rPr>
                  <w:rFonts w:ascii="Arial" w:cs="Arial" w:eastAsia="Arial" w:hAnsi="Arial"/>
                  <w:sz w:val="20"/>
                  <w:szCs w:val="20"/>
                  <w:color w:val="0000FF"/>
                  <w:w w:val="89"/>
                </w:rPr>
                <w:t>Agreement, dated February 28, 2020, among Evergy, Inc., Elliott Investment</w:t>
              </w:r>
            </w:hyperlink>
          </w:p>
        </w:tc>
        <w:tc>
          <w:tcPr>
            <w:tcW w:w="6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00" w:type="dxa"/>
            <w:vAlign w:val="bottom"/>
            <w:gridSpan w:val="34"/>
          </w:tcPr>
          <w:p>
            <w:pPr>
              <w:spacing w:after="0" w:line="169" w:lineRule="exact"/>
              <w:rPr>
                <w:rFonts w:ascii="Arial" w:cs="Arial" w:eastAsia="Arial" w:hAnsi="Arial"/>
                <w:sz w:val="19"/>
                <w:szCs w:val="19"/>
                <w:color w:val="0000FF"/>
              </w:rPr>
            </w:pPr>
            <w:hyperlink r:id="rId82">
              <w:r>
                <w:rPr>
                  <w:rFonts w:ascii="Arial" w:cs="Arial" w:eastAsia="Arial" w:hAnsi="Arial"/>
                  <w:sz w:val="19"/>
                  <w:szCs w:val="19"/>
                  <w:color w:val="0000FF"/>
                </w:rPr>
                <w:t>Management L.P., Elliott Associates, L.P. and Elliott International, L.P. (Exhibit</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7"/>
          </w:tcPr>
          <w:p>
            <w:pPr>
              <w:spacing w:after="0" w:line="169" w:lineRule="exact"/>
              <w:rPr>
                <w:rFonts w:ascii="Arial" w:cs="Arial" w:eastAsia="Arial" w:hAnsi="Arial"/>
                <w:sz w:val="19"/>
                <w:szCs w:val="19"/>
                <w:color w:val="0000FF"/>
                <w:w w:val="96"/>
              </w:rPr>
            </w:pPr>
            <w:hyperlink r:id="rId82">
              <w:r>
                <w:rPr>
                  <w:rFonts w:ascii="Arial" w:cs="Arial" w:eastAsia="Arial" w:hAnsi="Arial"/>
                  <w:sz w:val="19"/>
                  <w:szCs w:val="19"/>
                  <w:color w:val="0000FF"/>
                  <w:w w:val="96"/>
                </w:rPr>
                <w:t>10.</w:t>
              </w:r>
              <w:r>
                <w:rPr>
                  <w:rFonts w:ascii="Arial" w:cs="Arial" w:eastAsia="Arial" w:hAnsi="Arial"/>
                  <w:sz w:val="19"/>
                  <w:szCs w:val="19"/>
                  <w:u w:val="single" w:color="auto"/>
                  <w:color w:val="0000FF"/>
                  <w:w w:val="96"/>
                </w:rPr>
                <w:t>1</w:t>
              </w:r>
              <w:r>
                <w:rPr>
                  <w:rFonts w:ascii="Arial" w:cs="Arial" w:eastAsia="Arial" w:hAnsi="Arial"/>
                  <w:sz w:val="19"/>
                  <w:szCs w:val="19"/>
                  <w:color w:val="0000FF"/>
                  <w:w w:val="96"/>
                </w:rPr>
                <w:t xml:space="preserve"> to Form 8-K filed on March 2, 2020).</w:t>
              </w:r>
            </w:hyperlink>
          </w:p>
        </w:tc>
        <w:tc>
          <w:tcPr>
            <w:tcW w:w="29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10.7</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5940" w:type="dxa"/>
            <w:vAlign w:val="bottom"/>
            <w:tcBorders>
              <w:bottom w:val="single" w:sz="8" w:color="0000FF"/>
            </w:tcBorders>
            <w:gridSpan w:val="14"/>
          </w:tcPr>
          <w:p>
            <w:pPr>
              <w:spacing w:after="0"/>
              <w:rPr>
                <w:rFonts w:ascii="Arial" w:cs="Arial" w:eastAsia="Arial" w:hAnsi="Arial"/>
                <w:sz w:val="20"/>
                <w:szCs w:val="20"/>
                <w:color w:val="0000FF"/>
                <w:w w:val="90"/>
              </w:rPr>
            </w:pPr>
            <w:hyperlink r:id="rId83">
              <w:r>
                <w:rPr>
                  <w:rFonts w:ascii="Arial" w:cs="Arial" w:eastAsia="Arial" w:hAnsi="Arial"/>
                  <w:sz w:val="20"/>
                  <w:szCs w:val="20"/>
                  <w:color w:val="0000FF"/>
                  <w:w w:val="90"/>
                </w:rPr>
                <w:t>Amendment, dated March 25, 2020 among Evergy, Inc., Elliott Investment</w:t>
              </w:r>
            </w:hyperlink>
          </w:p>
        </w:tc>
        <w:tc>
          <w:tcPr>
            <w:tcW w:w="7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00" w:type="dxa"/>
            <w:vAlign w:val="bottom"/>
            <w:gridSpan w:val="34"/>
          </w:tcPr>
          <w:p>
            <w:pPr>
              <w:spacing w:after="0" w:line="169" w:lineRule="exact"/>
              <w:rPr>
                <w:rFonts w:ascii="Arial" w:cs="Arial" w:eastAsia="Arial" w:hAnsi="Arial"/>
                <w:sz w:val="19"/>
                <w:szCs w:val="19"/>
                <w:color w:val="0000FF"/>
              </w:rPr>
            </w:pPr>
            <w:hyperlink r:id="rId83">
              <w:r>
                <w:rPr>
                  <w:rFonts w:ascii="Arial" w:cs="Arial" w:eastAsia="Arial" w:hAnsi="Arial"/>
                  <w:sz w:val="19"/>
                  <w:szCs w:val="19"/>
                  <w:color w:val="0000FF"/>
                </w:rPr>
                <w:t>Management L.P., Elliott Associates, L.P. and Elliott International, L.P. (Exhibit</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340" w:type="dxa"/>
            <w:vAlign w:val="bottom"/>
            <w:tcBorders>
              <w:top w:val="single" w:sz="8" w:color="0000FF"/>
            </w:tcBorders>
            <w:gridSpan w:val="20"/>
          </w:tcPr>
          <w:p>
            <w:pPr>
              <w:spacing w:after="0" w:line="169" w:lineRule="exact"/>
              <w:rPr>
                <w:rFonts w:ascii="Arial" w:cs="Arial" w:eastAsia="Arial" w:hAnsi="Arial"/>
                <w:sz w:val="19"/>
                <w:szCs w:val="19"/>
                <w:color w:val="0000FF"/>
              </w:rPr>
            </w:pPr>
            <w:hyperlink r:id="rId83">
              <w:r>
                <w:rPr>
                  <w:rFonts w:ascii="Arial" w:cs="Arial" w:eastAsia="Arial" w:hAnsi="Arial"/>
                  <w:sz w:val="19"/>
                  <w:szCs w:val="19"/>
                  <w:color w:val="0000FF"/>
                </w:rPr>
                <w:t>10.</w:t>
              </w:r>
              <w:r>
                <w:rPr>
                  <w:rFonts w:ascii="Arial" w:cs="Arial" w:eastAsia="Arial" w:hAnsi="Arial"/>
                  <w:sz w:val="19"/>
                  <w:szCs w:val="19"/>
                  <w:u w:val="single" w:color="auto"/>
                  <w:color w:val="0000FF"/>
                </w:rPr>
                <w:t>1</w:t>
              </w:r>
              <w:r>
                <w:rPr>
                  <w:rFonts w:ascii="Arial" w:cs="Arial" w:eastAsia="Arial" w:hAnsi="Arial"/>
                  <w:sz w:val="19"/>
                  <w:szCs w:val="19"/>
                  <w:color w:val="0000FF"/>
                </w:rPr>
                <w:t xml:space="preserve"> to Form 8-K filed on March 26, 2020).</w:t>
              </w:r>
            </w:hyperlink>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10.8</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0"/>
              </w:rPr>
            </w:pPr>
            <w:hyperlink r:id="rId84">
              <w:r>
                <w:rPr>
                  <w:rFonts w:ascii="Arial" w:cs="Arial" w:eastAsia="Arial" w:hAnsi="Arial"/>
                  <w:sz w:val="20"/>
                  <w:szCs w:val="20"/>
                  <w:color w:val="0000FF"/>
                  <w:w w:val="90"/>
                </w:rPr>
                <w:t>Securities Purchase Agreement, dated February 25, 2021, by and between Evergy,</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00" w:type="dxa"/>
            <w:vAlign w:val="bottom"/>
            <w:tcBorders>
              <w:bottom w:val="single" w:sz="8" w:color="0000FF"/>
            </w:tcBorders>
            <w:gridSpan w:val="34"/>
          </w:tcPr>
          <w:p>
            <w:pPr>
              <w:spacing w:after="0" w:line="169" w:lineRule="exact"/>
              <w:rPr>
                <w:rFonts w:ascii="Arial" w:cs="Arial" w:eastAsia="Arial" w:hAnsi="Arial"/>
                <w:sz w:val="19"/>
                <w:szCs w:val="19"/>
                <w:color w:val="0000FF"/>
                <w:w w:val="96"/>
              </w:rPr>
            </w:pPr>
            <w:hyperlink r:id="rId84">
              <w:r>
                <w:rPr>
                  <w:rFonts w:ascii="Arial" w:cs="Arial" w:eastAsia="Arial" w:hAnsi="Arial"/>
                  <w:sz w:val="19"/>
                  <w:szCs w:val="19"/>
                  <w:color w:val="0000FF"/>
                  <w:w w:val="96"/>
                </w:rPr>
                <w:t>Inc. and BEP Special Situations V LLC (Exhibit 10.2 to Form 8-K filed on February</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0000FF"/>
            </w:tcBorders>
            <w:gridSpan w:val="2"/>
          </w:tcPr>
          <w:p>
            <w:pPr>
              <w:spacing w:after="0" w:line="169" w:lineRule="exact"/>
              <w:rPr>
                <w:rFonts w:ascii="Arial" w:cs="Arial" w:eastAsia="Arial" w:hAnsi="Arial"/>
                <w:sz w:val="19"/>
                <w:szCs w:val="19"/>
                <w:color w:val="0000FF"/>
                <w:w w:val="91"/>
              </w:rPr>
            </w:pPr>
            <w:hyperlink r:id="rId84">
              <w:r>
                <w:rPr>
                  <w:rFonts w:ascii="Arial" w:cs="Arial" w:eastAsia="Arial" w:hAnsi="Arial"/>
                  <w:sz w:val="19"/>
                  <w:szCs w:val="19"/>
                  <w:color w:val="0000FF"/>
                  <w:w w:val="91"/>
                </w:rPr>
                <w:t>26, 2021).</w:t>
              </w:r>
            </w:hyperlink>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10.9</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2"/>
              </w:rPr>
            </w:pPr>
            <w:hyperlink r:id="rId85">
              <w:r>
                <w:rPr>
                  <w:rFonts w:ascii="Arial" w:cs="Arial" w:eastAsia="Arial" w:hAnsi="Arial"/>
                  <w:sz w:val="20"/>
                  <w:szCs w:val="20"/>
                  <w:color w:val="0000FF"/>
                  <w:w w:val="92"/>
                </w:rPr>
                <w:t>Registration Rights Agreement, dated April 14, 2021, by and between Evergy, Inc.</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540" w:type="dxa"/>
            <w:vAlign w:val="bottom"/>
            <w:tcBorders>
              <w:top w:val="single" w:sz="8" w:color="0000FF"/>
            </w:tcBorders>
            <w:gridSpan w:val="27"/>
          </w:tcPr>
          <w:p>
            <w:pPr>
              <w:spacing w:after="0" w:line="169" w:lineRule="exact"/>
              <w:rPr>
                <w:rFonts w:ascii="Arial" w:cs="Arial" w:eastAsia="Arial" w:hAnsi="Arial"/>
                <w:sz w:val="19"/>
                <w:szCs w:val="19"/>
                <w:color w:val="0000FF"/>
              </w:rPr>
            </w:pPr>
            <w:hyperlink r:id="rId85">
              <w:r>
                <w:rPr>
                  <w:rFonts w:ascii="Arial" w:cs="Arial" w:eastAsia="Arial" w:hAnsi="Arial"/>
                  <w:sz w:val="19"/>
                  <w:szCs w:val="19"/>
                  <w:color w:val="0000FF"/>
                </w:rPr>
                <w:t>and BEP Special Situations V LLC (Exhibit 10.1 to Form 8-K filed on April 14,</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2"/>
              </w:rPr>
            </w:pPr>
            <w:hyperlink r:id="rId85">
              <w:r>
                <w:rPr>
                  <w:rFonts w:ascii="Arial" w:cs="Arial" w:eastAsia="Arial" w:hAnsi="Arial"/>
                  <w:sz w:val="19"/>
                  <w:szCs w:val="19"/>
                  <w:color w:val="0000FF"/>
                  <w:w w:val="92"/>
                </w:rPr>
                <w:t>2021).</w:t>
              </w:r>
            </w:hyperlink>
          </w:p>
        </w:tc>
        <w:tc>
          <w:tcPr>
            <w:tcW w:w="28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10.10</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4"/>
              </w:rPr>
            </w:pPr>
            <w:hyperlink r:id="rId86">
              <w:r>
                <w:rPr>
                  <w:rFonts w:ascii="Arial" w:cs="Arial" w:eastAsia="Arial" w:hAnsi="Arial"/>
                  <w:sz w:val="20"/>
                  <w:szCs w:val="20"/>
                  <w:color w:val="0000FF"/>
                  <w:w w:val="94"/>
                </w:rPr>
                <w:t>Warrant No. 1 issued by Evergy, Inc. on April 14, 2021 (Exhibit 10.2 to Form 8-K</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98"/>
              </w:rPr>
            </w:pPr>
            <w:hyperlink r:id="rId86">
              <w:r>
                <w:rPr>
                  <w:rFonts w:ascii="Arial" w:cs="Arial" w:eastAsia="Arial" w:hAnsi="Arial"/>
                  <w:sz w:val="19"/>
                  <w:szCs w:val="19"/>
                  <w:color w:val="0000FF"/>
                  <w:w w:val="98"/>
                </w:rPr>
                <w:t>filed on April 14, 2021).</w:t>
              </w:r>
            </w:hyperlink>
          </w:p>
        </w:tc>
        <w:tc>
          <w:tcPr>
            <w:tcW w:w="4560" w:type="dxa"/>
            <w:vAlign w:val="bottom"/>
            <w:tcBorders>
              <w:top w:val="single" w:sz="8" w:color="0000FF"/>
            </w:tcBorders>
            <w:gridSpan w:val="23"/>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10.11</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0"/>
              </w:rPr>
            </w:pPr>
            <w:hyperlink r:id="rId87">
              <w:r>
                <w:rPr>
                  <w:rFonts w:ascii="Arial" w:cs="Arial" w:eastAsia="Arial" w:hAnsi="Arial"/>
                  <w:sz w:val="20"/>
                  <w:szCs w:val="20"/>
                  <w:color w:val="0000FF"/>
                  <w:w w:val="90"/>
                </w:rPr>
                <w:t>Guaranty Agreement, dated April 20, 2021, issued by Evergy in favor of the holders</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80" w:type="dxa"/>
            <w:vAlign w:val="bottom"/>
            <w:tcBorders>
              <w:top w:val="single" w:sz="8" w:color="0000FF"/>
            </w:tcBorders>
            <w:gridSpan w:val="33"/>
          </w:tcPr>
          <w:p>
            <w:pPr>
              <w:spacing w:after="0" w:line="169" w:lineRule="exact"/>
              <w:rPr>
                <w:rFonts w:ascii="Arial" w:cs="Arial" w:eastAsia="Arial" w:hAnsi="Arial"/>
                <w:sz w:val="19"/>
                <w:szCs w:val="19"/>
                <w:color w:val="0000FF"/>
                <w:w w:val="95"/>
              </w:rPr>
            </w:pPr>
            <w:hyperlink r:id="rId87">
              <w:r>
                <w:rPr>
                  <w:rFonts w:ascii="Arial" w:cs="Arial" w:eastAsia="Arial" w:hAnsi="Arial"/>
                  <w:sz w:val="19"/>
                  <w:szCs w:val="19"/>
                  <w:color w:val="0000FF"/>
                  <w:w w:val="95"/>
                </w:rPr>
                <w:t>of Evergy Missouri West, Inc.'s 2.86% Senior Notes due 2031, 3.01% Senior Notes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20" w:type="dxa"/>
            <w:vAlign w:val="bottom"/>
            <w:tcBorders>
              <w:top w:val="single" w:sz="8" w:color="0000FF"/>
            </w:tcBorders>
            <w:gridSpan w:val="31"/>
          </w:tcPr>
          <w:p>
            <w:pPr>
              <w:spacing w:after="0" w:line="169" w:lineRule="exact"/>
              <w:rPr>
                <w:rFonts w:ascii="Arial" w:cs="Arial" w:eastAsia="Arial" w:hAnsi="Arial"/>
                <w:sz w:val="19"/>
                <w:szCs w:val="19"/>
                <w:color w:val="0000FF"/>
              </w:rPr>
            </w:pPr>
            <w:hyperlink r:id="rId87">
              <w:r>
                <w:rPr>
                  <w:rFonts w:ascii="Arial" w:cs="Arial" w:eastAsia="Arial" w:hAnsi="Arial"/>
                  <w:sz w:val="19"/>
                  <w:szCs w:val="19"/>
                  <w:color w:val="0000FF"/>
                </w:rPr>
                <w:t>due 2033 and 3.21% Senior Notes due 2033 (Exhibit 10.1 to Evergy's Current</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18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r:id="rId87">
              <w:r>
                <w:rPr>
                  <w:rFonts w:ascii="Arial" w:cs="Arial" w:eastAsia="Arial" w:hAnsi="Arial"/>
                  <w:sz w:val="19"/>
                  <w:szCs w:val="19"/>
                  <w:color w:val="0000FF"/>
                </w:rPr>
                <w:t>Report on Form 8-K filed on April 20, 2021).</w:t>
              </w:r>
            </w:hyperlink>
          </w:p>
        </w:tc>
        <w:tc>
          <w:tcPr>
            <w:tcW w:w="20" w:type="dxa"/>
            <w:vAlign w:val="bottom"/>
          </w:tcPr>
          <w:p>
            <w:pPr>
              <w:spacing w:after="0"/>
              <w:rPr>
                <w:sz w:val="14"/>
                <w:szCs w:val="14"/>
                <w:color w:val="auto"/>
              </w:rPr>
            </w:pPr>
          </w:p>
        </w:tc>
        <w:tc>
          <w:tcPr>
            <w:tcW w:w="400" w:type="dxa"/>
            <w:vAlign w:val="bottom"/>
            <w:gridSpan w:val="1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0" w:type="dxa"/>
            <w:vAlign w:val="bottom"/>
            <w:gridSpan w:val="9"/>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10.12</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0"/>
              </w:rPr>
            </w:pPr>
            <w:hyperlink r:id="rId88">
              <w:r>
                <w:rPr>
                  <w:rFonts w:ascii="Arial" w:cs="Arial" w:eastAsia="Arial" w:hAnsi="Arial"/>
                  <w:sz w:val="20"/>
                  <w:szCs w:val="20"/>
                  <w:color w:val="0000FF"/>
                  <w:w w:val="90"/>
                </w:rPr>
                <w:t>Guaranty Agreement, dated April 20, 2021, issued by Evergy in favor of the holders</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60" w:type="dxa"/>
            <w:vAlign w:val="bottom"/>
            <w:tcBorders>
              <w:top w:val="single" w:sz="8" w:color="0000FF"/>
            </w:tcBorders>
            <w:gridSpan w:val="32"/>
          </w:tcPr>
          <w:p>
            <w:pPr>
              <w:spacing w:after="0" w:line="169" w:lineRule="exact"/>
              <w:rPr>
                <w:rFonts w:ascii="Arial" w:cs="Arial" w:eastAsia="Arial" w:hAnsi="Arial"/>
                <w:sz w:val="19"/>
                <w:szCs w:val="19"/>
                <w:color w:val="0000FF"/>
                <w:w w:val="95"/>
              </w:rPr>
            </w:pPr>
            <w:hyperlink r:id="rId88">
              <w:r>
                <w:rPr>
                  <w:rFonts w:ascii="Arial" w:cs="Arial" w:eastAsia="Arial" w:hAnsi="Arial"/>
                  <w:sz w:val="19"/>
                  <w:szCs w:val="19"/>
                  <w:color w:val="0000FF"/>
                  <w:w w:val="95"/>
                </w:rPr>
                <w:t>of Evergy Missouri West, Inc.'s 3.49% Senior Notes due 2025, 4.06% Senior Notes</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0" w:type="dxa"/>
            <w:vAlign w:val="bottom"/>
            <w:tcBorders>
              <w:top w:val="single" w:sz="8" w:color="0000FF"/>
            </w:tcBorders>
            <w:gridSpan w:val="30"/>
          </w:tcPr>
          <w:p>
            <w:pPr>
              <w:spacing w:after="0" w:line="169" w:lineRule="exact"/>
              <w:rPr>
                <w:rFonts w:ascii="Arial" w:cs="Arial" w:eastAsia="Arial" w:hAnsi="Arial"/>
                <w:sz w:val="19"/>
                <w:szCs w:val="19"/>
                <w:color w:val="0000FF"/>
              </w:rPr>
            </w:pPr>
            <w:hyperlink r:id="rId88">
              <w:r>
                <w:rPr>
                  <w:rFonts w:ascii="Arial" w:cs="Arial" w:eastAsia="Arial" w:hAnsi="Arial"/>
                  <w:sz w:val="19"/>
                  <w:szCs w:val="19"/>
                  <w:color w:val="0000FF"/>
                </w:rPr>
                <w:t>due 2033 and 4.74% Senior Notes due 2043 (Exhibit 10.2 to Evergy's Current</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16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88">
              <w:r>
                <w:rPr>
                  <w:rFonts w:ascii="Arial" w:cs="Arial" w:eastAsia="Arial" w:hAnsi="Arial"/>
                  <w:sz w:val="19"/>
                  <w:szCs w:val="19"/>
                  <w:color w:val="0000FF"/>
                </w:rPr>
                <w:t>Report on Form 8-K filed on April 20, 2021).</w:t>
              </w:r>
            </w:hyperlink>
          </w:p>
        </w:tc>
        <w:tc>
          <w:tcPr>
            <w:tcW w:w="40" w:type="dxa"/>
            <w:vAlign w:val="bottom"/>
            <w:gridSpan w:val="2"/>
          </w:tcPr>
          <w:p>
            <w:pPr>
              <w:spacing w:after="0"/>
              <w:rPr>
                <w:sz w:val="14"/>
                <w:szCs w:val="14"/>
                <w:color w:val="auto"/>
              </w:rPr>
            </w:pPr>
          </w:p>
        </w:tc>
        <w:tc>
          <w:tcPr>
            <w:tcW w:w="50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0" w:type="dxa"/>
            <w:vAlign w:val="bottom"/>
            <w:gridSpan w:val="9"/>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10.13</w:t>
            </w:r>
          </w:p>
        </w:tc>
        <w:tc>
          <w:tcPr>
            <w:tcW w:w="2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34"/>
          </w:tcPr>
          <w:p>
            <w:pPr>
              <w:spacing w:after="0"/>
              <w:rPr>
                <w:rFonts w:ascii="Arial" w:cs="Arial" w:eastAsia="Arial" w:hAnsi="Arial"/>
                <w:sz w:val="20"/>
                <w:szCs w:val="20"/>
                <w:color w:val="0000FF"/>
                <w:w w:val="90"/>
              </w:rPr>
            </w:pPr>
            <w:hyperlink r:id="rId89">
              <w:r>
                <w:rPr>
                  <w:rFonts w:ascii="Arial" w:cs="Arial" w:eastAsia="Arial" w:hAnsi="Arial"/>
                  <w:sz w:val="20"/>
                  <w:szCs w:val="20"/>
                  <w:color w:val="0000FF"/>
                  <w:w w:val="90"/>
                </w:rPr>
                <w:t>Guaranty Agreement, dated April 20, 2021, issued by Evergy in favor of the holders</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60" w:type="dxa"/>
            <w:vAlign w:val="bottom"/>
            <w:tcBorders>
              <w:top w:val="single" w:sz="8" w:color="0000FF"/>
            </w:tcBorders>
            <w:gridSpan w:val="32"/>
          </w:tcPr>
          <w:p>
            <w:pPr>
              <w:spacing w:after="0" w:line="169" w:lineRule="exact"/>
              <w:rPr>
                <w:rFonts w:ascii="Arial" w:cs="Arial" w:eastAsia="Arial" w:hAnsi="Arial"/>
                <w:sz w:val="19"/>
                <w:szCs w:val="19"/>
                <w:color w:val="0000FF"/>
              </w:rPr>
            </w:pPr>
            <w:hyperlink r:id="rId89">
              <w:r>
                <w:rPr>
                  <w:rFonts w:ascii="Arial" w:cs="Arial" w:eastAsia="Arial" w:hAnsi="Arial"/>
                  <w:sz w:val="19"/>
                  <w:szCs w:val="19"/>
                  <w:color w:val="0000FF"/>
                </w:rPr>
                <w:t>of Evergy Missouri West, Inc.'s 3.74% Senior Notes due 2022 (Exhibit 10.3 to</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0" w:type="dxa"/>
            <w:vAlign w:val="bottom"/>
            <w:tcBorders>
              <w:top w:val="single" w:sz="8" w:color="0000FF"/>
            </w:tcBorders>
            <w:gridSpan w:val="18"/>
          </w:tcPr>
          <w:p>
            <w:pPr>
              <w:spacing w:after="0" w:line="169" w:lineRule="exact"/>
              <w:rPr>
                <w:rFonts w:ascii="Arial" w:cs="Arial" w:eastAsia="Arial" w:hAnsi="Arial"/>
                <w:sz w:val="19"/>
                <w:szCs w:val="19"/>
                <w:color w:val="0000FF"/>
              </w:rPr>
            </w:pPr>
            <w:hyperlink r:id="rId89">
              <w:r>
                <w:rPr>
                  <w:rFonts w:ascii="Arial" w:cs="Arial" w:eastAsia="Arial" w:hAnsi="Arial"/>
                  <w:sz w:val="19"/>
                  <w:szCs w:val="19"/>
                  <w:color w:val="0000FF"/>
                </w:rPr>
                <w:t>Evergy's Current Report on Form 8-K filed on April 20, 2021).</w:t>
              </w:r>
            </w:hyperlink>
          </w:p>
        </w:tc>
        <w:tc>
          <w:tcPr>
            <w:tcW w:w="50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992"/>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60" w:type="dxa"/>
            <w:vAlign w:val="bottom"/>
            <w:tcBorders>
              <w:top w:val="single" w:sz="8" w:color="0000FF"/>
            </w:tcBorders>
            <w:gridSpan w:val="10"/>
          </w:tcPr>
          <w:p>
            <w:pPr>
              <w:ind w:left="372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Registrant</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rPr>
          <w:sz w:val="20"/>
          <w:szCs w:val="20"/>
          <w:color w:val="auto"/>
        </w:rPr>
      </w:pPr>
      <w:r>
        <w:rPr>
          <w:rFonts w:ascii="Arial" w:cs="Arial" w:eastAsia="Arial" w:hAnsi="Arial"/>
          <w:sz w:val="16"/>
          <w:szCs w:val="16"/>
          <w:color w:val="auto"/>
        </w:rPr>
        <w:t>Evergy Kansas Central</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rPr>
          <w:sz w:val="20"/>
          <w:szCs w:val="20"/>
          <w:color w:val="auto"/>
        </w:rPr>
      </w:pPr>
      <w:r>
        <w:rPr>
          <w:rFonts w:ascii="Arial" w:cs="Arial" w:eastAsia="Arial" w:hAnsi="Arial"/>
          <w:sz w:val="16"/>
          <w:szCs w:val="16"/>
          <w:color w:val="auto"/>
        </w:rPr>
        <w:t>Evergy Kansas Central</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rPr>
          <w:sz w:val="20"/>
          <w:szCs w:val="20"/>
          <w:color w:val="auto"/>
        </w:rPr>
      </w:pPr>
      <w:r>
        <w:rPr>
          <w:rFonts w:ascii="Arial" w:cs="Arial" w:eastAsia="Arial" w:hAnsi="Arial"/>
          <w:sz w:val="16"/>
          <w:szCs w:val="16"/>
          <w:color w:val="auto"/>
        </w:rPr>
        <w:t>Evergy Kansas Central</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rPr>
          <w:sz w:val="20"/>
          <w:szCs w:val="20"/>
          <w:color w:val="auto"/>
        </w:rPr>
      </w:pPr>
      <w:r>
        <w:rPr>
          <w:rFonts w:ascii="Arial" w:cs="Arial" w:eastAsia="Arial" w:hAnsi="Arial"/>
          <w:sz w:val="16"/>
          <w:szCs w:val="16"/>
          <w:color w:val="auto"/>
        </w:rPr>
        <w:t>Evergy Kansas Central</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rPr>
          <w:sz w:val="20"/>
          <w:szCs w:val="20"/>
          <w:color w:val="auto"/>
        </w:rPr>
      </w:pPr>
      <w:r>
        <w:rPr>
          <w:rFonts w:ascii="Arial" w:cs="Arial" w:eastAsia="Arial" w:hAnsi="Arial"/>
          <w:sz w:val="16"/>
          <w:szCs w:val="16"/>
          <w:color w:val="auto"/>
        </w:rPr>
        <w:t>Evergy Kansas Central</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ectPr>
          <w:pgSz w:w="11900" w:h="16838" w:orient="portrait"/>
          <w:cols w:equalWidth="0" w:num="2">
            <w:col w:w="8520" w:space="320"/>
            <w:col w:w="1820"/>
          </w:cols>
          <w:pgMar w:left="320" w:top="99" w:right="919" w:bottom="1440" w:gutter="0" w:footer="0" w:header="0"/>
        </w:sectPr>
      </w:pPr>
    </w:p>
    <w:bookmarkStart w:id="62" w:name="page63"/>
    <w:bookmarkEnd w:id="6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20"/>
                <w:szCs w:val="20"/>
                <w:color w:val="auto"/>
              </w:rPr>
              <w:t>10.14</w:t>
            </w:r>
          </w:p>
        </w:tc>
        <w:tc>
          <w:tcPr>
            <w:tcW w:w="760" w:type="dxa"/>
            <w:vAlign w:val="bottom"/>
          </w:tcPr>
          <w:p>
            <w:pPr>
              <w:jc w:val="center"/>
              <w:ind w:left="21"/>
              <w:spacing w:after="0"/>
              <w:rPr>
                <w:sz w:val="20"/>
                <w:szCs w:val="20"/>
                <w:color w:val="auto"/>
              </w:rPr>
            </w:pPr>
            <w:r>
              <w:rPr>
                <w:rFonts w:ascii="Arial" w:cs="Arial" w:eastAsia="Arial" w:hAnsi="Arial"/>
                <w:sz w:val="20"/>
                <w:szCs w:val="20"/>
                <w:color w:val="auto"/>
              </w:rPr>
              <w:t>+</w:t>
            </w:r>
          </w:p>
        </w:tc>
        <w:tc>
          <w:tcPr>
            <w:tcW w:w="5200" w:type="dxa"/>
            <w:vAlign w:val="bottom"/>
            <w:tcBorders>
              <w:bottom w:val="single" w:sz="8" w:color="0000FF"/>
            </w:tcBorders>
            <w:gridSpan w:val="5"/>
          </w:tcPr>
          <w:p>
            <w:pPr>
              <w:spacing w:after="0"/>
              <w:rPr>
                <w:rFonts w:ascii="Arial" w:cs="Arial" w:eastAsia="Arial" w:hAnsi="Arial"/>
                <w:sz w:val="20"/>
                <w:szCs w:val="20"/>
                <w:color w:val="0000FF"/>
                <w:w w:val="90"/>
              </w:rPr>
            </w:pPr>
            <w:hyperlink w:anchor="page66">
              <w:r>
                <w:rPr>
                  <w:rFonts w:ascii="Arial" w:cs="Arial" w:eastAsia="Arial" w:hAnsi="Arial"/>
                  <w:sz w:val="20"/>
                  <w:szCs w:val="20"/>
                  <w:color w:val="0000FF"/>
                  <w:w w:val="90"/>
                </w:rPr>
                <w:t>Summary of Evergy, Inc. Non-Employee Director Compensation.</w:t>
              </w:r>
            </w:hyperlink>
          </w:p>
        </w:tc>
        <w:tc>
          <w:tcPr>
            <w:tcW w:w="1520" w:type="dxa"/>
            <w:vAlign w:val="bottom"/>
          </w:tcPr>
          <w:p>
            <w:pPr>
              <w:spacing w:after="0"/>
              <w:rPr>
                <w:sz w:val="19"/>
                <w:szCs w:val="19"/>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318"/>
        </w:trPr>
        <w:tc>
          <w:tcPr>
            <w:tcW w:w="1040" w:type="dxa"/>
            <w:vAlign w:val="bottom"/>
          </w:tcPr>
          <w:p>
            <w:pPr>
              <w:spacing w:after="0"/>
              <w:rPr>
                <w:sz w:val="20"/>
                <w:szCs w:val="20"/>
                <w:color w:val="auto"/>
              </w:rPr>
            </w:pPr>
            <w:r>
              <w:rPr>
                <w:rFonts w:ascii="Arial" w:cs="Arial" w:eastAsia="Arial" w:hAnsi="Arial"/>
                <w:sz w:val="20"/>
                <w:szCs w:val="20"/>
                <w:color w:val="auto"/>
              </w:rPr>
              <w:t>31.1</w:t>
            </w:r>
          </w:p>
        </w:tc>
        <w:tc>
          <w:tcPr>
            <w:tcW w:w="760" w:type="dxa"/>
            <w:vAlign w:val="bottom"/>
          </w:tcPr>
          <w:p>
            <w:pPr>
              <w:spacing w:after="0"/>
              <w:rPr>
                <w:sz w:val="24"/>
                <w:szCs w:val="24"/>
                <w:color w:val="auto"/>
              </w:rPr>
            </w:pPr>
          </w:p>
        </w:tc>
        <w:tc>
          <w:tcPr>
            <w:tcW w:w="4940" w:type="dxa"/>
            <w:vAlign w:val="bottom"/>
            <w:tcBorders>
              <w:bottom w:val="single" w:sz="8" w:color="0000FF"/>
            </w:tcBorders>
            <w:gridSpan w:val="3"/>
          </w:tcPr>
          <w:p>
            <w:pPr>
              <w:spacing w:after="0"/>
              <w:rPr>
                <w:rFonts w:ascii="Arial" w:cs="Arial" w:eastAsia="Arial" w:hAnsi="Arial"/>
                <w:sz w:val="20"/>
                <w:szCs w:val="20"/>
                <w:color w:val="0000FF"/>
                <w:w w:val="91"/>
              </w:rPr>
            </w:pPr>
            <w:hyperlink w:anchor="page67">
              <w:r>
                <w:rPr>
                  <w:rFonts w:ascii="Arial" w:cs="Arial" w:eastAsia="Arial" w:hAnsi="Arial"/>
                  <w:sz w:val="20"/>
                  <w:szCs w:val="20"/>
                  <w:color w:val="0000FF"/>
                  <w:w w:val="91"/>
                </w:rPr>
                <w:t>Rule 13a-14(a)/15d-14(a) Certification of David A. Campbell.</w:t>
              </w:r>
            </w:hyperlink>
          </w:p>
        </w:tc>
        <w:tc>
          <w:tcPr>
            <w:tcW w:w="1780" w:type="dxa"/>
            <w:vAlign w:val="bottom"/>
            <w:gridSpan w:val="3"/>
          </w:tcPr>
          <w:p>
            <w:pPr>
              <w:spacing w:after="0"/>
              <w:rPr>
                <w:sz w:val="24"/>
                <w:szCs w:val="24"/>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318"/>
        </w:trPr>
        <w:tc>
          <w:tcPr>
            <w:tcW w:w="1040" w:type="dxa"/>
            <w:vAlign w:val="bottom"/>
          </w:tcPr>
          <w:p>
            <w:pPr>
              <w:spacing w:after="0"/>
              <w:rPr>
                <w:sz w:val="20"/>
                <w:szCs w:val="20"/>
                <w:color w:val="auto"/>
              </w:rPr>
            </w:pPr>
            <w:r>
              <w:rPr>
                <w:rFonts w:ascii="Arial" w:cs="Arial" w:eastAsia="Arial" w:hAnsi="Arial"/>
                <w:sz w:val="20"/>
                <w:szCs w:val="20"/>
                <w:color w:val="auto"/>
              </w:rPr>
              <w:t>31.2</w:t>
            </w:r>
          </w:p>
        </w:tc>
        <w:tc>
          <w:tcPr>
            <w:tcW w:w="760" w:type="dxa"/>
            <w:vAlign w:val="bottom"/>
          </w:tcPr>
          <w:p>
            <w:pPr>
              <w:spacing w:after="0"/>
              <w:rPr>
                <w:sz w:val="24"/>
                <w:szCs w:val="24"/>
                <w:color w:val="auto"/>
              </w:rPr>
            </w:pPr>
          </w:p>
        </w:tc>
        <w:tc>
          <w:tcPr>
            <w:tcW w:w="6720" w:type="dxa"/>
            <w:vAlign w:val="bottom"/>
            <w:gridSpan w:val="6"/>
          </w:tcPr>
          <w:p>
            <w:pPr>
              <w:spacing w:after="0"/>
              <w:rPr>
                <w:rFonts w:ascii="Arial" w:cs="Arial" w:eastAsia="Arial" w:hAnsi="Arial"/>
                <w:sz w:val="20"/>
                <w:szCs w:val="20"/>
                <w:color w:val="0000FF"/>
              </w:rPr>
            </w:pPr>
            <w:hyperlink w:anchor="page68">
              <w:r>
                <w:rPr>
                  <w:rFonts w:ascii="Arial" w:cs="Arial" w:eastAsia="Arial" w:hAnsi="Arial"/>
                  <w:sz w:val="20"/>
                  <w:szCs w:val="20"/>
                  <w:color w:val="0000FF"/>
                </w:rPr>
                <w:t>Rule 13a-14(a)/15d-14(a) Certification of Kirkland B. Andrews.</w:t>
              </w:r>
            </w:hyperlink>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318"/>
        </w:trPr>
        <w:tc>
          <w:tcPr>
            <w:tcW w:w="1040" w:type="dxa"/>
            <w:vAlign w:val="bottom"/>
          </w:tcPr>
          <w:p>
            <w:pPr>
              <w:spacing w:after="0"/>
              <w:rPr>
                <w:sz w:val="20"/>
                <w:szCs w:val="20"/>
                <w:color w:val="auto"/>
              </w:rPr>
            </w:pPr>
            <w:r>
              <w:rPr>
                <w:rFonts w:ascii="Arial" w:cs="Arial" w:eastAsia="Arial" w:hAnsi="Arial"/>
                <w:sz w:val="20"/>
                <w:szCs w:val="20"/>
                <w:color w:val="auto"/>
              </w:rPr>
              <w:t>31.3</w:t>
            </w:r>
          </w:p>
        </w:tc>
        <w:tc>
          <w:tcPr>
            <w:tcW w:w="76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3"/>
          </w:tcPr>
          <w:p>
            <w:pPr>
              <w:spacing w:after="0"/>
              <w:rPr>
                <w:rFonts w:ascii="Arial" w:cs="Arial" w:eastAsia="Arial" w:hAnsi="Arial"/>
                <w:sz w:val="20"/>
                <w:szCs w:val="20"/>
                <w:color w:val="0000FF"/>
                <w:w w:val="91"/>
              </w:rPr>
            </w:pPr>
            <w:hyperlink w:anchor="page69">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tcPr>
          <w:p>
            <w:pPr>
              <w:spacing w:after="0"/>
              <w:rPr>
                <w:sz w:val="24"/>
                <w:szCs w:val="24"/>
                <w:color w:val="auto"/>
              </w:rPr>
            </w:pPr>
          </w:p>
        </w:tc>
        <w:tc>
          <w:tcPr>
            <w:tcW w:w="1640" w:type="dxa"/>
            <w:vAlign w:val="bottom"/>
            <w:gridSpan w:val="2"/>
          </w:tcPr>
          <w:p>
            <w:pPr>
              <w:spacing w:after="0"/>
              <w:rPr>
                <w:sz w:val="24"/>
                <w:szCs w:val="24"/>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318"/>
        </w:trPr>
        <w:tc>
          <w:tcPr>
            <w:tcW w:w="1040" w:type="dxa"/>
            <w:vAlign w:val="bottom"/>
          </w:tcPr>
          <w:p>
            <w:pPr>
              <w:spacing w:after="0"/>
              <w:rPr>
                <w:sz w:val="20"/>
                <w:szCs w:val="20"/>
                <w:color w:val="auto"/>
              </w:rPr>
            </w:pPr>
            <w:r>
              <w:rPr>
                <w:rFonts w:ascii="Arial" w:cs="Arial" w:eastAsia="Arial" w:hAnsi="Arial"/>
                <w:sz w:val="20"/>
                <w:szCs w:val="20"/>
                <w:color w:val="auto"/>
              </w:rPr>
              <w:t>31.4</w:t>
            </w:r>
          </w:p>
        </w:tc>
        <w:tc>
          <w:tcPr>
            <w:tcW w:w="760" w:type="dxa"/>
            <w:vAlign w:val="bottom"/>
          </w:tcPr>
          <w:p>
            <w:pPr>
              <w:spacing w:after="0"/>
              <w:rPr>
                <w:sz w:val="24"/>
                <w:szCs w:val="24"/>
                <w:color w:val="auto"/>
              </w:rPr>
            </w:pPr>
          </w:p>
        </w:tc>
        <w:tc>
          <w:tcPr>
            <w:tcW w:w="6720" w:type="dxa"/>
            <w:vAlign w:val="bottom"/>
            <w:gridSpan w:val="6"/>
          </w:tcPr>
          <w:p>
            <w:pPr>
              <w:spacing w:after="0"/>
              <w:rPr>
                <w:rFonts w:ascii="Arial" w:cs="Arial" w:eastAsia="Arial" w:hAnsi="Arial"/>
                <w:sz w:val="20"/>
                <w:szCs w:val="20"/>
                <w:color w:val="0000FF"/>
              </w:rPr>
            </w:pPr>
            <w:hyperlink w:anchor="page70">
              <w:r>
                <w:rPr>
                  <w:rFonts w:ascii="Arial" w:cs="Arial" w:eastAsia="Arial" w:hAnsi="Arial"/>
                  <w:sz w:val="20"/>
                  <w:szCs w:val="20"/>
                  <w:color w:val="0000FF"/>
                </w:rPr>
                <w:t>Rule 13a-14(a)/15d-14(a) Certification of Kirkland B. Andrews.</w:t>
              </w:r>
            </w:hyperlink>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318"/>
        </w:trPr>
        <w:tc>
          <w:tcPr>
            <w:tcW w:w="1040" w:type="dxa"/>
            <w:vAlign w:val="bottom"/>
          </w:tcPr>
          <w:p>
            <w:pPr>
              <w:spacing w:after="0"/>
              <w:rPr>
                <w:sz w:val="20"/>
                <w:szCs w:val="20"/>
                <w:color w:val="auto"/>
              </w:rPr>
            </w:pPr>
            <w:r>
              <w:rPr>
                <w:rFonts w:ascii="Arial" w:cs="Arial" w:eastAsia="Arial" w:hAnsi="Arial"/>
                <w:sz w:val="20"/>
                <w:szCs w:val="20"/>
                <w:color w:val="auto"/>
              </w:rPr>
              <w:t>31.5</w:t>
            </w:r>
          </w:p>
        </w:tc>
        <w:tc>
          <w:tcPr>
            <w:tcW w:w="76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3"/>
          </w:tcPr>
          <w:p>
            <w:pPr>
              <w:spacing w:after="0"/>
              <w:rPr>
                <w:rFonts w:ascii="Arial" w:cs="Arial" w:eastAsia="Arial" w:hAnsi="Arial"/>
                <w:sz w:val="20"/>
                <w:szCs w:val="20"/>
                <w:color w:val="0000FF"/>
                <w:w w:val="91"/>
              </w:rPr>
            </w:pPr>
            <w:hyperlink w:anchor="page71">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tcPr>
          <w:p>
            <w:pPr>
              <w:spacing w:after="0"/>
              <w:rPr>
                <w:sz w:val="24"/>
                <w:szCs w:val="24"/>
                <w:color w:val="auto"/>
              </w:rPr>
            </w:pPr>
          </w:p>
        </w:tc>
        <w:tc>
          <w:tcPr>
            <w:tcW w:w="1640" w:type="dxa"/>
            <w:vAlign w:val="bottom"/>
            <w:gridSpan w:val="2"/>
          </w:tcPr>
          <w:p>
            <w:pPr>
              <w:spacing w:after="0"/>
              <w:rPr>
                <w:sz w:val="24"/>
                <w:szCs w:val="24"/>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w w:val="87"/>
              </w:rPr>
              <w:t>Evergy Kansas Central</w:t>
            </w:r>
          </w:p>
        </w:tc>
      </w:tr>
      <w:tr>
        <w:trPr>
          <w:trHeight w:val="318"/>
        </w:trPr>
        <w:tc>
          <w:tcPr>
            <w:tcW w:w="1040" w:type="dxa"/>
            <w:vAlign w:val="bottom"/>
          </w:tcPr>
          <w:p>
            <w:pPr>
              <w:spacing w:after="0"/>
              <w:rPr>
                <w:sz w:val="20"/>
                <w:szCs w:val="20"/>
                <w:color w:val="auto"/>
              </w:rPr>
            </w:pPr>
            <w:r>
              <w:rPr>
                <w:rFonts w:ascii="Arial" w:cs="Arial" w:eastAsia="Arial" w:hAnsi="Arial"/>
                <w:sz w:val="20"/>
                <w:szCs w:val="20"/>
                <w:color w:val="auto"/>
              </w:rPr>
              <w:t>31.6</w:t>
            </w:r>
          </w:p>
        </w:tc>
        <w:tc>
          <w:tcPr>
            <w:tcW w:w="760" w:type="dxa"/>
            <w:vAlign w:val="bottom"/>
          </w:tcPr>
          <w:p>
            <w:pPr>
              <w:spacing w:after="0"/>
              <w:rPr>
                <w:sz w:val="24"/>
                <w:szCs w:val="24"/>
                <w:color w:val="auto"/>
              </w:rPr>
            </w:pPr>
          </w:p>
        </w:tc>
        <w:tc>
          <w:tcPr>
            <w:tcW w:w="6720" w:type="dxa"/>
            <w:vAlign w:val="bottom"/>
            <w:gridSpan w:val="6"/>
          </w:tcPr>
          <w:p>
            <w:pPr>
              <w:spacing w:after="0"/>
              <w:rPr>
                <w:rFonts w:ascii="Arial" w:cs="Arial" w:eastAsia="Arial" w:hAnsi="Arial"/>
                <w:sz w:val="20"/>
                <w:szCs w:val="20"/>
                <w:color w:val="0000FF"/>
              </w:rPr>
            </w:pPr>
            <w:hyperlink w:anchor="page72">
              <w:r>
                <w:rPr>
                  <w:rFonts w:ascii="Arial" w:cs="Arial" w:eastAsia="Arial" w:hAnsi="Arial"/>
                  <w:sz w:val="20"/>
                  <w:szCs w:val="20"/>
                  <w:color w:val="0000FF"/>
                </w:rPr>
                <w:t>Rule 13a-14(a)/15d-14(a) Certification of Kirkland B. Andrews.</w:t>
              </w:r>
            </w:hyperlink>
          </w:p>
        </w:tc>
        <w:tc>
          <w:tcPr>
            <w:tcW w:w="2120" w:type="dxa"/>
            <w:vAlign w:val="bottom"/>
          </w:tcPr>
          <w:p>
            <w:pPr>
              <w:ind w:left="300"/>
              <w:spacing w:after="0"/>
              <w:rPr>
                <w:sz w:val="20"/>
                <w:szCs w:val="20"/>
                <w:color w:val="auto"/>
              </w:rPr>
            </w:pPr>
            <w:r>
              <w:rPr>
                <w:rFonts w:ascii="Arial" w:cs="Arial" w:eastAsia="Arial" w:hAnsi="Arial"/>
                <w:sz w:val="20"/>
                <w:szCs w:val="20"/>
                <w:color w:val="auto"/>
                <w:w w:val="87"/>
              </w:rPr>
              <w:t>Evergy Kansas Central</w:t>
            </w:r>
          </w:p>
        </w:tc>
      </w:tr>
      <w:tr>
        <w:trPr>
          <w:trHeight w:val="318"/>
        </w:trPr>
        <w:tc>
          <w:tcPr>
            <w:tcW w:w="1040" w:type="dxa"/>
            <w:vAlign w:val="bottom"/>
          </w:tcPr>
          <w:p>
            <w:pPr>
              <w:spacing w:after="0"/>
              <w:rPr>
                <w:sz w:val="20"/>
                <w:szCs w:val="20"/>
                <w:color w:val="auto"/>
              </w:rPr>
            </w:pPr>
            <w:r>
              <w:rPr>
                <w:rFonts w:ascii="Arial" w:cs="Arial" w:eastAsia="Arial" w:hAnsi="Arial"/>
                <w:sz w:val="20"/>
                <w:szCs w:val="20"/>
                <w:color w:val="auto"/>
              </w:rPr>
              <w:t>32.1</w:t>
            </w:r>
          </w:p>
        </w:tc>
        <w:tc>
          <w:tcPr>
            <w:tcW w:w="760" w:type="dxa"/>
            <w:vAlign w:val="bottom"/>
          </w:tcPr>
          <w:p>
            <w:pPr>
              <w:jc w:val="center"/>
              <w:ind w:left="21"/>
              <w:spacing w:after="0"/>
              <w:rPr>
                <w:sz w:val="20"/>
                <w:szCs w:val="20"/>
                <w:color w:val="auto"/>
              </w:rPr>
            </w:pPr>
            <w:r>
              <w:rPr>
                <w:rFonts w:ascii="Arial" w:cs="Arial" w:eastAsia="Arial" w:hAnsi="Arial"/>
                <w:sz w:val="20"/>
                <w:szCs w:val="20"/>
                <w:color w:val="auto"/>
              </w:rPr>
              <w:t>**</w:t>
            </w:r>
          </w:p>
        </w:tc>
        <w:tc>
          <w:tcPr>
            <w:tcW w:w="2240" w:type="dxa"/>
            <w:vAlign w:val="bottom"/>
            <w:tcBorders>
              <w:top w:val="single" w:sz="8" w:color="0000FF"/>
              <w:bottom w:val="single" w:sz="8" w:color="0000FF"/>
            </w:tcBorders>
            <w:gridSpan w:val="2"/>
          </w:tcPr>
          <w:p>
            <w:pPr>
              <w:spacing w:after="0"/>
              <w:rPr>
                <w:rFonts w:ascii="Arial" w:cs="Arial" w:eastAsia="Arial" w:hAnsi="Arial"/>
                <w:sz w:val="20"/>
                <w:szCs w:val="20"/>
                <w:color w:val="0000FF"/>
                <w:w w:val="91"/>
              </w:rPr>
            </w:pPr>
            <w:hyperlink w:anchor="page73">
              <w:r>
                <w:rPr>
                  <w:rFonts w:ascii="Arial" w:cs="Arial" w:eastAsia="Arial" w:hAnsi="Arial"/>
                  <w:sz w:val="20"/>
                  <w:szCs w:val="20"/>
                  <w:color w:val="0000FF"/>
                  <w:w w:val="91"/>
                </w:rPr>
                <w:t>Section 1350 Certifications.</w:t>
              </w:r>
            </w:hyperlink>
          </w:p>
        </w:tc>
        <w:tc>
          <w:tcPr>
            <w:tcW w:w="2840" w:type="dxa"/>
            <w:vAlign w:val="bottom"/>
            <w:tcBorders>
              <w:top w:val="single" w:sz="8" w:color="0000FF"/>
            </w:tcBorders>
            <w:gridSpan w:val="2"/>
          </w:tcPr>
          <w:p>
            <w:pPr>
              <w:spacing w:after="0"/>
              <w:rPr>
                <w:sz w:val="24"/>
                <w:szCs w:val="24"/>
                <w:color w:val="auto"/>
              </w:rPr>
            </w:pPr>
          </w:p>
        </w:tc>
        <w:tc>
          <w:tcPr>
            <w:tcW w:w="1640" w:type="dxa"/>
            <w:vAlign w:val="bottom"/>
            <w:gridSpan w:val="2"/>
          </w:tcPr>
          <w:p>
            <w:pPr>
              <w:spacing w:after="0"/>
              <w:rPr>
                <w:sz w:val="24"/>
                <w:szCs w:val="24"/>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318"/>
        </w:trPr>
        <w:tc>
          <w:tcPr>
            <w:tcW w:w="1040" w:type="dxa"/>
            <w:vAlign w:val="bottom"/>
          </w:tcPr>
          <w:p>
            <w:pPr>
              <w:spacing w:after="0"/>
              <w:rPr>
                <w:sz w:val="20"/>
                <w:szCs w:val="20"/>
                <w:color w:val="auto"/>
              </w:rPr>
            </w:pPr>
            <w:r>
              <w:rPr>
                <w:rFonts w:ascii="Arial" w:cs="Arial" w:eastAsia="Arial" w:hAnsi="Arial"/>
                <w:sz w:val="20"/>
                <w:szCs w:val="20"/>
                <w:color w:val="auto"/>
              </w:rPr>
              <w:t>32.2</w:t>
            </w:r>
          </w:p>
        </w:tc>
        <w:tc>
          <w:tcPr>
            <w:tcW w:w="760" w:type="dxa"/>
            <w:vAlign w:val="bottom"/>
          </w:tcPr>
          <w:p>
            <w:pPr>
              <w:jc w:val="center"/>
              <w:ind w:left="21"/>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0000FF"/>
            </w:tcBorders>
            <w:gridSpan w:val="2"/>
          </w:tcPr>
          <w:p>
            <w:pPr>
              <w:spacing w:after="0"/>
              <w:rPr>
                <w:rFonts w:ascii="Arial" w:cs="Arial" w:eastAsia="Arial" w:hAnsi="Arial"/>
                <w:sz w:val="20"/>
                <w:szCs w:val="20"/>
                <w:color w:val="0000FF"/>
                <w:w w:val="91"/>
              </w:rPr>
            </w:pPr>
            <w:hyperlink w:anchor="page74">
              <w:r>
                <w:rPr>
                  <w:rFonts w:ascii="Arial" w:cs="Arial" w:eastAsia="Arial" w:hAnsi="Arial"/>
                  <w:sz w:val="20"/>
                  <w:szCs w:val="20"/>
                  <w:color w:val="0000FF"/>
                  <w:w w:val="91"/>
                </w:rPr>
                <w:t>Section 1350 Certifications.</w:t>
              </w:r>
            </w:hyperlink>
          </w:p>
        </w:tc>
        <w:tc>
          <w:tcPr>
            <w:tcW w:w="4480" w:type="dxa"/>
            <w:vAlign w:val="bottom"/>
            <w:gridSpan w:val="4"/>
          </w:tcPr>
          <w:p>
            <w:pPr>
              <w:spacing w:after="0"/>
              <w:rPr>
                <w:sz w:val="24"/>
                <w:szCs w:val="24"/>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318"/>
        </w:trPr>
        <w:tc>
          <w:tcPr>
            <w:tcW w:w="1040" w:type="dxa"/>
            <w:vAlign w:val="bottom"/>
          </w:tcPr>
          <w:p>
            <w:pPr>
              <w:spacing w:after="0"/>
              <w:rPr>
                <w:sz w:val="20"/>
                <w:szCs w:val="20"/>
                <w:color w:val="auto"/>
              </w:rPr>
            </w:pPr>
            <w:r>
              <w:rPr>
                <w:rFonts w:ascii="Arial" w:cs="Arial" w:eastAsia="Arial" w:hAnsi="Arial"/>
                <w:sz w:val="20"/>
                <w:szCs w:val="20"/>
                <w:color w:val="auto"/>
              </w:rPr>
              <w:t>32.3</w:t>
            </w:r>
          </w:p>
        </w:tc>
        <w:tc>
          <w:tcPr>
            <w:tcW w:w="760" w:type="dxa"/>
            <w:vAlign w:val="bottom"/>
          </w:tcPr>
          <w:p>
            <w:pPr>
              <w:jc w:val="center"/>
              <w:ind w:left="21"/>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tcPr>
          <w:p>
            <w:pPr>
              <w:spacing w:after="0"/>
              <w:rPr>
                <w:rFonts w:ascii="Arial" w:cs="Arial" w:eastAsia="Arial" w:hAnsi="Arial"/>
                <w:sz w:val="20"/>
                <w:szCs w:val="20"/>
                <w:color w:val="0000FF"/>
                <w:w w:val="90"/>
              </w:rPr>
            </w:pPr>
            <w:hyperlink w:anchor="page75">
              <w:r>
                <w:rPr>
                  <w:rFonts w:ascii="Arial" w:cs="Arial" w:eastAsia="Arial" w:hAnsi="Arial"/>
                  <w:sz w:val="20"/>
                  <w:szCs w:val="20"/>
                  <w:color w:val="0000FF"/>
                  <w:w w:val="90"/>
                </w:rPr>
                <w:t>Section 1350 Certifications.</w:t>
              </w:r>
            </w:hyperlink>
          </w:p>
        </w:tc>
        <w:tc>
          <w:tcPr>
            <w:tcW w:w="4500" w:type="dxa"/>
            <w:vAlign w:val="bottom"/>
            <w:gridSpan w:val="5"/>
          </w:tcPr>
          <w:p>
            <w:pPr>
              <w:spacing w:after="0"/>
              <w:rPr>
                <w:sz w:val="24"/>
                <w:szCs w:val="24"/>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w w:val="87"/>
              </w:rPr>
              <w:t>Evergy Kansas Central</w:t>
            </w:r>
          </w:p>
        </w:tc>
      </w:tr>
      <w:tr>
        <w:trPr>
          <w:trHeight w:val="362"/>
        </w:trPr>
        <w:tc>
          <w:tcPr>
            <w:tcW w:w="1040" w:type="dxa"/>
            <w:vAlign w:val="bottom"/>
          </w:tcPr>
          <w:p>
            <w:pPr>
              <w:spacing w:after="0"/>
              <w:rPr>
                <w:sz w:val="20"/>
                <w:szCs w:val="20"/>
                <w:color w:val="auto"/>
              </w:rPr>
            </w:pPr>
            <w:r>
              <w:rPr>
                <w:rFonts w:ascii="Arial" w:cs="Arial" w:eastAsia="Arial" w:hAnsi="Arial"/>
                <w:sz w:val="20"/>
                <w:szCs w:val="20"/>
                <w:color w:val="auto"/>
              </w:rPr>
              <w:t>101.INS</w:t>
            </w:r>
          </w:p>
        </w:tc>
        <w:tc>
          <w:tcPr>
            <w:tcW w:w="760" w:type="dxa"/>
            <w:vAlign w:val="bottom"/>
          </w:tcPr>
          <w:p>
            <w:pPr>
              <w:jc w:val="center"/>
              <w:ind w:left="21"/>
              <w:spacing w:after="0"/>
              <w:rPr>
                <w:sz w:val="20"/>
                <w:szCs w:val="20"/>
                <w:color w:val="auto"/>
              </w:rPr>
            </w:pPr>
            <w:r>
              <w:rPr>
                <w:rFonts w:ascii="Arial" w:cs="Arial" w:eastAsia="Arial" w:hAnsi="Arial"/>
                <w:sz w:val="20"/>
                <w:szCs w:val="20"/>
                <w:color w:val="auto"/>
              </w:rPr>
              <w:t>***</w:t>
            </w:r>
          </w:p>
        </w:tc>
        <w:tc>
          <w:tcPr>
            <w:tcW w:w="6720" w:type="dxa"/>
            <w:vAlign w:val="bottom"/>
            <w:gridSpan w:val="6"/>
          </w:tcPr>
          <w:p>
            <w:pPr>
              <w:spacing w:after="0"/>
              <w:rPr>
                <w:sz w:val="20"/>
                <w:szCs w:val="20"/>
                <w:color w:val="auto"/>
              </w:rPr>
            </w:pPr>
            <w:r>
              <w:rPr>
                <w:rFonts w:ascii="Arial" w:cs="Arial" w:eastAsia="Arial" w:hAnsi="Arial"/>
                <w:sz w:val="20"/>
                <w:szCs w:val="20"/>
                <w:color w:val="auto"/>
              </w:rPr>
              <w:t>XBRL Instance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n/a</w:t>
            </w:r>
          </w:p>
        </w:tc>
      </w:tr>
      <w:tr>
        <w:trPr>
          <w:trHeight w:val="279"/>
        </w:trPr>
        <w:tc>
          <w:tcPr>
            <w:tcW w:w="1040" w:type="dxa"/>
            <w:vAlign w:val="bottom"/>
          </w:tcPr>
          <w:p>
            <w:pPr>
              <w:spacing w:after="0"/>
              <w:rPr>
                <w:sz w:val="20"/>
                <w:szCs w:val="20"/>
                <w:color w:val="auto"/>
              </w:rPr>
            </w:pPr>
            <w:r>
              <w:rPr>
                <w:rFonts w:ascii="Arial" w:cs="Arial" w:eastAsia="Arial" w:hAnsi="Arial"/>
                <w:sz w:val="20"/>
                <w:szCs w:val="20"/>
                <w:color w:val="auto"/>
              </w:rPr>
              <w:t>101.SCH</w:t>
            </w:r>
          </w:p>
        </w:tc>
        <w:tc>
          <w:tcPr>
            <w:tcW w:w="760" w:type="dxa"/>
            <w:vAlign w:val="bottom"/>
          </w:tcPr>
          <w:p>
            <w:pPr>
              <w:spacing w:after="0"/>
              <w:rPr>
                <w:sz w:val="24"/>
                <w:szCs w:val="24"/>
                <w:color w:val="auto"/>
              </w:rPr>
            </w:pPr>
          </w:p>
        </w:tc>
        <w:tc>
          <w:tcPr>
            <w:tcW w:w="6720" w:type="dxa"/>
            <w:vAlign w:val="bottom"/>
            <w:gridSpan w:val="6"/>
          </w:tcPr>
          <w:p>
            <w:pPr>
              <w:spacing w:after="0"/>
              <w:rPr>
                <w:sz w:val="20"/>
                <w:szCs w:val="20"/>
                <w:color w:val="auto"/>
              </w:rPr>
            </w:pPr>
            <w:r>
              <w:rPr>
                <w:rFonts w:ascii="Arial" w:cs="Arial" w:eastAsia="Arial" w:hAnsi="Arial"/>
                <w:sz w:val="20"/>
                <w:szCs w:val="20"/>
                <w:color w:val="auto"/>
              </w:rPr>
              <w:t>Inline XBRL Taxonomy Extension Schema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040" w:type="dxa"/>
            <w:vAlign w:val="bottom"/>
          </w:tcPr>
          <w:p>
            <w:pPr>
              <w:spacing w:after="0"/>
              <w:rPr>
                <w:sz w:val="20"/>
                <w:szCs w:val="20"/>
                <w:color w:val="auto"/>
              </w:rPr>
            </w:pPr>
            <w:r>
              <w:rPr>
                <w:rFonts w:ascii="Arial" w:cs="Arial" w:eastAsia="Arial" w:hAnsi="Arial"/>
                <w:sz w:val="20"/>
                <w:szCs w:val="20"/>
                <w:color w:val="auto"/>
              </w:rPr>
              <w:t>101.CAL</w:t>
            </w:r>
          </w:p>
        </w:tc>
        <w:tc>
          <w:tcPr>
            <w:tcW w:w="760" w:type="dxa"/>
            <w:vAlign w:val="bottom"/>
          </w:tcPr>
          <w:p>
            <w:pPr>
              <w:spacing w:after="0"/>
              <w:rPr>
                <w:sz w:val="24"/>
                <w:szCs w:val="24"/>
                <w:color w:val="auto"/>
              </w:rPr>
            </w:pPr>
          </w:p>
        </w:tc>
        <w:tc>
          <w:tcPr>
            <w:tcW w:w="6720" w:type="dxa"/>
            <w:vAlign w:val="bottom"/>
            <w:gridSpan w:val="6"/>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040" w:type="dxa"/>
            <w:vAlign w:val="bottom"/>
          </w:tcPr>
          <w:p>
            <w:pPr>
              <w:spacing w:after="0"/>
              <w:rPr>
                <w:sz w:val="20"/>
                <w:szCs w:val="20"/>
                <w:color w:val="auto"/>
              </w:rPr>
            </w:pPr>
            <w:r>
              <w:rPr>
                <w:rFonts w:ascii="Arial" w:cs="Arial" w:eastAsia="Arial" w:hAnsi="Arial"/>
                <w:sz w:val="20"/>
                <w:szCs w:val="20"/>
                <w:color w:val="auto"/>
              </w:rPr>
              <w:t>101.DEF</w:t>
            </w:r>
          </w:p>
        </w:tc>
        <w:tc>
          <w:tcPr>
            <w:tcW w:w="760" w:type="dxa"/>
            <w:vAlign w:val="bottom"/>
          </w:tcPr>
          <w:p>
            <w:pPr>
              <w:spacing w:after="0"/>
              <w:rPr>
                <w:sz w:val="24"/>
                <w:szCs w:val="24"/>
                <w:color w:val="auto"/>
              </w:rPr>
            </w:pPr>
          </w:p>
        </w:tc>
        <w:tc>
          <w:tcPr>
            <w:tcW w:w="6720" w:type="dxa"/>
            <w:vAlign w:val="bottom"/>
            <w:gridSpan w:val="6"/>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040" w:type="dxa"/>
            <w:vAlign w:val="bottom"/>
          </w:tcPr>
          <w:p>
            <w:pPr>
              <w:spacing w:after="0"/>
              <w:rPr>
                <w:sz w:val="20"/>
                <w:szCs w:val="20"/>
                <w:color w:val="auto"/>
              </w:rPr>
            </w:pPr>
            <w:r>
              <w:rPr>
                <w:rFonts w:ascii="Arial" w:cs="Arial" w:eastAsia="Arial" w:hAnsi="Arial"/>
                <w:sz w:val="20"/>
                <w:szCs w:val="20"/>
                <w:color w:val="auto"/>
              </w:rPr>
              <w:t>101.LAB</w:t>
            </w:r>
          </w:p>
        </w:tc>
        <w:tc>
          <w:tcPr>
            <w:tcW w:w="760" w:type="dxa"/>
            <w:vAlign w:val="bottom"/>
          </w:tcPr>
          <w:p>
            <w:pPr>
              <w:spacing w:after="0"/>
              <w:rPr>
                <w:sz w:val="24"/>
                <w:szCs w:val="24"/>
                <w:color w:val="auto"/>
              </w:rPr>
            </w:pPr>
          </w:p>
        </w:tc>
        <w:tc>
          <w:tcPr>
            <w:tcW w:w="6720" w:type="dxa"/>
            <w:vAlign w:val="bottom"/>
            <w:gridSpan w:val="6"/>
          </w:tcPr>
          <w:p>
            <w:pPr>
              <w:spacing w:after="0"/>
              <w:rPr>
                <w:sz w:val="20"/>
                <w:szCs w:val="20"/>
                <w:color w:val="auto"/>
              </w:rPr>
            </w:pPr>
            <w:r>
              <w:rPr>
                <w:rFonts w:ascii="Arial" w:cs="Arial" w:eastAsia="Arial" w:hAnsi="Arial"/>
                <w:sz w:val="20"/>
                <w:szCs w:val="20"/>
                <w:color w:val="auto"/>
              </w:rPr>
              <w:t>Inline XBRL Taxonomy Extension Labels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040" w:type="dxa"/>
            <w:vAlign w:val="bottom"/>
          </w:tcPr>
          <w:p>
            <w:pPr>
              <w:spacing w:after="0"/>
              <w:rPr>
                <w:sz w:val="20"/>
                <w:szCs w:val="20"/>
                <w:color w:val="auto"/>
              </w:rPr>
            </w:pPr>
            <w:r>
              <w:rPr>
                <w:rFonts w:ascii="Arial" w:cs="Arial" w:eastAsia="Arial" w:hAnsi="Arial"/>
                <w:sz w:val="20"/>
                <w:szCs w:val="20"/>
                <w:color w:val="auto"/>
              </w:rPr>
              <w:t>101.PRE</w:t>
            </w:r>
          </w:p>
        </w:tc>
        <w:tc>
          <w:tcPr>
            <w:tcW w:w="760" w:type="dxa"/>
            <w:vAlign w:val="bottom"/>
          </w:tcPr>
          <w:p>
            <w:pPr>
              <w:spacing w:after="0"/>
              <w:rPr>
                <w:sz w:val="24"/>
                <w:szCs w:val="24"/>
                <w:color w:val="auto"/>
              </w:rPr>
            </w:pPr>
          </w:p>
        </w:tc>
        <w:tc>
          <w:tcPr>
            <w:tcW w:w="6720" w:type="dxa"/>
            <w:vAlign w:val="bottom"/>
            <w:gridSpan w:val="6"/>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040" w:type="dxa"/>
            <w:vAlign w:val="bottom"/>
          </w:tcPr>
          <w:p>
            <w:pPr>
              <w:spacing w:after="0"/>
              <w:rPr>
                <w:sz w:val="20"/>
                <w:szCs w:val="20"/>
                <w:color w:val="auto"/>
              </w:rPr>
            </w:pPr>
            <w:r>
              <w:rPr>
                <w:rFonts w:ascii="Arial" w:cs="Arial" w:eastAsia="Arial" w:hAnsi="Arial"/>
                <w:sz w:val="20"/>
                <w:szCs w:val="20"/>
                <w:color w:val="auto"/>
              </w:rPr>
              <w:t>104</w:t>
            </w:r>
          </w:p>
        </w:tc>
        <w:tc>
          <w:tcPr>
            <w:tcW w:w="760" w:type="dxa"/>
            <w:vAlign w:val="bottom"/>
          </w:tcPr>
          <w:p>
            <w:pPr>
              <w:spacing w:after="0"/>
              <w:rPr>
                <w:sz w:val="24"/>
                <w:szCs w:val="24"/>
                <w:color w:val="auto"/>
              </w:rPr>
            </w:pPr>
          </w:p>
        </w:tc>
        <w:tc>
          <w:tcPr>
            <w:tcW w:w="6720" w:type="dxa"/>
            <w:vAlign w:val="bottom"/>
            <w:gridSpan w:val="6"/>
          </w:tcPr>
          <w:p>
            <w:pPr>
              <w:spacing w:after="0"/>
              <w:rPr>
                <w:sz w:val="20"/>
                <w:szCs w:val="20"/>
                <w:color w:val="auto"/>
              </w:rPr>
            </w:pPr>
            <w:r>
              <w:rPr>
                <w:rFonts w:ascii="Arial" w:cs="Arial" w:eastAsia="Arial" w:hAnsi="Arial"/>
                <w:sz w:val="20"/>
                <w:szCs w:val="20"/>
                <w:color w:val="auto"/>
                <w:w w:val="95"/>
              </w:rPr>
              <w:t>Cover Page Interactive Data File (embedded within the Inline XBRL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bl>
    <w:p>
      <w:pPr>
        <w:spacing w:after="0" w:line="165" w:lineRule="exact"/>
        <w:rPr>
          <w:sz w:val="20"/>
          <w:szCs w:val="20"/>
          <w:color w:val="auto"/>
        </w:rPr>
      </w:pPr>
    </w:p>
    <w:p>
      <w:pPr>
        <w:ind w:right="60" w:firstLine="8"/>
        <w:spacing w:after="0" w:line="250" w:lineRule="auto"/>
        <w:tabs>
          <w:tab w:leader="none" w:pos="1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18" w:lineRule="exact"/>
        <w:rPr>
          <w:sz w:val="20"/>
          <w:szCs w:val="20"/>
          <w:color w:val="auto"/>
        </w:rPr>
      </w:pPr>
    </w:p>
    <w:p>
      <w:pPr>
        <w:jc w:val="both"/>
        <w:ind w:firstLine="8"/>
        <w:spacing w:after="0" w:line="250" w:lineRule="auto"/>
        <w:tabs>
          <w:tab w:leader="none" w:pos="247" w:val="left"/>
        </w:tabs>
        <w:numPr>
          <w:ilvl w:val="0"/>
          <w:numId w:val="33"/>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18" w:lineRule="exact"/>
        <w:rPr>
          <w:rFonts w:ascii="Arial" w:cs="Arial" w:eastAsia="Arial" w:hAnsi="Arial"/>
          <w:sz w:val="20"/>
          <w:szCs w:val="20"/>
          <w:color w:val="auto"/>
        </w:rPr>
      </w:pPr>
    </w:p>
    <w:p>
      <w:pPr>
        <w:ind w:right="560" w:firstLine="8"/>
        <w:spacing w:after="0" w:line="260" w:lineRule="auto"/>
        <w:tabs>
          <w:tab w:leader="none" w:pos="346"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 Indicates management contract or compensatory plan or arrangement.</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Evergy Kansas Central or Evergy Metro, as applicable, upon written request.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63" w:name="page64"/>
    <w:bookmarkEnd w:id="6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2" w:right="959" w:bottom="1440" w:gutter="0" w:footer="0" w:header="0"/>
        </w:sectPr>
      </w:pPr>
    </w:p>
    <w:bookmarkStart w:id="64" w:name="page65"/>
    <w:bookmarkEnd w:id="6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20" w:type="dxa"/>
            <w:vAlign w:val="bottom"/>
            <w:gridSpan w:val="3"/>
          </w:tcPr>
          <w:p>
            <w:pPr>
              <w:ind w:left="1080"/>
              <w:spacing w:after="0"/>
              <w:rPr>
                <w:sz w:val="20"/>
                <w:szCs w:val="20"/>
                <w:color w:val="auto"/>
              </w:rPr>
            </w:pPr>
            <w:r>
              <w:rPr>
                <w:rFonts w:ascii="Arial" w:cs="Arial" w:eastAsia="Arial" w:hAnsi="Arial"/>
                <w:sz w:val="20"/>
                <w:szCs w:val="20"/>
                <w:b w:val="1"/>
                <w:bCs w:val="1"/>
                <w:color w:val="auto"/>
              </w:rPr>
              <w:t>EVERGY, INC.</w:t>
            </w:r>
          </w:p>
        </w:tc>
      </w:tr>
      <w:tr>
        <w:trPr>
          <w:trHeight w:val="441"/>
        </w:trPr>
        <w:tc>
          <w:tcPr>
            <w:tcW w:w="700" w:type="dxa"/>
            <w:vAlign w:val="bottom"/>
          </w:tcPr>
          <w:p>
            <w:pPr>
              <w:spacing w:after="0"/>
              <w:rPr>
                <w:sz w:val="20"/>
                <w:szCs w:val="20"/>
                <w:color w:val="auto"/>
              </w:rPr>
            </w:pPr>
            <w:r>
              <w:rPr>
                <w:rFonts w:ascii="Arial" w:cs="Arial" w:eastAsia="Arial" w:hAnsi="Arial"/>
                <w:sz w:val="20"/>
                <w:szCs w:val="20"/>
                <w:color w:val="auto"/>
              </w:rPr>
              <w:t>Dated:</w:t>
            </w:r>
          </w:p>
        </w:tc>
        <w:tc>
          <w:tcPr>
            <w:tcW w:w="2260" w:type="dxa"/>
            <w:vAlign w:val="bottom"/>
          </w:tcPr>
          <w:p>
            <w:pPr>
              <w:ind w:left="180"/>
              <w:spacing w:after="0"/>
              <w:rPr>
                <w:sz w:val="20"/>
                <w:szCs w:val="20"/>
                <w:color w:val="auto"/>
              </w:rPr>
            </w:pPr>
            <w:r>
              <w:rPr>
                <w:rFonts w:ascii="Arial" w:cs="Arial" w:eastAsia="Arial" w:hAnsi="Arial"/>
                <w:sz w:val="20"/>
                <w:szCs w:val="20"/>
                <w:color w:val="auto"/>
              </w:rPr>
              <w:t>May 5, 2021</w:t>
            </w:r>
          </w:p>
        </w:tc>
        <w:tc>
          <w:tcPr>
            <w:tcW w:w="5420" w:type="dxa"/>
            <w:vAlign w:val="bottom"/>
            <w:gridSpan w:val="3"/>
          </w:tcPr>
          <w:p>
            <w:pPr>
              <w:ind w:left="1080"/>
              <w:spacing w:after="0"/>
              <w:rPr>
                <w:sz w:val="20"/>
                <w:szCs w:val="20"/>
                <w:color w:val="auto"/>
              </w:rPr>
            </w:pPr>
            <w:r>
              <w:rPr>
                <w:rFonts w:ascii="Arial" w:cs="Arial" w:eastAsia="Arial" w:hAnsi="Arial"/>
                <w:sz w:val="20"/>
                <w:szCs w:val="20"/>
                <w:color w:val="auto"/>
              </w:rPr>
              <w:t>By: /s/ Kirkland B. Andrews</w:t>
            </w:r>
          </w:p>
        </w:tc>
      </w:tr>
      <w:tr>
        <w:trPr>
          <w:trHeight w:val="20"/>
        </w:trPr>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0"/>
        </w:trPr>
        <w:tc>
          <w:tcPr>
            <w:tcW w:w="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20" w:type="dxa"/>
            <w:vAlign w:val="bottom"/>
            <w:gridSpan w:val="3"/>
          </w:tcPr>
          <w:p>
            <w:pPr>
              <w:ind w:left="1080"/>
              <w:spacing w:after="0"/>
              <w:rPr>
                <w:sz w:val="20"/>
                <w:szCs w:val="20"/>
                <w:color w:val="auto"/>
              </w:rPr>
            </w:pPr>
            <w:r>
              <w:rPr>
                <w:rFonts w:ascii="Arial" w:cs="Arial" w:eastAsia="Arial" w:hAnsi="Arial"/>
                <w:sz w:val="20"/>
                <w:szCs w:val="20"/>
                <w:color w:val="auto"/>
              </w:rPr>
              <w:t>(Kirkland B. Andrews)</w:t>
            </w:r>
          </w:p>
        </w:tc>
      </w:tr>
      <w:tr>
        <w:trPr>
          <w:trHeight w:val="250"/>
        </w:trPr>
        <w:tc>
          <w:tcPr>
            <w:tcW w:w="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20" w:type="dxa"/>
            <w:vAlign w:val="bottom"/>
            <w:gridSpan w:val="3"/>
          </w:tcPr>
          <w:p>
            <w:pPr>
              <w:ind w:left="1080"/>
              <w:spacing w:after="0"/>
              <w:rPr>
                <w:sz w:val="20"/>
                <w:szCs w:val="20"/>
                <w:color w:val="auto"/>
              </w:rPr>
            </w:pPr>
            <w:r>
              <w:rPr>
                <w:rFonts w:ascii="Arial" w:cs="Arial" w:eastAsia="Arial" w:hAnsi="Arial"/>
                <w:sz w:val="20"/>
                <w:szCs w:val="20"/>
                <w:color w:val="auto"/>
                <w:w w:val="90"/>
              </w:rPr>
              <w:t>(Executive Vice President and Chief Financial Officer)</w:t>
            </w: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980" w:type="dxa"/>
            <w:vAlign w:val="bottom"/>
          </w:tcPr>
          <w:p>
            <w:pPr>
              <w:spacing w:after="0"/>
              <w:rPr>
                <w:sz w:val="22"/>
                <w:szCs w:val="22"/>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b w:val="1"/>
                <w:bCs w:val="1"/>
                <w:color w:val="auto"/>
              </w:rPr>
              <w:t>EVERGY KANSAS CENTRAL, INC.</w:t>
            </w:r>
          </w:p>
        </w:tc>
      </w:tr>
      <w:tr>
        <w:trPr>
          <w:trHeight w:val="441"/>
        </w:trPr>
        <w:tc>
          <w:tcPr>
            <w:tcW w:w="2980" w:type="dxa"/>
            <w:vAlign w:val="bottom"/>
          </w:tcPr>
          <w:p>
            <w:pPr>
              <w:spacing w:after="0"/>
              <w:rPr>
                <w:sz w:val="20"/>
                <w:szCs w:val="20"/>
                <w:color w:val="auto"/>
              </w:rPr>
            </w:pPr>
            <w:r>
              <w:rPr>
                <w:rFonts w:ascii="Arial" w:cs="Arial" w:eastAsia="Arial" w:hAnsi="Arial"/>
                <w:sz w:val="20"/>
                <w:szCs w:val="20"/>
                <w:color w:val="auto"/>
                <w:w w:val="90"/>
              </w:rPr>
              <w:t>Dated:May 5, 2021</w:t>
            </w: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rPr>
              <w:t>By: /s/ Kirkland B. Andrews</w:t>
            </w:r>
          </w:p>
        </w:tc>
      </w:tr>
      <w:tr>
        <w:trPr>
          <w:trHeight w:val="20"/>
        </w:trPr>
        <w:tc>
          <w:tcPr>
            <w:tcW w:w="2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2980" w:type="dxa"/>
            <w:vAlign w:val="bottom"/>
          </w:tcPr>
          <w:p>
            <w:pPr>
              <w:spacing w:after="0"/>
              <w:rPr>
                <w:sz w:val="22"/>
                <w:szCs w:val="22"/>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rPr>
              <w:t>(Kirkland B. Andrews)</w:t>
            </w:r>
          </w:p>
        </w:tc>
      </w:tr>
      <w:tr>
        <w:trPr>
          <w:trHeight w:val="250"/>
        </w:trPr>
        <w:tc>
          <w:tcPr>
            <w:tcW w:w="2980" w:type="dxa"/>
            <w:vAlign w:val="bottom"/>
          </w:tcPr>
          <w:p>
            <w:pPr>
              <w:spacing w:after="0"/>
              <w:rPr>
                <w:sz w:val="21"/>
                <w:szCs w:val="21"/>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b w:val="1"/>
                <w:bCs w:val="1"/>
                <w:color w:val="auto"/>
              </w:rPr>
              <w:t>EVERGY METRO, INC.</w:t>
            </w:r>
          </w:p>
        </w:tc>
      </w:tr>
      <w:tr>
        <w:trPr>
          <w:trHeight w:val="441"/>
        </w:trPr>
        <w:tc>
          <w:tcPr>
            <w:tcW w:w="720" w:type="dxa"/>
            <w:vAlign w:val="bottom"/>
          </w:tcPr>
          <w:p>
            <w:pPr>
              <w:spacing w:after="0"/>
              <w:rPr>
                <w:sz w:val="20"/>
                <w:szCs w:val="20"/>
                <w:color w:val="auto"/>
              </w:rPr>
            </w:pPr>
            <w:r>
              <w:rPr>
                <w:rFonts w:ascii="Arial" w:cs="Arial" w:eastAsia="Arial" w:hAnsi="Arial"/>
                <w:sz w:val="20"/>
                <w:szCs w:val="20"/>
                <w:color w:val="auto"/>
              </w:rPr>
              <w:t>Dated:</w:t>
            </w:r>
          </w:p>
        </w:tc>
        <w:tc>
          <w:tcPr>
            <w:tcW w:w="2260" w:type="dxa"/>
            <w:vAlign w:val="bottom"/>
          </w:tcPr>
          <w:p>
            <w:pPr>
              <w:ind w:left="180"/>
              <w:spacing w:after="0"/>
              <w:rPr>
                <w:sz w:val="20"/>
                <w:szCs w:val="20"/>
                <w:color w:val="auto"/>
              </w:rPr>
            </w:pPr>
            <w:r>
              <w:rPr>
                <w:rFonts w:ascii="Arial" w:cs="Arial" w:eastAsia="Arial" w:hAnsi="Arial"/>
                <w:sz w:val="20"/>
                <w:szCs w:val="20"/>
                <w:color w:val="auto"/>
              </w:rPr>
              <w:t>May 5, 2021</w:t>
            </w: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rPr>
              <w:t>By: /s/ Kirkland B. Andrews</w:t>
            </w:r>
          </w:p>
        </w:tc>
      </w:tr>
      <w:tr>
        <w:trPr>
          <w:trHeight w:val="20"/>
        </w:trPr>
        <w:tc>
          <w:tcPr>
            <w:tcW w:w="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7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rPr>
              <w:t>(Kirkland B. Andrews)</w:t>
            </w:r>
          </w:p>
        </w:tc>
      </w:tr>
      <w:tr>
        <w:trPr>
          <w:trHeight w:val="250"/>
        </w:trPr>
        <w:tc>
          <w:tcPr>
            <w:tcW w:w="7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122" w:right="45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860" w:type="dxa"/>
            <w:vAlign w:val="bottom"/>
          </w:tcPr>
          <w:p>
            <w:pPr>
              <w:jc w:val="center"/>
              <w:ind w:left="2232"/>
              <w:spacing w:after="0"/>
              <w:rPr>
                <w:sz w:val="20"/>
                <w:szCs w:val="20"/>
                <w:color w:val="auto"/>
              </w:rPr>
            </w:pPr>
            <w:r>
              <w:rPr>
                <w:rFonts w:ascii="Arial" w:cs="Arial" w:eastAsia="Arial" w:hAnsi="Arial"/>
                <w:sz w:val="22"/>
                <w:szCs w:val="22"/>
                <w:b w:val="1"/>
                <w:bCs w:val="1"/>
                <w:color w:val="auto"/>
                <w:w w:val="90"/>
              </w:rPr>
              <w:t>Evergy, Inc.</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8860" w:type="dxa"/>
            <w:vAlign w:val="bottom"/>
          </w:tcPr>
          <w:p>
            <w:pPr>
              <w:jc w:val="center"/>
              <w:ind w:left="2252"/>
              <w:spacing w:after="0"/>
              <w:rPr>
                <w:sz w:val="20"/>
                <w:szCs w:val="20"/>
                <w:color w:val="auto"/>
              </w:rPr>
            </w:pPr>
            <w:r>
              <w:rPr>
                <w:rFonts w:ascii="Arial" w:cs="Arial" w:eastAsia="Arial" w:hAnsi="Arial"/>
                <w:sz w:val="22"/>
                <w:szCs w:val="22"/>
                <w:b w:val="1"/>
                <w:bCs w:val="1"/>
                <w:color w:val="auto"/>
                <w:w w:val="89"/>
              </w:rPr>
              <w:t>Summary of</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860" w:type="dxa"/>
            <w:vAlign w:val="bottom"/>
          </w:tcPr>
          <w:p>
            <w:pPr>
              <w:jc w:val="center"/>
              <w:ind w:left="2252"/>
              <w:spacing w:after="0"/>
              <w:rPr>
                <w:sz w:val="20"/>
                <w:szCs w:val="20"/>
                <w:color w:val="auto"/>
              </w:rPr>
            </w:pPr>
            <w:r>
              <w:rPr>
                <w:rFonts w:ascii="Arial" w:cs="Arial" w:eastAsia="Arial" w:hAnsi="Arial"/>
                <w:sz w:val="22"/>
                <w:szCs w:val="22"/>
                <w:b w:val="1"/>
                <w:bCs w:val="1"/>
                <w:color w:val="auto"/>
                <w:w w:val="88"/>
              </w:rPr>
              <w:t>Non-Employee Director Compensation</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860" w:type="dxa"/>
            <w:vAlign w:val="bottom"/>
          </w:tcPr>
          <w:p>
            <w:pPr>
              <w:jc w:val="center"/>
              <w:ind w:left="2252"/>
              <w:spacing w:after="0"/>
              <w:rPr>
                <w:sz w:val="20"/>
                <w:szCs w:val="20"/>
                <w:color w:val="auto"/>
              </w:rPr>
            </w:pPr>
            <w:r>
              <w:rPr>
                <w:rFonts w:ascii="Arial" w:cs="Arial" w:eastAsia="Arial" w:hAnsi="Arial"/>
                <w:sz w:val="22"/>
                <w:szCs w:val="22"/>
                <w:color w:val="auto"/>
                <w:w w:val="91"/>
              </w:rPr>
              <w:t>Effective May 4, 2021</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8860" w:type="dxa"/>
            <w:vAlign w:val="bottom"/>
            <w:vMerge w:val="restart"/>
          </w:tcPr>
          <w:p>
            <w:pPr>
              <w:spacing w:after="0"/>
              <w:rPr>
                <w:sz w:val="20"/>
                <w:szCs w:val="20"/>
                <w:color w:val="auto"/>
              </w:rPr>
            </w:pPr>
            <w:r>
              <w:rPr>
                <w:rFonts w:ascii="Arial" w:cs="Arial" w:eastAsia="Arial" w:hAnsi="Arial"/>
                <w:sz w:val="22"/>
                <w:szCs w:val="22"/>
                <w:b w:val="1"/>
                <w:bCs w:val="1"/>
                <w:color w:val="auto"/>
              </w:rPr>
              <w:t>Cash — Retainer (Paid Quarterly)</w:t>
            </w:r>
          </w:p>
        </w:tc>
        <w:tc>
          <w:tcPr>
            <w:tcW w:w="2340" w:type="dxa"/>
            <w:vAlign w:val="bottom"/>
            <w:gridSpan w:val="2"/>
          </w:tcPr>
          <w:p>
            <w:pPr>
              <w:jc w:val="right"/>
              <w:spacing w:after="0"/>
              <w:rPr>
                <w:sz w:val="20"/>
                <w:szCs w:val="20"/>
                <w:color w:val="auto"/>
              </w:rPr>
            </w:pPr>
            <w:r>
              <w:rPr>
                <w:rFonts w:ascii="Arial" w:cs="Arial" w:eastAsia="Arial" w:hAnsi="Arial"/>
                <w:sz w:val="22"/>
                <w:szCs w:val="22"/>
                <w:b w:val="1"/>
                <w:bCs w:val="1"/>
                <w:color w:val="auto"/>
              </w:rPr>
              <w:t>Amount</w:t>
            </w:r>
          </w:p>
        </w:tc>
        <w:tc>
          <w:tcPr>
            <w:tcW w:w="0" w:type="dxa"/>
            <w:vAlign w:val="bottom"/>
          </w:tcPr>
          <w:p>
            <w:pPr>
              <w:spacing w:after="0"/>
              <w:rPr>
                <w:sz w:val="1"/>
                <w:szCs w:val="1"/>
                <w:color w:val="auto"/>
              </w:rPr>
            </w:pPr>
          </w:p>
        </w:tc>
      </w:tr>
      <w:tr>
        <w:trPr>
          <w:trHeight w:val="296"/>
        </w:trPr>
        <w:tc>
          <w:tcPr>
            <w:tcW w:w="88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60" w:type="dxa"/>
            <w:vAlign w:val="bottom"/>
          </w:tcPr>
          <w:p>
            <w:pPr>
              <w:ind w:left="160"/>
              <w:spacing w:after="0"/>
              <w:rPr>
                <w:sz w:val="20"/>
                <w:szCs w:val="20"/>
                <w:color w:val="auto"/>
              </w:rPr>
            </w:pPr>
            <w:r>
              <w:rPr>
                <w:rFonts w:ascii="Arial" w:cs="Arial" w:eastAsia="Arial" w:hAnsi="Arial"/>
                <w:sz w:val="22"/>
                <w:szCs w:val="22"/>
                <w:color w:val="auto"/>
              </w:rPr>
              <w:t>Annual Retainer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$115,000</w:t>
            </w:r>
          </w:p>
        </w:tc>
        <w:tc>
          <w:tcPr>
            <w:tcW w:w="0" w:type="dxa"/>
            <w:vAlign w:val="bottom"/>
          </w:tcPr>
          <w:p>
            <w:pPr>
              <w:spacing w:after="0"/>
              <w:rPr>
                <w:sz w:val="1"/>
                <w:szCs w:val="1"/>
                <w:color w:val="auto"/>
              </w:rPr>
            </w:pPr>
          </w:p>
        </w:tc>
      </w:tr>
      <w:tr>
        <w:trPr>
          <w:trHeight w:val="270"/>
        </w:trPr>
        <w:tc>
          <w:tcPr>
            <w:tcW w:w="8860" w:type="dxa"/>
            <w:vAlign w:val="bottom"/>
          </w:tcPr>
          <w:p>
            <w:pPr>
              <w:ind w:left="160"/>
              <w:spacing w:after="0"/>
              <w:rPr>
                <w:sz w:val="20"/>
                <w:szCs w:val="20"/>
                <w:color w:val="auto"/>
              </w:rPr>
            </w:pPr>
            <w:r>
              <w:rPr>
                <w:rFonts w:ascii="Arial" w:cs="Arial" w:eastAsia="Arial" w:hAnsi="Arial"/>
                <w:sz w:val="22"/>
                <w:szCs w:val="22"/>
                <w:color w:val="auto"/>
              </w:rPr>
              <w:t>Non-Executive Chair Retainer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$55,000</w:t>
            </w:r>
          </w:p>
        </w:tc>
        <w:tc>
          <w:tcPr>
            <w:tcW w:w="0" w:type="dxa"/>
            <w:vAlign w:val="bottom"/>
          </w:tcPr>
          <w:p>
            <w:pPr>
              <w:spacing w:after="0"/>
              <w:rPr>
                <w:sz w:val="1"/>
                <w:szCs w:val="1"/>
                <w:color w:val="auto"/>
              </w:rPr>
            </w:pPr>
          </w:p>
        </w:tc>
      </w:tr>
      <w:tr>
        <w:trPr>
          <w:trHeight w:val="270"/>
        </w:trPr>
        <w:tc>
          <w:tcPr>
            <w:tcW w:w="8860" w:type="dxa"/>
            <w:vAlign w:val="bottom"/>
          </w:tcPr>
          <w:p>
            <w:pPr>
              <w:ind w:left="160"/>
              <w:spacing w:after="0"/>
              <w:rPr>
                <w:sz w:val="20"/>
                <w:szCs w:val="20"/>
                <w:color w:val="auto"/>
              </w:rPr>
            </w:pPr>
            <w:r>
              <w:rPr>
                <w:rFonts w:ascii="Arial" w:cs="Arial" w:eastAsia="Arial" w:hAnsi="Arial"/>
                <w:sz w:val="22"/>
                <w:szCs w:val="22"/>
                <w:color w:val="auto"/>
              </w:rPr>
              <w:t>Lead Director Retainer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$30,000</w:t>
            </w:r>
          </w:p>
        </w:tc>
        <w:tc>
          <w:tcPr>
            <w:tcW w:w="0" w:type="dxa"/>
            <w:vAlign w:val="bottom"/>
          </w:tcPr>
          <w:p>
            <w:pPr>
              <w:spacing w:after="0"/>
              <w:rPr>
                <w:sz w:val="1"/>
                <w:szCs w:val="1"/>
                <w:color w:val="auto"/>
              </w:rPr>
            </w:pPr>
          </w:p>
        </w:tc>
      </w:tr>
      <w:tr>
        <w:trPr>
          <w:trHeight w:val="270"/>
        </w:trPr>
        <w:tc>
          <w:tcPr>
            <w:tcW w:w="8860" w:type="dxa"/>
            <w:vAlign w:val="bottom"/>
          </w:tcPr>
          <w:p>
            <w:pPr>
              <w:ind w:left="160"/>
              <w:spacing w:after="0"/>
              <w:rPr>
                <w:sz w:val="20"/>
                <w:szCs w:val="20"/>
                <w:color w:val="auto"/>
              </w:rPr>
            </w:pPr>
            <w:r>
              <w:rPr>
                <w:rFonts w:ascii="Arial" w:cs="Arial" w:eastAsia="Arial" w:hAnsi="Arial"/>
                <w:sz w:val="22"/>
                <w:szCs w:val="22"/>
                <w:color w:val="auto"/>
              </w:rPr>
              <w:t>Audit Committee Chair Retainer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270"/>
        </w:trPr>
        <w:tc>
          <w:tcPr>
            <w:tcW w:w="8860" w:type="dxa"/>
            <w:vAlign w:val="bottom"/>
          </w:tcPr>
          <w:p>
            <w:pPr>
              <w:ind w:left="160"/>
              <w:spacing w:after="0"/>
              <w:rPr>
                <w:sz w:val="20"/>
                <w:szCs w:val="20"/>
                <w:color w:val="auto"/>
              </w:rPr>
            </w:pPr>
            <w:r>
              <w:rPr>
                <w:rFonts w:ascii="Arial" w:cs="Arial" w:eastAsia="Arial" w:hAnsi="Arial"/>
                <w:sz w:val="22"/>
                <w:szCs w:val="22"/>
                <w:color w:val="auto"/>
              </w:rPr>
              <w:t>Compensation and Leadership Development Committee Chair Retainer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270"/>
        </w:trPr>
        <w:tc>
          <w:tcPr>
            <w:tcW w:w="8860" w:type="dxa"/>
            <w:vAlign w:val="bottom"/>
          </w:tcPr>
          <w:p>
            <w:pPr>
              <w:ind w:left="160"/>
              <w:spacing w:after="0"/>
              <w:rPr>
                <w:sz w:val="20"/>
                <w:szCs w:val="20"/>
                <w:color w:val="auto"/>
              </w:rPr>
            </w:pPr>
            <w:r>
              <w:rPr>
                <w:rFonts w:ascii="Arial" w:cs="Arial" w:eastAsia="Arial" w:hAnsi="Arial"/>
                <w:sz w:val="22"/>
                <w:szCs w:val="22"/>
                <w:color w:val="auto"/>
              </w:rPr>
              <w:t>Nominating, Governance, and Corporate Responsibility Committee Chair Retainer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270"/>
        </w:trPr>
        <w:tc>
          <w:tcPr>
            <w:tcW w:w="8860" w:type="dxa"/>
            <w:vAlign w:val="bottom"/>
          </w:tcPr>
          <w:p>
            <w:pPr>
              <w:ind w:left="160"/>
              <w:spacing w:after="0"/>
              <w:rPr>
                <w:sz w:val="20"/>
                <w:szCs w:val="20"/>
                <w:color w:val="auto"/>
              </w:rPr>
            </w:pPr>
            <w:r>
              <w:rPr>
                <w:rFonts w:ascii="Arial" w:cs="Arial" w:eastAsia="Arial" w:hAnsi="Arial"/>
                <w:sz w:val="22"/>
                <w:szCs w:val="22"/>
                <w:color w:val="auto"/>
              </w:rPr>
              <w:t>Finance Committee Chair Retainer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270"/>
        </w:trPr>
        <w:tc>
          <w:tcPr>
            <w:tcW w:w="8860" w:type="dxa"/>
            <w:vAlign w:val="bottom"/>
          </w:tcPr>
          <w:p>
            <w:pPr>
              <w:ind w:left="160"/>
              <w:spacing w:after="0"/>
              <w:rPr>
                <w:sz w:val="20"/>
                <w:szCs w:val="20"/>
                <w:color w:val="auto"/>
              </w:rPr>
            </w:pPr>
            <w:r>
              <w:rPr>
                <w:rFonts w:ascii="Arial" w:cs="Arial" w:eastAsia="Arial" w:hAnsi="Arial"/>
                <w:sz w:val="22"/>
                <w:szCs w:val="22"/>
                <w:color w:val="auto"/>
              </w:rPr>
              <w:t>Nuclear and Power Supply Committee Chair Retainer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274"/>
        </w:trPr>
        <w:tc>
          <w:tcPr>
            <w:tcW w:w="8860" w:type="dxa"/>
            <w:vAlign w:val="bottom"/>
          </w:tcPr>
          <w:p>
            <w:pPr>
              <w:ind w:left="160"/>
              <w:spacing w:after="0"/>
              <w:rPr>
                <w:sz w:val="20"/>
                <w:szCs w:val="20"/>
                <w:color w:val="auto"/>
              </w:rPr>
            </w:pPr>
            <w:r>
              <w:rPr>
                <w:rFonts w:ascii="Arial" w:cs="Arial" w:eastAsia="Arial" w:hAnsi="Arial"/>
                <w:sz w:val="22"/>
                <w:szCs w:val="22"/>
                <w:color w:val="auto"/>
              </w:rPr>
              <w:t>Power Delivery and Safety Committee Chair Retainer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540"/>
        </w:trPr>
        <w:tc>
          <w:tcPr>
            <w:tcW w:w="8860" w:type="dxa"/>
            <w:vAlign w:val="bottom"/>
          </w:tcPr>
          <w:p>
            <w:pPr>
              <w:spacing w:after="0"/>
              <w:rPr>
                <w:sz w:val="20"/>
                <w:szCs w:val="20"/>
                <w:color w:val="auto"/>
              </w:rPr>
            </w:pPr>
            <w:r>
              <w:rPr>
                <w:rFonts w:ascii="Arial" w:cs="Arial" w:eastAsia="Arial" w:hAnsi="Arial"/>
                <w:sz w:val="22"/>
                <w:szCs w:val="22"/>
                <w:b w:val="1"/>
                <w:bCs w:val="1"/>
                <w:color w:val="auto"/>
              </w:rPr>
              <w:t>Cash — Committee Member Retainers and Meeting Fees</w:t>
            </w:r>
          </w:p>
        </w:tc>
        <w:tc>
          <w:tcPr>
            <w:tcW w:w="1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536"/>
        </w:trPr>
        <w:tc>
          <w:tcPr>
            <w:tcW w:w="8860" w:type="dxa"/>
            <w:vAlign w:val="bottom"/>
          </w:tcPr>
          <w:p>
            <w:pPr>
              <w:spacing w:after="0"/>
              <w:rPr>
                <w:sz w:val="20"/>
                <w:szCs w:val="20"/>
                <w:color w:val="auto"/>
              </w:rPr>
            </w:pPr>
            <w:r>
              <w:rPr>
                <w:rFonts w:ascii="Arial" w:cs="Arial" w:eastAsia="Arial" w:hAnsi="Arial"/>
                <w:sz w:val="22"/>
                <w:szCs w:val="22"/>
                <w:b w:val="1"/>
                <w:bCs w:val="1"/>
                <w:color w:val="auto"/>
              </w:rPr>
              <w:t>Company Common Stock (Paid Annually Following Shareholder Meeting)</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60" w:type="dxa"/>
            <w:vAlign w:val="bottom"/>
          </w:tcPr>
          <w:p>
            <w:pPr>
              <w:ind w:left="160"/>
              <w:spacing w:after="0"/>
              <w:rPr>
                <w:sz w:val="20"/>
                <w:szCs w:val="20"/>
                <w:color w:val="auto"/>
              </w:rPr>
            </w:pPr>
            <w:r>
              <w:rPr>
                <w:rFonts w:ascii="Arial" w:cs="Arial" w:eastAsia="Arial" w:hAnsi="Arial"/>
                <w:sz w:val="22"/>
                <w:szCs w:val="22"/>
                <w:color w:val="auto"/>
              </w:rPr>
              <w:t>Annual Equity Compensation</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$145,000</w:t>
            </w:r>
          </w:p>
        </w:tc>
        <w:tc>
          <w:tcPr>
            <w:tcW w:w="0" w:type="dxa"/>
            <w:vAlign w:val="bottom"/>
          </w:tcPr>
          <w:p>
            <w:pPr>
              <w:spacing w:after="0"/>
              <w:rPr>
                <w:sz w:val="1"/>
                <w:szCs w:val="1"/>
                <w:color w:val="auto"/>
              </w:rPr>
            </w:pPr>
          </w:p>
        </w:tc>
      </w:tr>
      <w:tr>
        <w:trPr>
          <w:trHeight w:val="274"/>
        </w:trPr>
        <w:tc>
          <w:tcPr>
            <w:tcW w:w="8860" w:type="dxa"/>
            <w:vAlign w:val="bottom"/>
          </w:tcPr>
          <w:p>
            <w:pPr>
              <w:ind w:left="160"/>
              <w:spacing w:after="0"/>
              <w:rPr>
                <w:sz w:val="20"/>
                <w:szCs w:val="20"/>
                <w:color w:val="auto"/>
              </w:rPr>
            </w:pPr>
            <w:r>
              <w:rPr>
                <w:rFonts w:ascii="Arial" w:cs="Arial" w:eastAsia="Arial" w:hAnsi="Arial"/>
                <w:sz w:val="22"/>
                <w:szCs w:val="22"/>
                <w:color w:val="auto"/>
              </w:rPr>
              <w:t>Non-Executive Chair</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$55,000</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460"/>
        <w:spacing w:after="0" w:line="223" w:lineRule="auto"/>
        <w:rPr>
          <w:sz w:val="20"/>
          <w:szCs w:val="20"/>
          <w:color w:val="auto"/>
        </w:rPr>
      </w:pPr>
      <w:r>
        <w:rPr>
          <w:rFonts w:ascii="Arial" w:cs="Arial" w:eastAsia="Arial" w:hAnsi="Arial"/>
          <w:sz w:val="22"/>
          <w:szCs w:val="22"/>
          <w:color w:val="auto"/>
        </w:rPr>
        <w:t>All members of the Board of Directors are entitled to be reimbursed for expenses, as set forth in Evergy, Inc.’s corporate governance guidelines. Evergy, Inc. also provides liability insurance to its directors under its directors and officers insurance policies.</w:t>
      </w:r>
    </w:p>
    <w:p>
      <w:pPr>
        <w:sectPr>
          <w:pgSz w:w="11900" w:h="16838" w:orient="portrait"/>
          <w:cols w:equalWidth="0" w:num="1">
            <w:col w:w="11220"/>
          </w:cols>
          <w:pgMar w:left="340" w:top="6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3" w:lineRule="auto"/>
        <w:tabs>
          <w:tab w:leader="none" w:pos="104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652"/>
        <w:spacing w:after="0" w:line="308" w:lineRule="auto"/>
        <w:tabs>
          <w:tab w:leader="none" w:pos="3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40" w:hanging="644"/>
        <w:spacing w:after="0" w:line="342" w:lineRule="auto"/>
        <w:tabs>
          <w:tab w:leader="none" w:pos="1022"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03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tcPr>
          <w:p>
            <w:pPr>
              <w:ind w:left="200"/>
              <w:spacing w:after="0"/>
              <w:rPr>
                <w:sz w:val="20"/>
                <w:szCs w:val="20"/>
                <w:color w:val="auto"/>
              </w:rPr>
            </w:pPr>
            <w:r>
              <w:rPr>
                <w:rFonts w:ascii="Arial" w:cs="Arial" w:eastAsia="Arial" w:hAnsi="Arial"/>
                <w:sz w:val="18"/>
                <w:szCs w:val="18"/>
                <w:color w:val="0038FF"/>
              </w:rPr>
              <w:t>May 5, 2021</w:t>
            </w:r>
          </w:p>
        </w:tc>
        <w:tc>
          <w:tcPr>
            <w:tcW w:w="5120" w:type="dxa"/>
            <w:vAlign w:val="bottom"/>
            <w:gridSpan w:val="3"/>
          </w:tcPr>
          <w:p>
            <w:pPr>
              <w:ind w:left="2380"/>
              <w:spacing w:after="0"/>
              <w:rPr>
                <w:sz w:val="20"/>
                <w:szCs w:val="20"/>
                <w:color w:val="auto"/>
              </w:rPr>
            </w:pPr>
            <w:r>
              <w:rPr>
                <w:rFonts w:ascii="Arial" w:cs="Arial" w:eastAsia="Arial" w:hAnsi="Arial"/>
                <w:sz w:val="18"/>
                <w:szCs w:val="18"/>
                <w:color w:val="auto"/>
              </w:rPr>
              <w:t>/s/ David A. Campbell</w:t>
            </w:r>
          </w:p>
        </w:tc>
      </w:tr>
      <w:tr>
        <w:trPr>
          <w:trHeight w:val="20"/>
        </w:trPr>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5120" w:type="dxa"/>
            <w:vAlign w:val="bottom"/>
            <w:gridSpan w:val="3"/>
          </w:tcPr>
          <w:p>
            <w:pPr>
              <w:ind w:left="2380"/>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120" w:type="dxa"/>
            <w:vAlign w:val="bottom"/>
            <w:gridSpan w:val="3"/>
          </w:tcPr>
          <w:p>
            <w:pPr>
              <w:ind w:left="238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00"/>
              <w:spacing w:after="0"/>
              <w:rPr>
                <w:sz w:val="20"/>
                <w:szCs w:val="20"/>
                <w:color w:val="auto"/>
              </w:rPr>
            </w:pPr>
            <w:r>
              <w:rPr>
                <w:rFonts w:ascii="Arial" w:cs="Arial" w:eastAsia="Arial" w:hAnsi="Arial"/>
                <w:sz w:val="18"/>
                <w:szCs w:val="18"/>
                <w:color w:val="0038FF"/>
              </w:rPr>
              <w:t>May 5, 2021</w:t>
            </w:r>
          </w:p>
        </w:tc>
        <w:tc>
          <w:tcPr>
            <w:tcW w:w="2100" w:type="dxa"/>
            <w:vAlign w:val="bottom"/>
            <w:gridSpan w:val="2"/>
          </w:tcPr>
          <w:p>
            <w:pPr>
              <w:spacing w:after="0"/>
              <w:rPr>
                <w:sz w:val="20"/>
                <w:szCs w:val="20"/>
                <w:color w:val="auto"/>
              </w:rPr>
            </w:pPr>
            <w:r>
              <w:rPr>
                <w:rFonts w:ascii="Arial" w:cs="Arial" w:eastAsia="Arial" w:hAnsi="Arial"/>
                <w:sz w:val="18"/>
                <w:szCs w:val="18"/>
                <w:color w:val="auto"/>
              </w:rPr>
              <w:t>/s/Kirkland B. Andrews</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7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Kirkland B. Andrews</w:t>
            </w:r>
          </w:p>
        </w:tc>
        <w:tc>
          <w:tcPr>
            <w:tcW w:w="400" w:type="dxa"/>
            <w:vAlign w:val="bottom"/>
          </w:tcPr>
          <w:p>
            <w:pPr>
              <w:spacing w:after="0"/>
              <w:rPr>
                <w:sz w:val="17"/>
                <w:szCs w:val="17"/>
                <w:color w:val="auto"/>
              </w:rPr>
            </w:pPr>
          </w:p>
        </w:tc>
      </w:tr>
      <w:tr>
        <w:trPr>
          <w:trHeight w:val="175"/>
        </w:trPr>
        <w:tc>
          <w:tcPr>
            <w:tcW w:w="6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260" w:type="dxa"/>
            <w:vAlign w:val="bottom"/>
          </w:tcPr>
          <w:p>
            <w:pPr>
              <w:ind w:left="320"/>
              <w:spacing w:after="0"/>
              <w:rPr>
                <w:sz w:val="20"/>
                <w:szCs w:val="20"/>
                <w:color w:val="auto"/>
              </w:rPr>
            </w:pPr>
            <w:r>
              <w:rPr>
                <w:rFonts w:ascii="Arial" w:cs="Arial" w:eastAsia="Arial" w:hAnsi="Arial"/>
                <w:sz w:val="18"/>
                <w:szCs w:val="18"/>
                <w:color w:val="0038FF"/>
              </w:rPr>
              <w:t>May 5, 2021</w:t>
            </w:r>
          </w:p>
        </w:tc>
        <w:tc>
          <w:tcPr>
            <w:tcW w:w="2740" w:type="dxa"/>
            <w:vAlign w:val="bottom"/>
            <w:gridSpan w:val="2"/>
          </w:tcPr>
          <w:p>
            <w:pPr>
              <w:spacing w:after="0"/>
              <w:rPr>
                <w:sz w:val="20"/>
                <w:szCs w:val="20"/>
                <w:color w:val="auto"/>
              </w:rPr>
            </w:pPr>
            <w:r>
              <w:rPr>
                <w:rFonts w:ascii="Arial" w:cs="Arial" w:eastAsia="Arial" w:hAnsi="Arial"/>
                <w:sz w:val="18"/>
                <w:szCs w:val="18"/>
                <w:color w:val="auto"/>
              </w:rPr>
              <w:t>/s/ David A. Campbell</w:t>
            </w:r>
          </w:p>
        </w:tc>
      </w:tr>
      <w:tr>
        <w:trPr>
          <w:trHeight w:val="196"/>
        </w:trPr>
        <w:tc>
          <w:tcPr>
            <w:tcW w:w="7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David A. Campbell</w:t>
            </w:r>
          </w:p>
        </w:tc>
        <w:tc>
          <w:tcPr>
            <w:tcW w:w="1120" w:type="dxa"/>
            <w:vAlign w:val="bottom"/>
          </w:tcPr>
          <w:p>
            <w:pPr>
              <w:spacing w:after="0"/>
              <w:rPr>
                <w:sz w:val="17"/>
                <w:szCs w:val="17"/>
                <w:color w:val="auto"/>
              </w:rPr>
            </w:pPr>
          </w:p>
        </w:tc>
      </w:tr>
      <w:tr>
        <w:trPr>
          <w:trHeight w:val="230"/>
        </w:trPr>
        <w:tc>
          <w:tcPr>
            <w:tcW w:w="7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2"/>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2"/>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328"/>
        <w:spacing w:after="0" w:line="342"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2"/>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May 5, 2021</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260" w:type="dxa"/>
            <w:vAlign w:val="bottom"/>
          </w:tcPr>
          <w:p>
            <w:pPr>
              <w:ind w:left="320"/>
              <w:spacing w:after="0"/>
              <w:rPr>
                <w:sz w:val="20"/>
                <w:szCs w:val="20"/>
                <w:color w:val="auto"/>
              </w:rPr>
            </w:pPr>
            <w:r>
              <w:rPr>
                <w:rFonts w:ascii="Arial" w:cs="Arial" w:eastAsia="Arial" w:hAnsi="Arial"/>
                <w:sz w:val="18"/>
                <w:szCs w:val="18"/>
                <w:color w:val="0038FF"/>
              </w:rPr>
              <w:t>May 5, 2021</w:t>
            </w:r>
          </w:p>
        </w:tc>
        <w:tc>
          <w:tcPr>
            <w:tcW w:w="2740" w:type="dxa"/>
            <w:vAlign w:val="bottom"/>
            <w:gridSpan w:val="2"/>
          </w:tcPr>
          <w:p>
            <w:pPr>
              <w:spacing w:after="0"/>
              <w:rPr>
                <w:sz w:val="20"/>
                <w:szCs w:val="20"/>
                <w:color w:val="auto"/>
              </w:rPr>
            </w:pPr>
            <w:r>
              <w:rPr>
                <w:rFonts w:ascii="Arial" w:cs="Arial" w:eastAsia="Arial" w:hAnsi="Arial"/>
                <w:sz w:val="18"/>
                <w:szCs w:val="18"/>
                <w:color w:val="auto"/>
              </w:rPr>
              <w:t>/s/ David A. Campbell</w:t>
            </w:r>
          </w:p>
        </w:tc>
      </w:tr>
      <w:tr>
        <w:trPr>
          <w:trHeight w:val="196"/>
        </w:trPr>
        <w:tc>
          <w:tcPr>
            <w:tcW w:w="7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David A. Campbell</w:t>
            </w:r>
          </w:p>
        </w:tc>
        <w:tc>
          <w:tcPr>
            <w:tcW w:w="1120" w:type="dxa"/>
            <w:vAlign w:val="bottom"/>
          </w:tcPr>
          <w:p>
            <w:pPr>
              <w:spacing w:after="0"/>
              <w:rPr>
                <w:sz w:val="17"/>
                <w:szCs w:val="17"/>
                <w:color w:val="auto"/>
              </w:rPr>
            </w:pPr>
          </w:p>
        </w:tc>
      </w:tr>
      <w:tr>
        <w:trPr>
          <w:trHeight w:val="230"/>
        </w:trPr>
        <w:tc>
          <w:tcPr>
            <w:tcW w:w="7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2"/>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2"/>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328"/>
        <w:spacing w:after="0" w:line="342"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2"/>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May 5, 2021</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March 31,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820" w:hanging="488"/>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760" w:hanging="488"/>
        <w:spacing w:after="0" w:line="277" w:lineRule="auto"/>
        <w:tabs>
          <w:tab w:leader="none" w:pos="8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5, 2021</w:t>
            </w:r>
          </w:p>
        </w:tc>
      </w:tr>
      <w:tr>
        <w:trPr>
          <w:trHeight w:val="418"/>
        </w:trPr>
        <w:tc>
          <w:tcPr>
            <w:tcW w:w="14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5, 2021</w:t>
            </w:r>
          </w:p>
        </w:tc>
      </w:tr>
    </w:tbl>
    <w:p>
      <w:pPr>
        <w:sectPr>
          <w:pgSz w:w="11900" w:h="16838" w:orient="portrait"/>
          <w:cols w:equalWidth="0" w:num="1">
            <w:col w:w="11240"/>
          </w:cols>
          <w:pgMar w:left="320" w:top="89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Evergy Metro, Inc. (the "Company") for the quarterly period ended March 31,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5, 2021</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5, 2021</w:t>
            </w:r>
          </w:p>
        </w:tc>
      </w:tr>
    </w:tbl>
    <w:p>
      <w:pPr>
        <w:sectPr>
          <w:pgSz w:w="11900" w:h="16838" w:orient="portrait"/>
          <w:cols w:equalWidth="0" w:num="1">
            <w:col w:w="11240"/>
          </w:cols>
          <w:pgMar w:left="320" w:top="89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 connection with the Quarterly Report on Form 10-Q of Evergy Kansas Central, Inc. (the "Company") for the quarterly period ended March 31,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5, 2021</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5, 2021</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4"/>
    </w:lvl>
    <w:lvl w:ilvl="1">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
      <w:numFmt w:val="bullet"/>
      <w:start w:val="1"/>
    </w:lvl>
    <w:lvl w:ilvl="1">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Roman"/>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lvl w:ilvl="1">
      <w:lvlJc w:val="left"/>
      <w:lvlText w:val="(%2)"/>
      <w:numFmt w:val="lowerLetter"/>
      <w:start w:val="1"/>
    </w:lvl>
  </w:abstractNum>
  <w:abstractNum w:abstractNumId="35">
    <w:nsid w:val="51EAD36B"/>
    <w:multiLevelType w:val="hybridMultilevel"/>
    <w:lvl w:ilvl="0">
      <w:lvlJc w:val="left"/>
      <w:lvlText w:val="%1."/>
      <w:numFmt w:val="decimal"/>
      <w:start w:val="1"/>
    </w:lvl>
    <w:lvl w:ilvl="1">
      <w:lvlJc w:val="left"/>
      <w:lvlText w:val="(%2)"/>
      <w:numFmt w:val="lowerLetter"/>
      <w:start w:val="1"/>
    </w:lvl>
  </w:abstractNum>
  <w:abstractNum w:abstractNumId="36">
    <w:nsid w:val="2D517796"/>
    <w:multiLevelType w:val="hybridMultilevel"/>
    <w:lvl w:ilvl="0">
      <w:lvlJc w:val="left"/>
      <w:lvlText w:val="%1."/>
      <w:numFmt w:val="decimal"/>
      <w:start w:val="1"/>
    </w:lvl>
    <w:lvl w:ilvl="1">
      <w:lvlJc w:val="left"/>
      <w:lvlText w:val="(%2)"/>
      <w:numFmt w:val="lowerLetter"/>
      <w:start w:val="1"/>
    </w:lvl>
  </w:abstractNum>
  <w:abstractNum w:abstractNumId="37">
    <w:nsid w:val="580BD78F"/>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76" Type="http://schemas.openxmlformats.org/officeDocument/2006/relationships/hyperlink" Target="http://www.sec.gov/Archives/edgar/data/1711269/000119312521122905/d151728dex41.htm" TargetMode="External"/><Relationship Id="rId77" Type="http://schemas.openxmlformats.org/officeDocument/2006/relationships/hyperlink" Target="http://www.sec.gov/Archives/edgar/data/54476/000171126921000023/evrg12312020-ex1021rsuagre.htm" TargetMode="External"/><Relationship Id="rId78" Type="http://schemas.openxmlformats.org/officeDocument/2006/relationships/hyperlink" Target="http://www.sec.gov/Archives/edgar/data/54476/000171126921000023/evrg12312020-ex1022rsuagre.htm" TargetMode="External"/><Relationship Id="rId79" Type="http://schemas.openxmlformats.org/officeDocument/2006/relationships/hyperlink" Target="http://www.sec.gov/Archives/edgar/data/54476/000171126921000023/evrg12312020-ex1027executi.htm" TargetMode="External"/><Relationship Id="rId80" Type="http://schemas.openxmlformats.org/officeDocument/2006/relationships/hyperlink" Target="http://www.sec.gov/Archives/edgar/data/54476/000171126921000008/ex101offerletter02032021.htm" TargetMode="External"/><Relationship Id="rId81" Type="http://schemas.openxmlformats.org/officeDocument/2006/relationships/hyperlink" Target="http://www.sec.gov/Archives/edgar/data/54476/000171126921000023/evrg-12312020xex1031andrew.htm" TargetMode="External"/><Relationship Id="rId82" Type="http://schemas.openxmlformats.org/officeDocument/2006/relationships/hyperlink" Target="http://www.sec.gov/Archives/edgar/data/54476/000171126920000010/exhibit101elliottcoope.htm" TargetMode="External"/><Relationship Id="rId83" Type="http://schemas.openxmlformats.org/officeDocument/2006/relationships/hyperlink" Target="http://www.sec.gov/Archives/edgar/data/1711269/000171126920000016/exhibit101amendmenttoa.htm" TargetMode="External"/><Relationship Id="rId84" Type="http://schemas.openxmlformats.org/officeDocument/2006/relationships/hyperlink" Target="http://www.sec.gov/Archives/edgar/data/54476/000171126921000021/ex102securitiespurchaseagr.htm" TargetMode="External"/><Relationship Id="rId85" Type="http://schemas.openxmlformats.org/officeDocument/2006/relationships/hyperlink" Target="http://www.sec.gov/Archives/edgar/data/54476/000171126921000032/ex101registrationrightsagr.htm" TargetMode="External"/><Relationship Id="rId86" Type="http://schemas.openxmlformats.org/officeDocument/2006/relationships/hyperlink" Target="http://www.sec.gov/Archives/edgar/data/54476/000171126921000032/ex102warrantno1issued41420.htm" TargetMode="External"/><Relationship Id="rId87" Type="http://schemas.openxmlformats.org/officeDocument/2006/relationships/hyperlink" Target="http://www.sec.gov/Archives/edgar/data/1711269/000119312521122905/d151728dex101.htm" TargetMode="External"/><Relationship Id="rId88" Type="http://schemas.openxmlformats.org/officeDocument/2006/relationships/hyperlink" Target="http://www.sec.gov/Archives/edgar/data/1711269/000119312521122905/d151728dex102.htm" TargetMode="External"/><Relationship Id="rId89" Type="http://schemas.openxmlformats.org/officeDocument/2006/relationships/hyperlink" Target="http://www.sec.gov/Archives/edgar/data/1711269/000119312521122905/d15172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2021-05-06T05:55:09Z</dcterms:created>
  <dcterms:modified xsi:type="dcterms:W3CDTF">2021-05-06T05:55:09Z</dcterms:modified>
</cp:coreProperties>
</file>