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580" w:right="2240" w:hanging="2337"/>
        <w:spacing w:after="0" w:line="277" w:lineRule="auto"/>
        <w:tabs>
          <w:tab w:leader="none" w:pos="24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580" w:right="2220" w:hanging="2346"/>
        <w:spacing w:after="0" w:line="277" w:lineRule="auto"/>
        <w:tabs>
          <w:tab w:leader="none" w:pos="24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Commission</w:t>
            </w: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4"/>
              </w:rPr>
              <w:t>File Number</w:t>
            </w:r>
          </w:p>
        </w:tc>
        <w:tc>
          <w:tcPr>
            <w:tcW w:w="120" w:type="dxa"/>
            <w:vAlign w:val="bottom"/>
          </w:tcPr>
          <w:p>
            <w:pPr>
              <w:spacing w:after="0"/>
              <w:rPr>
                <w:sz w:val="20"/>
                <w:szCs w:val="20"/>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2"/>
              </w:rPr>
              <w:t>Identification Number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EVERGY,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EVERGY METRO,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gridSpan w:val="4"/>
            <w:vMerge w:val="continue"/>
          </w:tcPr>
          <w:p>
            <w:pPr>
              <w:spacing w:after="0"/>
              <w:rPr>
                <w:sz w:val="5"/>
                <w:szCs w:val="5"/>
                <w:color w:val="auto"/>
              </w:rPr>
            </w:pPr>
          </w:p>
        </w:tc>
        <w:tc>
          <w:tcPr>
            <w:tcW w:w="1900" w:type="dxa"/>
            <w:vAlign w:val="bottom"/>
          </w:tcPr>
          <w:p>
            <w:pPr>
              <w:spacing w:after="0"/>
              <w:rPr>
                <w:sz w:val="5"/>
                <w:szCs w:val="5"/>
                <w:color w:val="auto"/>
              </w:rPr>
            </w:pPr>
          </w:p>
        </w:tc>
        <w:tc>
          <w:tcPr>
            <w:tcW w:w="34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restart"/>
          </w:tcPr>
          <w:p>
            <w:pPr>
              <w:spacing w:after="0"/>
              <w:rPr>
                <w:sz w:val="5"/>
                <w:szCs w:val="5"/>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Arial" w:cs="Arial" w:eastAsia="Arial" w:hAnsi="Arial"/>
                <w:sz w:val="18"/>
                <w:szCs w:val="18"/>
                <w:b w:val="1"/>
                <w:bCs w:val="1"/>
                <w:color w:val="auto"/>
                <w:w w:val="87"/>
              </w:rPr>
              <w:t>registered</w:t>
            </w:r>
          </w:p>
        </w:tc>
        <w:tc>
          <w:tcPr>
            <w:tcW w:w="20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1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continue"/>
          </w:tcPr>
          <w:p>
            <w:pPr>
              <w:spacing w:after="0"/>
              <w:rPr>
                <w:sz w:val="6"/>
                <w:szCs w:val="6"/>
                <w:color w:val="auto"/>
              </w:rPr>
            </w:pPr>
          </w:p>
        </w:tc>
        <w:tc>
          <w:tcPr>
            <w:tcW w:w="1640" w:type="dxa"/>
            <w:vAlign w:val="bottom"/>
            <w:tcBorders>
              <w:top w:val="single" w:sz="8" w:color="auto"/>
            </w:tcBorders>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Evergy, Inc. common stock</w:t>
            </w:r>
          </w:p>
        </w:tc>
        <w:tc>
          <w:tcPr>
            <w:tcW w:w="1900" w:type="dxa"/>
            <w:vAlign w:val="bottom"/>
          </w:tcPr>
          <w:p>
            <w:pPr>
              <w:spacing w:after="0"/>
              <w:rPr>
                <w:sz w:val="22"/>
                <w:szCs w:val="22"/>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color w:val="auto"/>
                <w:w w:val="97"/>
              </w:rPr>
              <w:t>EVRG</w:t>
            </w:r>
          </w:p>
        </w:tc>
        <w:tc>
          <w:tcPr>
            <w:tcW w:w="180" w:type="dxa"/>
            <w:vAlign w:val="bottom"/>
          </w:tcPr>
          <w:p>
            <w:pPr>
              <w:spacing w:after="0"/>
              <w:rPr>
                <w:sz w:val="22"/>
                <w:szCs w:val="22"/>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36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 w:right="5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20"/>
          </w:cols>
          <w:pgMar w:left="320" w:top="121" w:right="35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2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On October 29, 2021, Evergy, Inc. had 229,302,700 shares of common stock outstanding. On October 29, 2021, Evergy Metro, Inc. and Evergy Kansas Central, Inc. each had one share of common stock outstanding and held by Evergy, Inc.</w:t>
      </w:r>
    </w:p>
    <w:p>
      <w:pPr>
        <w:spacing w:after="0" w:line="155" w:lineRule="exact"/>
        <w:rPr>
          <w:sz w:val="20"/>
          <w:szCs w:val="20"/>
          <w:color w:val="auto"/>
        </w:rPr>
      </w:pPr>
    </w:p>
    <w:p>
      <w:pPr>
        <w:ind w:left="20" w:right="58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9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2020 Form 10-K for each of Evergy, Evergy Kansas Central and Evergy Metro.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4"/>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Cautionary Statements Regarding Certain Forward-Looking Information</w:t>
              </w:r>
            </w:hyperlink>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Borders>
              <w:top w:val="single" w:sz="8" w:color="auto"/>
            </w:tcBorders>
            <w:gridSpan w:val="2"/>
          </w:tcPr>
          <w:p>
            <w:pPr>
              <w:jc w:val="center"/>
              <w:ind w:left="39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Glossary of Terms</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Part I - Financial Information</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3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Financial Statements</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89"/>
              </w:rPr>
            </w:pPr>
            <w:hyperlink w:anchor="page8">
              <w:r>
                <w:rPr>
                  <w:rFonts w:ascii="Arial" w:cs="Arial" w:eastAsia="Arial" w:hAnsi="Arial"/>
                  <w:sz w:val="18"/>
                  <w:szCs w:val="18"/>
                  <w:b w:val="1"/>
                  <w:bCs w:val="1"/>
                  <w:color w:val="0000FF"/>
                  <w:w w:val="89"/>
                </w:rPr>
                <w:t>Evergy, Inc.</w:t>
              </w:r>
            </w:hyperlink>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Borders>
              <w:top w:val="single" w:sz="8" w:color="0000FF"/>
            </w:tcBorders>
            <w:gridSpan w:val="19"/>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Unaudited Consolidated Statements of Cash Flows</w:t>
              </w:r>
            </w:hyperlink>
          </w:p>
        </w:tc>
        <w:tc>
          <w:tcPr>
            <w:tcW w:w="860" w:type="dxa"/>
            <w:vAlign w:val="bottom"/>
            <w:tcBorders>
              <w:top w:val="single" w:sz="8" w:color="0000FF"/>
            </w:tcBorders>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Unaudited Consolidated Statements of Changes in Equity</w:t>
              </w:r>
            </w:hyperlink>
          </w:p>
        </w:tc>
        <w:tc>
          <w:tcPr>
            <w:tcW w:w="940" w:type="dxa"/>
            <w:vAlign w:val="bottom"/>
            <w:gridSpan w:val="3"/>
          </w:tcPr>
          <w:p>
            <w:pPr>
              <w:jc w:val="center"/>
              <w:ind w:left="77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0"/>
          </w:tcPr>
          <w:p>
            <w:pPr>
              <w:spacing w:after="0"/>
              <w:rPr>
                <w:rFonts w:ascii="Arial" w:cs="Arial" w:eastAsia="Arial" w:hAnsi="Arial"/>
                <w:sz w:val="18"/>
                <w:szCs w:val="18"/>
                <w:b w:val="1"/>
                <w:bCs w:val="1"/>
                <w:color w:val="0000FF"/>
              </w:rPr>
            </w:pPr>
            <w:hyperlink w:anchor="page13">
              <w:r>
                <w:rPr>
                  <w:rFonts w:ascii="Arial" w:cs="Arial" w:eastAsia="Arial" w:hAnsi="Arial"/>
                  <w:sz w:val="18"/>
                  <w:szCs w:val="18"/>
                  <w:b w:val="1"/>
                  <w:bCs w:val="1"/>
                  <w:color w:val="0000FF"/>
                </w:rPr>
                <w:t>Evergy Kansas Central,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8"/>
          </w:tcPr>
          <w:p>
            <w:pPr>
              <w:spacing w:after="0"/>
              <w:rPr>
                <w:rFonts w:ascii="Arial" w:cs="Arial" w:eastAsia="Arial" w:hAnsi="Arial"/>
                <w:sz w:val="18"/>
                <w:szCs w:val="18"/>
                <w:color w:val="0000FF"/>
                <w:w w:val="88"/>
              </w:rPr>
            </w:pPr>
            <w:hyperlink w:anchor="page15">
              <w:r>
                <w:rPr>
                  <w:rFonts w:ascii="Arial" w:cs="Arial" w:eastAsia="Arial" w:hAnsi="Arial"/>
                  <w:sz w:val="18"/>
                  <w:szCs w:val="18"/>
                  <w:color w:val="0000FF"/>
                  <w:w w:val="88"/>
                </w:rPr>
                <w:t>Unaudited Consolidated Statements of Income</w:t>
              </w:r>
            </w:hyperlink>
          </w:p>
        </w:tc>
        <w:tc>
          <w:tcPr>
            <w:tcW w:w="4600" w:type="dxa"/>
            <w:vAlign w:val="bottom"/>
            <w:gridSpan w:val="10"/>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7</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9"/>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Unaudited Consolidated Statements of Cash Flows</w:t>
              </w:r>
            </w:hyperlink>
          </w:p>
        </w:tc>
        <w:tc>
          <w:tcPr>
            <w:tcW w:w="4260" w:type="dxa"/>
            <w:vAlign w:val="bottom"/>
            <w:gridSpan w:val="9"/>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Unaudited Consolidated Statements of Changes in Equity</w:t>
              </w:r>
            </w:hyperlink>
          </w:p>
        </w:tc>
        <w:tc>
          <w:tcPr>
            <w:tcW w:w="940" w:type="dxa"/>
            <w:vAlign w:val="bottom"/>
            <w:gridSpan w:val="3"/>
          </w:tcPr>
          <w:p>
            <w:pPr>
              <w:jc w:val="center"/>
              <w:ind w:left="77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9</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0"/>
          </w:tcPr>
          <w:p>
            <w:pPr>
              <w:spacing w:after="0"/>
              <w:rPr>
                <w:rFonts w:ascii="Arial" w:cs="Arial" w:eastAsia="Arial" w:hAnsi="Arial"/>
                <w:sz w:val="18"/>
                <w:szCs w:val="18"/>
                <w:b w:val="1"/>
                <w:bCs w:val="1"/>
                <w:color w:val="0000FF"/>
              </w:rPr>
            </w:pPr>
            <w:hyperlink w:anchor="page18">
              <w:r>
                <w:rPr>
                  <w:rFonts w:ascii="Arial" w:cs="Arial" w:eastAsia="Arial" w:hAnsi="Arial"/>
                  <w:sz w:val="18"/>
                  <w:szCs w:val="18"/>
                  <w:b w:val="1"/>
                  <w:bCs w:val="1"/>
                  <w:color w:val="0000FF"/>
                </w:rPr>
                <w:t>Evergy Metro,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18">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4"/>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9"/>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Unaudited Consolidated Statements of Cash Flows</w:t>
              </w:r>
            </w:hyperlink>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Unaudited Consolidated Statements of Changes in Equity</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14</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30"/>
          </w:tcPr>
          <w:p>
            <w:pPr>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Combined Notes to Unaudited Consolidated Financial Statements for Evergy, Inc., Evergy Kansas Central,</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15</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23">
              <w:r>
                <w:rPr>
                  <w:rFonts w:ascii="Arial" w:cs="Arial" w:eastAsia="Arial" w:hAnsi="Arial"/>
                  <w:sz w:val="18"/>
                  <w:szCs w:val="18"/>
                  <w:color w:val="0000FF"/>
                </w:rPr>
                <w:t>Inc. and Evergy Metro, Inc.</w:t>
              </w:r>
            </w:hyperlink>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w:t>
            </w:r>
          </w:p>
        </w:tc>
        <w:tc>
          <w:tcPr>
            <w:tcW w:w="2800" w:type="dxa"/>
            <w:vAlign w:val="bottom"/>
            <w:gridSpan w:val="14"/>
          </w:tcPr>
          <w:p>
            <w:pPr>
              <w:spacing w:after="0"/>
              <w:rPr>
                <w:rFonts w:ascii="Arial" w:cs="Arial" w:eastAsia="Arial" w:hAnsi="Arial"/>
                <w:sz w:val="18"/>
                <w:szCs w:val="18"/>
                <w:color w:val="0000FF"/>
                <w:w w:val="88"/>
              </w:rPr>
            </w:pPr>
            <w:hyperlink w:anchor="page24">
              <w:r>
                <w:rPr>
                  <w:rFonts w:ascii="Arial" w:cs="Arial" w:eastAsia="Arial" w:hAnsi="Arial"/>
                  <w:sz w:val="18"/>
                  <w:szCs w:val="18"/>
                  <w:color w:val="0000FF"/>
                  <w:w w:val="88"/>
                </w:rPr>
                <w:t>Organization and Basis of Presentation</w:t>
              </w:r>
            </w:hyperlink>
          </w:p>
        </w:tc>
        <w:tc>
          <w:tcPr>
            <w:tcW w:w="3840" w:type="dxa"/>
            <w:vAlign w:val="bottom"/>
            <w:gridSpan w:val="7"/>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15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2:</w:t>
            </w:r>
          </w:p>
        </w:tc>
        <w:tc>
          <w:tcPr>
            <w:tcW w:w="620" w:type="dxa"/>
            <w:vAlign w:val="bottom"/>
            <w:gridSpan w:val="3"/>
          </w:tcPr>
          <w:p>
            <w:pPr>
              <w:spacing w:after="0"/>
              <w:rPr>
                <w:rFonts w:ascii="Arial" w:cs="Arial" w:eastAsia="Arial" w:hAnsi="Arial"/>
                <w:sz w:val="18"/>
                <w:szCs w:val="18"/>
                <w:color w:val="0000FF"/>
                <w:w w:val="83"/>
              </w:rPr>
            </w:pPr>
            <w:hyperlink w:anchor="page29">
              <w:r>
                <w:rPr>
                  <w:rFonts w:ascii="Arial" w:cs="Arial" w:eastAsia="Arial" w:hAnsi="Arial"/>
                  <w:sz w:val="18"/>
                  <w:szCs w:val="18"/>
                  <w:color w:val="0000FF"/>
                  <w:w w:val="83"/>
                </w:rPr>
                <w:t>Revenue</w:t>
              </w:r>
            </w:hyperlink>
          </w:p>
        </w:tc>
        <w:tc>
          <w:tcPr>
            <w:tcW w:w="2180" w:type="dxa"/>
            <w:vAlign w:val="bottom"/>
            <w:gridSpan w:val="11"/>
          </w:tcPr>
          <w:p>
            <w:pPr>
              <w:spacing w:after="0"/>
              <w:rPr>
                <w:sz w:val="18"/>
                <w:szCs w:val="18"/>
                <w:color w:val="auto"/>
              </w:rPr>
            </w:pPr>
          </w:p>
        </w:tc>
        <w:tc>
          <w:tcPr>
            <w:tcW w:w="3840" w:type="dxa"/>
            <w:vAlign w:val="bottom"/>
            <w:gridSpan w:val="7"/>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3:</w:t>
            </w:r>
          </w:p>
        </w:tc>
        <w:tc>
          <w:tcPr>
            <w:tcW w:w="860" w:type="dxa"/>
            <w:vAlign w:val="bottom"/>
            <w:gridSpan w:val="5"/>
          </w:tcPr>
          <w:p>
            <w:pPr>
              <w:spacing w:after="0"/>
              <w:rPr>
                <w:rFonts w:ascii="Arial" w:cs="Arial" w:eastAsia="Arial" w:hAnsi="Arial"/>
                <w:sz w:val="18"/>
                <w:szCs w:val="18"/>
                <w:color w:val="0000FF"/>
                <w:w w:val="85"/>
              </w:rPr>
            </w:pPr>
            <w:hyperlink w:anchor="page30">
              <w:r>
                <w:rPr>
                  <w:rFonts w:ascii="Arial" w:cs="Arial" w:eastAsia="Arial" w:hAnsi="Arial"/>
                  <w:sz w:val="18"/>
                  <w:szCs w:val="18"/>
                  <w:color w:val="0000FF"/>
                  <w:w w:val="85"/>
                </w:rPr>
                <w:t>Receivables</w:t>
              </w:r>
            </w:hyperlink>
          </w:p>
        </w:tc>
        <w:tc>
          <w:tcPr>
            <w:tcW w:w="5780" w:type="dxa"/>
            <w:vAlign w:val="bottom"/>
            <w:gridSpan w:val="1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4:</w:t>
            </w:r>
          </w:p>
        </w:tc>
        <w:tc>
          <w:tcPr>
            <w:tcW w:w="6640" w:type="dxa"/>
            <w:vAlign w:val="bottom"/>
            <w:gridSpan w:val="21"/>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Rate Matters and Regulation</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23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5:</w:t>
            </w:r>
          </w:p>
        </w:tc>
        <w:tc>
          <w:tcPr>
            <w:tcW w:w="2040" w:type="dxa"/>
            <w:vAlign w:val="bottom"/>
            <w:gridSpan w:val="1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Goodwill</w:t>
              </w:r>
            </w:hyperlink>
          </w:p>
        </w:tc>
        <w:tc>
          <w:tcPr>
            <w:tcW w:w="4600" w:type="dxa"/>
            <w:vAlign w:val="bottom"/>
            <w:gridSpan w:val="10"/>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26</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6:</w:t>
            </w:r>
          </w:p>
        </w:tc>
        <w:tc>
          <w:tcPr>
            <w:tcW w:w="3160" w:type="dxa"/>
            <w:vAlign w:val="bottom"/>
            <w:gridSpan w:val="16"/>
          </w:tcPr>
          <w:p>
            <w:pPr>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Pension Plans and Post-Retirement Benefits</w:t>
              </w:r>
            </w:hyperlink>
          </w:p>
        </w:tc>
        <w:tc>
          <w:tcPr>
            <w:tcW w:w="3480" w:type="dxa"/>
            <w:vAlign w:val="bottom"/>
            <w:gridSpan w:val="5"/>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27</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7:</w:t>
            </w:r>
          </w:p>
        </w:tc>
        <w:tc>
          <w:tcPr>
            <w:tcW w:w="664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Short-Term Borrowings and Short-Term Bank Lines of Credit</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29</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8:</w:t>
            </w:r>
          </w:p>
        </w:tc>
        <w:tc>
          <w:tcPr>
            <w:tcW w:w="1200" w:type="dxa"/>
            <w:vAlign w:val="bottom"/>
            <w:gridSpan w:val="7"/>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Long-Term Debt</w:t>
              </w:r>
            </w:hyperlink>
          </w:p>
        </w:tc>
        <w:tc>
          <w:tcPr>
            <w:tcW w:w="3240" w:type="dxa"/>
            <w:vAlign w:val="bottom"/>
            <w:gridSpan w:val="11"/>
          </w:tcPr>
          <w:p>
            <w:pPr>
              <w:spacing w:after="0"/>
              <w:rPr>
                <w:sz w:val="18"/>
                <w:szCs w:val="18"/>
                <w:color w:val="auto"/>
              </w:rPr>
            </w:pPr>
          </w:p>
        </w:tc>
        <w:tc>
          <w:tcPr>
            <w:tcW w:w="2200" w:type="dxa"/>
            <w:vAlign w:val="bottom"/>
            <w:gridSpan w:val="3"/>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9:</w:t>
            </w:r>
          </w:p>
        </w:tc>
        <w:tc>
          <w:tcPr>
            <w:tcW w:w="664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Fair Value Measurements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10:</w:t>
            </w:r>
          </w:p>
        </w:tc>
        <w:tc>
          <w:tcPr>
            <w:tcW w:w="6640" w:type="dxa"/>
            <w:vAlign w:val="bottom"/>
            <w:gridSpan w:val="21"/>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Commitments and Contingencies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35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11:</w:t>
            </w:r>
          </w:p>
        </w:tc>
        <w:tc>
          <w:tcPr>
            <w:tcW w:w="6640" w:type="dxa"/>
            <w:vAlign w:val="bottom"/>
            <w:gridSpan w:val="21"/>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Related Party Transactions and Relationships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38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12:</w:t>
            </w:r>
          </w:p>
        </w:tc>
        <w:tc>
          <w:tcPr>
            <w:tcW w:w="3240" w:type="dxa"/>
            <w:vAlign w:val="bottom"/>
            <w:gridSpan w:val="1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Shareholders' Equity</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39</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13:</w:t>
            </w:r>
          </w:p>
        </w:tc>
        <w:tc>
          <w:tcPr>
            <w:tcW w:w="1480" w:type="dxa"/>
            <w:vAlign w:val="bottom"/>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Taxes</w:t>
              </w:r>
            </w:hyperlink>
          </w:p>
        </w:tc>
        <w:tc>
          <w:tcPr>
            <w:tcW w:w="5160" w:type="dxa"/>
            <w:vAlign w:val="bottom"/>
            <w:gridSpan w:val="13"/>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28"/>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Management's Discussion and Analysis of Financial Condition and Results of Operations</w:t>
              </w:r>
            </w:hyperlink>
          </w:p>
        </w:tc>
        <w:tc>
          <w:tcPr>
            <w:tcW w:w="1640" w:type="dxa"/>
            <w:vAlign w:val="bottom"/>
            <w:gridSpan w:val="2"/>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43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4"/>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Quantitative and Qualitative Disclosures About Market Risk</w:t>
              </w:r>
            </w:hyperlink>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61</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4"/>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Controls and Procedures</w:t>
              </w:r>
            </w:hyperlink>
          </w:p>
        </w:tc>
        <w:tc>
          <w:tcPr>
            <w:tcW w:w="3740" w:type="dxa"/>
            <w:vAlign w:val="bottom"/>
            <w:gridSpan w:val="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61</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18"/>
                <w:szCs w:val="18"/>
                <w:b w:val="1"/>
                <w:bCs w:val="1"/>
                <w:color w:val="0000FF"/>
                <w:w w:val="96"/>
              </w:rPr>
            </w:pPr>
            <w:hyperlink w:anchor="page71">
              <w:r>
                <w:rPr>
                  <w:rFonts w:ascii="Arial" w:cs="Arial" w:eastAsia="Arial" w:hAnsi="Arial"/>
                  <w:sz w:val="18"/>
                  <w:szCs w:val="18"/>
                  <w:b w:val="1"/>
                  <w:bCs w:val="1"/>
                  <w:color w:val="0000FF"/>
                  <w:w w:val="96"/>
                </w:rPr>
                <w:t>Part II - Other Information</w:t>
              </w:r>
            </w:hyperlink>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40" w:type="dxa"/>
            <w:vAlign w:val="bottom"/>
            <w:gridSpan w:val="9"/>
          </w:tcPr>
          <w:p>
            <w:pPr>
              <w:spacing w:after="0"/>
              <w:rPr>
                <w:rFonts w:ascii="Arial" w:cs="Arial" w:eastAsia="Arial" w:hAnsi="Arial"/>
                <w:sz w:val="18"/>
                <w:szCs w:val="18"/>
                <w:color w:val="0000FF"/>
                <w:w w:val="93"/>
              </w:rPr>
            </w:pPr>
            <w:hyperlink w:anchor="page71">
              <w:r>
                <w:rPr>
                  <w:rFonts w:ascii="Arial" w:cs="Arial" w:eastAsia="Arial" w:hAnsi="Arial"/>
                  <w:sz w:val="18"/>
                  <w:szCs w:val="18"/>
                  <w:color w:val="0000FF"/>
                  <w:w w:val="93"/>
                </w:rPr>
                <w:t>Legal Proceedings</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62</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71">
              <w:r>
                <w:rPr>
                  <w:rFonts w:ascii="Arial" w:cs="Arial" w:eastAsia="Arial" w:hAnsi="Arial"/>
                  <w:sz w:val="18"/>
                  <w:szCs w:val="18"/>
                  <w:color w:val="0000FF"/>
                  <w:w w:val="87"/>
                </w:rPr>
                <w:t>Risk Factors</w:t>
              </w:r>
            </w:hyperlink>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30"/>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Unregistered Sales of Equity Securities and Use of Proceeds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63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15"/>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Defaults Upon Senior Securities</w:t>
              </w:r>
            </w:hyperlink>
          </w:p>
        </w:tc>
        <w:tc>
          <w:tcPr>
            <w:tcW w:w="2020" w:type="dxa"/>
            <w:vAlign w:val="bottom"/>
            <w:gridSpan w:val="9"/>
          </w:tcPr>
          <w:p>
            <w:pPr>
              <w:spacing w:after="0"/>
              <w:rPr>
                <w:sz w:val="18"/>
                <w:szCs w:val="18"/>
                <w:color w:val="auto"/>
              </w:rPr>
            </w:pPr>
          </w:p>
        </w:tc>
        <w:tc>
          <w:tcPr>
            <w:tcW w:w="3740" w:type="dxa"/>
            <w:vAlign w:val="bottom"/>
            <w:gridSpan w:val="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63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5"/>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5"/>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Mine Safety Disclosures</w:t>
              </w:r>
            </w:hyperlink>
          </w:p>
        </w:tc>
        <w:tc>
          <w:tcPr>
            <w:tcW w:w="5760" w:type="dxa"/>
            <w:vAlign w:val="bottom"/>
            <w:gridSpan w:val="15"/>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63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40" w:type="dxa"/>
            <w:vAlign w:val="bottom"/>
            <w:gridSpan w:val="9"/>
          </w:tcPr>
          <w:p>
            <w:pPr>
              <w:spacing w:after="0"/>
              <w:rPr>
                <w:rFonts w:ascii="Arial" w:cs="Arial" w:eastAsia="Arial" w:hAnsi="Arial"/>
                <w:sz w:val="18"/>
                <w:szCs w:val="18"/>
                <w:color w:val="0000FF"/>
                <w:w w:val="99"/>
              </w:rPr>
            </w:pPr>
            <w:hyperlink w:anchor="page72">
              <w:r>
                <w:rPr>
                  <w:rFonts w:ascii="Arial" w:cs="Arial" w:eastAsia="Arial" w:hAnsi="Arial"/>
                  <w:sz w:val="18"/>
                  <w:szCs w:val="18"/>
                  <w:color w:val="0000FF"/>
                  <w:w w:val="99"/>
                </w:rPr>
                <w:t>Other Information</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63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73">
              <w:r>
                <w:rPr>
                  <w:rFonts w:ascii="Arial" w:cs="Arial" w:eastAsia="Arial" w:hAnsi="Arial"/>
                  <w:sz w:val="18"/>
                  <w:szCs w:val="18"/>
                  <w:color w:val="0000FF"/>
                  <w:w w:val="91"/>
                </w:rPr>
                <w:t>Exhibits</w:t>
              </w:r>
            </w:hyperlink>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65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Signatures</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5">
              <w:r>
                <w:rPr>
                  <w:rFonts w:ascii="Arial" w:cs="Arial" w:eastAsia="Arial" w:hAnsi="Arial"/>
                  <w:sz w:val="18"/>
                  <w:szCs w:val="18"/>
                  <w:color w:val="0000FF"/>
                  <w:w w:val="89"/>
                </w:rPr>
                <w:t>67</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6"/>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2"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in wholesale markets; market perception of the energy industry and the Evergy Companies; the impact of the Coronavirus (COVID-19) pandemic on, among other things, sales, results of operations, financial condition, liquidity and cash flows, and also on operational issues, such as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London Interbank Offered Rate (LIBOR) benchmark interest rate; effectiveness of risk management policies and procedures and the ability of counterparties to satisfy their contractual commitments; impact of physical and cybersecurity breaches, criminal activity, terrorist attacks and other disruptions to the Evergy Companies' facilities or information technology infrastructure or the facilities and infrastructure of third-party service providers on which the Evergy Companies rely; ability to carry out marketing and sales plans; cost, availability, quality and timely provision of equipment, supplies, labor and fuel;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223"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This list of factors is not all-inclusive because it is not possible to predict all factors. You should also carefully consider the information contained in our other filings with the Securities and Exchange Commission (SEC). Additional risks and uncertainties are discussed in the Annual Report on Form 10-K for the year ended December 31, 2020 filed by the Evergy Companies with the SEC, and from time to time in current reports on Form 8-K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quarterly reports on Form 10-Q filed by the Evergy Companies with the SEC. Each forward-looking statement speaks only as of the date of the particular statement. The Evergy Companies undertake no obligation to publicly update or revise any forward-looking statement, whether as a result of new information, future events or otherwise, except as required by law.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 w:lineRule="exact"/>
        <w:rPr>
          <w:sz w:val="20"/>
          <w:szCs w:val="20"/>
          <w:color w:val="auto"/>
        </w:rPr>
      </w:pPr>
    </w:p>
    <w:p>
      <w:pPr>
        <w:jc w:val="both"/>
        <w:ind w:right="100"/>
        <w:spacing w:after="0" w:line="256" w:lineRule="auto"/>
        <w:rPr>
          <w:sz w:val="20"/>
          <w:szCs w:val="20"/>
          <w:color w:val="auto"/>
        </w:rPr>
      </w:pPr>
      <w:r>
        <w:rPr>
          <w:rFonts w:ascii="Arial" w:cs="Arial" w:eastAsia="Arial" w:hAnsi="Arial"/>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www.evergy.com. Such reports are accessible at no charge and are made available as soon as reasonably practical after such material is filed with or furnished to the SEC.</w:t>
      </w:r>
    </w:p>
    <w:p>
      <w:pPr>
        <w:spacing w:after="0" w:line="182" w:lineRule="exact"/>
        <w:rPr>
          <w:sz w:val="20"/>
          <w:szCs w:val="20"/>
          <w:color w:val="auto"/>
        </w:rPr>
      </w:pPr>
    </w:p>
    <w:p>
      <w:pPr>
        <w:ind w:right="180"/>
        <w:spacing w:after="0" w:line="263" w:lineRule="auto"/>
        <w:rPr>
          <w:sz w:val="20"/>
          <w:szCs w:val="20"/>
          <w:color w:val="auto"/>
        </w:rPr>
      </w:pPr>
      <w:r>
        <w:rPr>
          <w:rFonts w:ascii="Arial" w:cs="Arial" w:eastAsia="Arial" w:hAnsi="Arial"/>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www.evergy.com,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AAO</w:t>
            </w:r>
          </w:p>
        </w:tc>
        <w:tc>
          <w:tcPr>
            <w:tcW w:w="108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20"/>
                <w:szCs w:val="20"/>
                <w:color w:val="auto"/>
              </w:rPr>
              <w:t>Accounting authority order</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ACE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Affordable Clean Energy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American Electric Power Company, Inc.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Allowance for funds used during construction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AOCI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Accumulated other comprehensive income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Asset retirement obligations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Bluescape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Bluescape Energy Partners,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Best system of emission reduction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Air Act Amendments of 1990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Coal combustion residuals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2"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Carbon dioxide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Corporate-owned life insurance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COVID-19</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Coronavirus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Power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CSAPR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Cross-State Air Pollution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Effluent limitations guidelines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Environmental Protection Agency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per common share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ERCOT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Electric Reliability Council of Texas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Review and Sharing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Inc.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Board of Directors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rPr>
              <w:t>Evergy Companies</w:t>
            </w:r>
          </w:p>
        </w:tc>
        <w:tc>
          <w:tcPr>
            <w:tcW w:w="7940" w:type="dxa"/>
            <w:vAlign w:val="bottom"/>
            <w:gridSpan w:val="3"/>
          </w:tcPr>
          <w:p>
            <w:pPr>
              <w:ind w:left="200"/>
              <w:spacing w:after="0" w:line="19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Central</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within the Evergy consolidated group</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7940" w:type="dxa"/>
            <w:vAlign w:val="bottom"/>
            <w:gridSpan w:val="3"/>
          </w:tcPr>
          <w:p>
            <w:pPr>
              <w:ind w:left="200"/>
              <w:spacing w:after="0" w:line="192" w:lineRule="exact"/>
              <w:rPr>
                <w:sz w:val="20"/>
                <w:szCs w:val="20"/>
                <w:color w:val="auto"/>
              </w:rPr>
            </w:pPr>
            <w:r>
              <w:rPr>
                <w:rFonts w:ascii="Arial" w:cs="Arial" w:eastAsia="Arial" w:hAnsi="Arial"/>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South</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Transmission Company,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The Securities Exchange Act of 1934, as amended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w w:val="96"/>
              </w:rPr>
              <w:t>February 2021 winter weather event</w:t>
            </w:r>
          </w:p>
        </w:tc>
        <w:tc>
          <w:tcPr>
            <w:tcW w:w="7940" w:type="dxa"/>
            <w:vAlign w:val="bottom"/>
            <w:gridSpan w:val="3"/>
          </w:tcPr>
          <w:p>
            <w:pPr>
              <w:ind w:left="200"/>
              <w:spacing w:after="0" w:line="198" w:lineRule="exact"/>
              <w:rPr>
                <w:sz w:val="20"/>
                <w:szCs w:val="20"/>
                <w:color w:val="auto"/>
              </w:rPr>
            </w:pPr>
            <w:r>
              <w:rPr>
                <w:rFonts w:ascii="Arial" w:cs="Arial" w:eastAsia="Arial" w:hAnsi="Arial"/>
                <w:sz w:val="20"/>
                <w:szCs w:val="20"/>
                <w:color w:val="auto"/>
                <w:w w:val="92"/>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FERC</w:t>
            </w:r>
          </w:p>
        </w:tc>
        <w:tc>
          <w:tcPr>
            <w:tcW w:w="7940" w:type="dxa"/>
            <w:vAlign w:val="bottom"/>
            <w:gridSpan w:val="3"/>
          </w:tcPr>
          <w:p>
            <w:pPr>
              <w:ind w:left="280"/>
              <w:spacing w:after="0"/>
              <w:rPr>
                <w:sz w:val="20"/>
                <w:szCs w:val="20"/>
                <w:color w:val="auto"/>
              </w:rPr>
            </w:pPr>
            <w:r>
              <w:rPr>
                <w:rFonts w:ascii="Arial" w:cs="Arial" w:eastAsia="Arial" w:hAnsi="Arial"/>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Federal Energy Regulatory Commission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Generally Accepted Accounting Principles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Great Plains Energy Incorporated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Jeffrey Energy Center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State Corporation Commission of the State of Kansas</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0"/>
        </w:trPr>
        <w:tc>
          <w:tcPr>
            <w:tcW w:w="20" w:type="dxa"/>
            <w:vAlign w:val="bottom"/>
          </w:tcPr>
          <w:p>
            <w:pPr>
              <w:spacing w:after="0" w:line="20" w:lineRule="exact"/>
              <w:rPr>
                <w:sz w:val="1"/>
                <w:szCs w:val="1"/>
                <w:color w:val="auto"/>
              </w:rPr>
            </w:pPr>
          </w:p>
        </w:tc>
        <w:tc>
          <w:tcPr>
            <w:tcW w:w="220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640" w:type="dxa"/>
            <w:vAlign w:val="bottom"/>
          </w:tcPr>
          <w:p>
            <w:pPr>
              <w:spacing w:after="0"/>
              <w:rPr>
                <w:sz w:val="22"/>
                <w:szCs w:val="22"/>
                <w:color w:val="auto"/>
              </w:rPr>
            </w:pP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Kansas Department of Health &amp; Environment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kV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Kilovolt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kWh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Kilowatt hour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LEC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Lawrence Energy Center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MDNR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Missouri Department of Natural Resources</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MECG</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Midwest Energy Consumers Group</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MPSC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Public Service Commission of the State of Missouri</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SIP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State implementation plan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UFSA</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Utility Financing and Securitization Act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VIE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Variable interest entity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4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18"/>
                <w:szCs w:val="18"/>
                <w:color w:val="auto"/>
              </w:rPr>
            </w:pPr>
          </w:p>
        </w:tc>
        <w:tc>
          <w:tcPr>
            <w:tcW w:w="2420" w:type="dxa"/>
            <w:vAlign w:val="bottom"/>
            <w:gridSpan w:val="3"/>
          </w:tcPr>
          <w:p>
            <w:pPr>
              <w:jc w:val="right"/>
              <w:ind w:right="35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25.3</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144.9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$19.0 and $19.3, respectively</w:t>
            </w:r>
          </w:p>
        </w:tc>
        <w:tc>
          <w:tcPr>
            <w:tcW w:w="360" w:type="dxa"/>
            <w:vAlign w:val="bottom"/>
          </w:tcPr>
          <w:p>
            <w:pPr>
              <w:spacing w:after="0"/>
              <w:rPr>
                <w:sz w:val="18"/>
                <w:szCs w:val="18"/>
                <w:color w:val="auto"/>
              </w:rPr>
            </w:pPr>
          </w:p>
        </w:tc>
        <w:tc>
          <w:tcPr>
            <w:tcW w:w="1040" w:type="dxa"/>
            <w:vAlign w:val="bottom"/>
          </w:tcPr>
          <w:p>
            <w:pPr>
              <w:jc w:val="right"/>
              <w:ind w:right="220"/>
              <w:spacing w:after="0"/>
              <w:rPr>
                <w:sz w:val="20"/>
                <w:szCs w:val="20"/>
                <w:color w:val="auto"/>
              </w:rPr>
            </w:pPr>
            <w:r>
              <w:rPr>
                <w:rFonts w:ascii="Arial" w:cs="Arial" w:eastAsia="Arial" w:hAnsi="Arial"/>
                <w:sz w:val="16"/>
                <w:szCs w:val="16"/>
                <w:b w:val="1"/>
                <w:bCs w:val="1"/>
                <w:color w:val="auto"/>
              </w:rPr>
              <w:t>335.1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273.9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395.0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60" w:type="dxa"/>
            <w:vAlign w:val="bottom"/>
          </w:tcPr>
          <w:p>
            <w:pPr>
              <w:spacing w:after="0"/>
              <w:rPr>
                <w:sz w:val="18"/>
                <w:szCs w:val="18"/>
                <w:color w:val="auto"/>
              </w:rPr>
            </w:pPr>
          </w:p>
        </w:tc>
        <w:tc>
          <w:tcPr>
            <w:tcW w:w="1040" w:type="dxa"/>
            <w:vAlign w:val="bottom"/>
          </w:tcPr>
          <w:p>
            <w:pPr>
              <w:jc w:val="right"/>
              <w:ind w:right="220"/>
              <w:spacing w:after="0"/>
              <w:rPr>
                <w:sz w:val="20"/>
                <w:szCs w:val="20"/>
                <w:color w:val="auto"/>
              </w:rPr>
            </w:pPr>
            <w:r>
              <w:rPr>
                <w:rFonts w:ascii="Arial" w:cs="Arial" w:eastAsia="Arial" w:hAnsi="Arial"/>
                <w:sz w:val="16"/>
                <w:szCs w:val="16"/>
                <w:b w:val="1"/>
                <w:bCs w:val="1"/>
                <w:color w:val="auto"/>
              </w:rPr>
              <w:t>545.0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504.5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63.3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62.9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60" w:type="dxa"/>
            <w:vAlign w:val="bottom"/>
          </w:tcPr>
          <w:p>
            <w:pPr>
              <w:spacing w:after="0"/>
              <w:rPr>
                <w:sz w:val="18"/>
                <w:szCs w:val="18"/>
                <w:color w:val="auto"/>
              </w:rPr>
            </w:pPr>
          </w:p>
        </w:tc>
        <w:tc>
          <w:tcPr>
            <w:tcW w:w="1040" w:type="dxa"/>
            <w:vAlign w:val="bottom"/>
          </w:tcPr>
          <w:p>
            <w:pPr>
              <w:jc w:val="right"/>
              <w:ind w:right="220"/>
              <w:spacing w:after="0"/>
              <w:rPr>
                <w:sz w:val="20"/>
                <w:szCs w:val="20"/>
                <w:color w:val="auto"/>
              </w:rPr>
            </w:pPr>
            <w:r>
              <w:rPr>
                <w:rFonts w:ascii="Arial" w:cs="Arial" w:eastAsia="Arial" w:hAnsi="Arial"/>
                <w:sz w:val="16"/>
                <w:szCs w:val="16"/>
                <w:b w:val="1"/>
                <w:bCs w:val="1"/>
                <w:color w:val="auto"/>
              </w:rPr>
              <w:t>331.5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206.2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106.6</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71.9</w:t>
            </w: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1,801.8</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1,624.3</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20,603.9</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19,951.0</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149.6</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154.9</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60" w:type="dxa"/>
            <w:vAlign w:val="bottom"/>
          </w:tcPr>
          <w:p>
            <w:pPr>
              <w:spacing w:after="0"/>
              <w:rPr>
                <w:sz w:val="18"/>
                <w:szCs w:val="18"/>
                <w:color w:val="auto"/>
              </w:rPr>
            </w:pPr>
          </w:p>
        </w:tc>
        <w:tc>
          <w:tcPr>
            <w:tcW w:w="1040" w:type="dxa"/>
            <w:vAlign w:val="bottom"/>
          </w:tcPr>
          <w:p>
            <w:pPr>
              <w:jc w:val="right"/>
              <w:ind w:right="220"/>
              <w:spacing w:after="0"/>
              <w:rPr>
                <w:sz w:val="20"/>
                <w:szCs w:val="20"/>
                <w:color w:val="auto"/>
              </w:rPr>
            </w:pPr>
            <w:r>
              <w:rPr>
                <w:rFonts w:ascii="Arial" w:cs="Arial" w:eastAsia="Arial" w:hAnsi="Arial"/>
                <w:sz w:val="16"/>
                <w:szCs w:val="16"/>
                <w:b w:val="1"/>
                <w:bCs w:val="1"/>
                <w:color w:val="auto"/>
              </w:rPr>
              <w:t>2,003.9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1,868.2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Nuclear decommissioning trust fund</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732.0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652.1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040" w:type="dxa"/>
            <w:vAlign w:val="bottom"/>
          </w:tcPr>
          <w:p>
            <w:pPr>
              <w:jc w:val="right"/>
              <w:ind w:right="220"/>
              <w:spacing w:after="0"/>
              <w:rPr>
                <w:sz w:val="20"/>
                <w:szCs w:val="20"/>
                <w:color w:val="auto"/>
              </w:rPr>
            </w:pPr>
            <w:r>
              <w:rPr>
                <w:rFonts w:ascii="Arial" w:cs="Arial" w:eastAsia="Arial" w:hAnsi="Arial"/>
                <w:sz w:val="16"/>
                <w:szCs w:val="16"/>
                <w:b w:val="1"/>
                <w:bCs w:val="1"/>
                <w:color w:val="auto"/>
              </w:rPr>
              <w:t>2,336.6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2,336.6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554.3</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527.7</w:t>
            </w: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Assets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5,626.8</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5,384.6</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28,182.1</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27,114.8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3"/>
          </w:tcPr>
          <w:p>
            <w:pPr>
              <w:jc w:val="right"/>
              <w:ind w:right="359"/>
              <w:spacing w:after="0"/>
              <w:rPr>
                <w:sz w:val="20"/>
                <w:szCs w:val="20"/>
                <w:color w:val="auto"/>
              </w:rPr>
            </w:pPr>
            <w:r>
              <w:rPr>
                <w:rFonts w:ascii="Arial" w:cs="Arial" w:eastAsia="Arial" w:hAnsi="Arial"/>
                <w:sz w:val="14"/>
                <w:szCs w:val="14"/>
                <w:color w:val="auto"/>
                <w:w w:val="97"/>
              </w:rPr>
              <w:t>(millions, except share amounts)</w:t>
            </w:r>
          </w:p>
        </w:tc>
        <w:tc>
          <w:tcPr>
            <w:tcW w:w="0" w:type="dxa"/>
            <w:vAlign w:val="bottom"/>
          </w:tcPr>
          <w:p>
            <w:pPr>
              <w:spacing w:after="0"/>
              <w:rPr>
                <w:sz w:val="1"/>
                <w:szCs w:val="1"/>
                <w:color w:val="auto"/>
              </w:rPr>
            </w:pP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471.4</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436.4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and commercial paper</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620.5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315.0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Collateralized note payable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395.0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437.0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313.7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118.4</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73.1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26.5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50.9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164.1</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2,670.6</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2,355.8</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9,297.3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9,190.9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1,829.3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1,664.8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182.7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2,676.6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2,638.8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988.7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1,149.4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920.1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901.7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304.8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16,199.5</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16,040.5</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Inc. Shareholders' Equity: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0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Common stock - 600,000,000 shares authorized, without par value</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7,201.8</w:t>
            </w:r>
          </w:p>
        </w:tc>
        <w:tc>
          <w:tcPr>
            <w:tcW w:w="4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7,080.0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229,301,079 and 226,836,670 shares issued, stated value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2,161.3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1,702.8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(45.3)</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7"/>
        </w:trPr>
        <w:tc>
          <w:tcPr>
            <w:tcW w:w="8400" w:type="dxa"/>
            <w:vAlign w:val="bottom"/>
          </w:tcPr>
          <w:p>
            <w:pPr>
              <w:ind w:left="480"/>
              <w:spacing w:after="0"/>
              <w:rPr>
                <w:sz w:val="20"/>
                <w:szCs w:val="20"/>
                <w:color w:val="auto"/>
              </w:rPr>
            </w:pPr>
            <w:r>
              <w:rPr>
                <w:rFonts w:ascii="Arial" w:cs="Arial" w:eastAsia="Arial" w:hAnsi="Arial"/>
                <w:sz w:val="16"/>
                <w:szCs w:val="16"/>
                <w:color w:val="auto"/>
              </w:rPr>
              <w:t>Total Evergy, Inc. Shareholders' Equity</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9,317.8</w:t>
            </w:r>
          </w:p>
        </w:tc>
        <w:tc>
          <w:tcPr>
            <w:tcW w:w="44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8,733.4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(5.8)</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9,312.0</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8,718.5</w:t>
            </w:r>
          </w:p>
        </w:tc>
        <w:tc>
          <w:tcPr>
            <w:tcW w:w="0" w:type="dxa"/>
            <w:vAlign w:val="bottom"/>
          </w:tcPr>
          <w:p>
            <w:pPr>
              <w:spacing w:after="0"/>
              <w:rPr>
                <w:sz w:val="1"/>
                <w:szCs w:val="1"/>
                <w:color w:val="auto"/>
              </w:rPr>
            </w:pP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gridSpan w:val="2"/>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28,182.1</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27,114.8</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320" w:type="dxa"/>
            <w:vAlign w:val="bottom"/>
          </w:tcPr>
          <w:p>
            <w:pPr>
              <w:jc w:val="center"/>
              <w:ind w:left="4779"/>
              <w:spacing w:after="0"/>
              <w:rPr>
                <w:sz w:val="20"/>
                <w:szCs w:val="20"/>
                <w:color w:val="auto"/>
              </w:rPr>
            </w:pPr>
            <w:r>
              <w:rPr>
                <w:rFonts w:ascii="Arial" w:cs="Arial" w:eastAsia="Arial" w:hAnsi="Arial"/>
                <w:sz w:val="16"/>
                <w:szCs w:val="16"/>
                <w:b w:val="1"/>
                <w:bCs w:val="1"/>
                <w:color w:val="auto"/>
              </w:rPr>
              <w:t>EVERGY, INC.</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0" w:type="dxa"/>
            <w:vAlign w:val="bottom"/>
            <w:gridSpan w:val="3"/>
          </w:tcPr>
          <w:p>
            <w:pPr>
              <w:jc w:val="center"/>
              <w:ind w:left="3479"/>
              <w:spacing w:after="0"/>
              <w:rPr>
                <w:sz w:val="20"/>
                <w:szCs w:val="20"/>
                <w:color w:val="auto"/>
              </w:rPr>
            </w:pPr>
            <w:r>
              <w:rPr>
                <w:rFonts w:ascii="Arial" w:cs="Arial" w:eastAsia="Arial" w:hAnsi="Arial"/>
                <w:sz w:val="16"/>
                <w:szCs w:val="16"/>
                <w:b w:val="1"/>
                <w:bCs w:val="1"/>
                <w:color w:val="auto"/>
                <w:w w:val="89"/>
              </w:rPr>
              <w:t>Consolidated Statements of Comprehensive Income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320" w:type="dxa"/>
            <w:vAlign w:val="bottom"/>
          </w:tcPr>
          <w:p>
            <w:pPr>
              <w:jc w:val="center"/>
              <w:ind w:left="4779"/>
              <w:spacing w:after="0"/>
              <w:rPr>
                <w:sz w:val="20"/>
                <w:szCs w:val="20"/>
                <w:color w:val="auto"/>
              </w:rPr>
            </w:pPr>
            <w:r>
              <w:rPr>
                <w:rFonts w:ascii="Arial" w:cs="Arial" w:eastAsia="Arial" w:hAnsi="Arial"/>
                <w:sz w:val="16"/>
                <w:szCs w:val="16"/>
                <w:color w:val="auto"/>
                <w:w w:val="93"/>
              </w:rPr>
              <w:t>(Unaudited)</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68"/>
        </w:trPr>
        <w:tc>
          <w:tcPr>
            <w:tcW w:w="6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jc w:val="right"/>
              <w:ind w:right="399"/>
              <w:spacing w:after="0" w:line="168" w:lineRule="exact"/>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720" w:type="dxa"/>
            <w:vAlign w:val="bottom"/>
          </w:tcPr>
          <w:p>
            <w:pPr>
              <w:spacing w:after="0"/>
              <w:rPr>
                <w:sz w:val="14"/>
                <w:szCs w:val="14"/>
                <w:color w:val="auto"/>
              </w:rPr>
            </w:pPr>
          </w:p>
        </w:tc>
      </w:tr>
      <w:tr>
        <w:trPr>
          <w:trHeight w:val="210"/>
        </w:trPr>
        <w:tc>
          <w:tcPr>
            <w:tcW w:w="6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204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29"/>
        </w:trPr>
        <w:tc>
          <w:tcPr>
            <w:tcW w:w="6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2020</w:t>
            </w:r>
          </w:p>
        </w:tc>
      </w:tr>
      <w:tr>
        <w:trPr>
          <w:trHeight w:val="186"/>
        </w:trPr>
        <w:tc>
          <w:tcPr>
            <w:tcW w:w="6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gridSpan w:val="4"/>
          </w:tcPr>
          <w:p>
            <w:pPr>
              <w:jc w:val="right"/>
              <w:ind w:right="79"/>
              <w:spacing w:after="0"/>
              <w:rPr>
                <w:sz w:val="20"/>
                <w:szCs w:val="20"/>
                <w:color w:val="auto"/>
              </w:rPr>
            </w:pPr>
            <w:r>
              <w:rPr>
                <w:rFonts w:ascii="Arial" w:cs="Arial" w:eastAsia="Arial" w:hAnsi="Arial"/>
                <w:sz w:val="14"/>
                <w:szCs w:val="14"/>
                <w:color w:val="auto"/>
              </w:rPr>
              <w:t>(millions, except per share amounts)</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1,616.5</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1,517.6</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4,464.6</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3,819.0</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355.8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316.2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1,275.0</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73.6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66.1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216.8</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197.8</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265.2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304.6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800.6</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865.5</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225.0</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218.0</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669.5</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658.1</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96.2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289.0</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274.2</w:t>
            </w:r>
          </w:p>
        </w:tc>
      </w:tr>
      <w:tr>
        <w:trPr>
          <w:trHeight w:val="20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1,015.8</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995.9</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3,250.9</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2,828.1</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600.7</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521.7</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1,213.7</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990.9</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18.8</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11.0</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36.9</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(58.9)</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0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Income (Expense), Net</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0.6</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(3.2)</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93.6</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94.8</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281.4</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290.5</w:t>
            </w:r>
          </w:p>
        </w:tc>
      </w:tr>
      <w:tr>
        <w:trPr>
          <w:trHeight w:val="207"/>
        </w:trPr>
        <w:tc>
          <w:tcPr>
            <w:tcW w:w="63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507.7</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415.6</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929.1</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663.7</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57.2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99.8</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452.5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367.5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835.4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576.0</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INC.</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449.4</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364.5</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826.3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567.3</w:t>
            </w:r>
          </w:p>
        </w:tc>
      </w:tr>
      <w:tr>
        <w:trPr>
          <w:trHeight w:val="166"/>
        </w:trPr>
        <w:tc>
          <w:tcPr>
            <w:tcW w:w="6320" w:type="dxa"/>
            <w:vAlign w:val="bottom"/>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9"/>
        </w:trPr>
        <w:tc>
          <w:tcPr>
            <w:tcW w:w="6320" w:type="dxa"/>
            <w:vAlign w:val="bottom"/>
          </w:tcPr>
          <w:p>
            <w:pPr>
              <w:ind w:left="180"/>
              <w:spacing w:after="0"/>
              <w:rPr>
                <w:sz w:val="20"/>
                <w:szCs w:val="20"/>
                <w:color w:val="auto"/>
              </w:rPr>
            </w:pPr>
            <w:r>
              <w:rPr>
                <w:rFonts w:ascii="Arial" w:cs="Arial" w:eastAsia="Arial" w:hAnsi="Arial"/>
                <w:sz w:val="16"/>
                <w:szCs w:val="16"/>
                <w:color w:val="auto"/>
              </w:rPr>
              <w:t>ATTRIBUTABLE TO EVERGY, INC. (see Note 1)</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1.96</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3.61</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4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1.95</w:t>
            </w:r>
          </w:p>
        </w:tc>
        <w:tc>
          <w:tcPr>
            <w:tcW w:w="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1.60</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3.60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COMMON SHARES OUTSTANDING</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229.7</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227.3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228.8</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227.2</w:t>
            </w:r>
          </w:p>
        </w:tc>
      </w:tr>
      <w:tr>
        <w:trPr>
          <w:trHeight w:val="226"/>
        </w:trPr>
        <w:tc>
          <w:tcPr>
            <w:tcW w:w="6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230.2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229.3</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227.5</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452.5</w:t>
            </w:r>
          </w:p>
        </w:tc>
        <w:tc>
          <w:tcPr>
            <w:tcW w:w="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367.5</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835.4</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576.0</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Derivative hedging activity</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19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Amortization of net losses included in net periodic benefit costs, net of tax</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6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 in unrecognized pension expense, net of tax</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453.8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368.9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839.5</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w:t>
            </w:r>
          </w:p>
        </w:tc>
      </w:tr>
      <w:tr>
        <w:trPr>
          <w:trHeight w:val="213"/>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450.7</w:t>
            </w:r>
          </w:p>
        </w:tc>
        <w:tc>
          <w:tcPr>
            <w:tcW w:w="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365.9</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830.4</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835.4</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669.5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35.7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18.5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98.6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136.5</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(167.9)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169.5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192.3</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(308.7)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45.8</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1,036.0</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1,421.7</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(1,394.7)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(1,058.1)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95.3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76.3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(1,349.1)</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(1,029.9)</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301.6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(361.9)</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112.5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497.3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889.3</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(351.1)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53.1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(366.7)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(343.6)</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193.5</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(119.6)</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144.9</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5140" w:type="dxa"/>
        <w:tblCellMar>
          <w:top w:w="0" w:type="dxa"/>
          <w:left w:w="0" w:type="dxa"/>
          <w:bottom w:w="0" w:type="dxa"/>
          <w:right w:w="0" w:type="dxa"/>
        </w:tblCellMar>
      </w:tblPr>
      <w:tr>
        <w:trPr>
          <w:trHeight w:val="223"/>
        </w:trPr>
        <w:tc>
          <w:tcPr>
            <w:tcW w:w="3240" w:type="dxa"/>
            <w:vAlign w:val="bottom"/>
            <w:tcBorders>
              <w:bottom w:val="single" w:sz="8" w:color="auto"/>
            </w:tcBorders>
            <w:gridSpan w:val="3"/>
          </w:tcPr>
          <w:p>
            <w:pPr>
              <w:ind w:left="1120"/>
              <w:spacing w:after="0"/>
              <w:rPr>
                <w:sz w:val="20"/>
                <w:szCs w:val="20"/>
                <w:color w:val="auto"/>
              </w:rPr>
            </w:pPr>
            <w:r>
              <w:rPr>
                <w:rFonts w:ascii="Arial" w:cs="Arial" w:eastAsia="Arial" w:hAnsi="Arial"/>
                <w:sz w:val="16"/>
                <w:szCs w:val="16"/>
                <w:b w:val="1"/>
                <w:bCs w:val="1"/>
                <w:color w:val="auto"/>
              </w:rPr>
              <w:t>Evergy, Inc. Shareholders</w:t>
            </w:r>
          </w:p>
        </w:tc>
        <w:tc>
          <w:tcPr>
            <w:tcW w:w="800" w:type="dxa"/>
            <w:vAlign w:val="bottom"/>
            <w:tcBorders>
              <w:bottom w:val="single" w:sz="8" w:color="auto"/>
            </w:tcBorders>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3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Common stock</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Common</w:t>
            </w:r>
          </w:p>
        </w:tc>
        <w:tc>
          <w:tcPr>
            <w:tcW w:w="9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Retained</w:t>
            </w:r>
          </w:p>
        </w:tc>
        <w:tc>
          <w:tcPr>
            <w:tcW w:w="800" w:type="dxa"/>
            <w:vAlign w:val="bottom"/>
          </w:tcPr>
          <w:p>
            <w:pPr>
              <w:spacing w:after="0"/>
              <w:rPr>
                <w:sz w:val="12"/>
                <w:szCs w:val="12"/>
                <w:color w:val="auto"/>
              </w:rPr>
            </w:pPr>
          </w:p>
        </w:tc>
        <w:tc>
          <w:tcPr>
            <w:tcW w:w="1960" w:type="dxa"/>
            <w:vAlign w:val="bottom"/>
          </w:tcPr>
          <w:p>
            <w:pPr>
              <w:jc w:val="center"/>
              <w:ind w:right="835"/>
              <w:spacing w:after="0" w:line="148" w:lineRule="exact"/>
              <w:rPr>
                <w:sz w:val="20"/>
                <w:szCs w:val="20"/>
                <w:color w:val="auto"/>
              </w:rPr>
            </w:pPr>
            <w:r>
              <w:rPr>
                <w:rFonts w:ascii="Arial" w:cs="Arial" w:eastAsia="Arial" w:hAnsi="Arial"/>
                <w:sz w:val="16"/>
                <w:szCs w:val="16"/>
                <w:b w:val="1"/>
                <w:bCs w:val="1"/>
                <w:color w:val="auto"/>
                <w:w w:val="93"/>
              </w:rPr>
              <w:t>Non-</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AOCI</w:t>
            </w:r>
          </w:p>
        </w:tc>
        <w:tc>
          <w:tcPr>
            <w:tcW w:w="1960" w:type="dxa"/>
            <w:vAlign w:val="bottom"/>
          </w:tcPr>
          <w:p>
            <w:pPr>
              <w:jc w:val="center"/>
              <w:ind w:right="835"/>
              <w:spacing w:after="0" w:line="162" w:lineRule="exact"/>
              <w:rPr>
                <w:sz w:val="20"/>
                <w:szCs w:val="20"/>
                <w:color w:val="auto"/>
              </w:rPr>
            </w:pPr>
            <w:r>
              <w:rPr>
                <w:rFonts w:ascii="Arial" w:cs="Arial" w:eastAsia="Arial" w:hAnsi="Arial"/>
                <w:sz w:val="16"/>
                <w:szCs w:val="16"/>
                <w:b w:val="1"/>
                <w:bCs w:val="1"/>
                <w:color w:val="auto"/>
                <w:w w:val="89"/>
              </w:rPr>
              <w:t>controlling</w:t>
            </w:r>
          </w:p>
        </w:tc>
        <w:tc>
          <w:tcPr>
            <w:tcW w:w="0" w:type="dxa"/>
            <w:vAlign w:val="bottom"/>
          </w:tcPr>
          <w:p>
            <w:pPr>
              <w:spacing w:after="0"/>
              <w:rPr>
                <w:sz w:val="1"/>
                <w:szCs w:val="1"/>
                <w:color w:val="auto"/>
              </w:rPr>
            </w:pPr>
          </w:p>
        </w:tc>
      </w:tr>
      <w:tr>
        <w:trPr>
          <w:trHeight w:val="210"/>
        </w:trPr>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85"/>
              </w:rPr>
              <w:t>shares</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6"/>
              </w:rPr>
              <w:t>stock</w:t>
            </w:r>
          </w:p>
        </w:tc>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earnings</w:t>
            </w:r>
          </w:p>
        </w:tc>
        <w:tc>
          <w:tcPr>
            <w:tcW w:w="800" w:type="dxa"/>
            <w:vAlign w:val="bottom"/>
            <w:vMerge w:val="continue"/>
          </w:tcPr>
          <w:p>
            <w:pPr>
              <w:spacing w:after="0"/>
              <w:rPr>
                <w:sz w:val="18"/>
                <w:szCs w:val="18"/>
                <w:color w:val="auto"/>
              </w:rPr>
            </w:pPr>
          </w:p>
        </w:tc>
        <w:tc>
          <w:tcPr>
            <w:tcW w:w="1960" w:type="dxa"/>
            <w:vAlign w:val="bottom"/>
          </w:tcPr>
          <w:p>
            <w:pPr>
              <w:ind w:left="240"/>
              <w:spacing w:after="0"/>
              <w:rPr>
                <w:sz w:val="20"/>
                <w:szCs w:val="20"/>
                <w:color w:val="auto"/>
              </w:rPr>
            </w:pPr>
            <w:r>
              <w:rPr>
                <w:rFonts w:ascii="Arial" w:cs="Arial" w:eastAsia="Arial" w:hAnsi="Arial"/>
                <w:sz w:val="16"/>
                <w:szCs w:val="16"/>
                <w:b w:val="1"/>
                <w:bCs w:val="1"/>
                <w:color w:val="auto"/>
                <w:w w:val="91"/>
              </w:rPr>
              <w:t>interestsTotal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70980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as of December 31, 2019</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20" w:hanging="161"/>
        <w:spacing w:after="0"/>
        <w:rPr>
          <w:sz w:val="20"/>
          <w:szCs w:val="20"/>
          <w:color w:val="auto"/>
        </w:rPr>
      </w:pPr>
      <w:r>
        <w:rPr>
          <w:rFonts w:ascii="Arial" w:cs="Arial" w:eastAsia="Arial" w:hAnsi="Arial"/>
          <w:sz w:val="16"/>
          <w:szCs w:val="16"/>
          <w:color w:val="auto"/>
        </w:rPr>
        <w:t>Issuance of stock compensation and reinvested dividends, net of tax withholding</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declared on common stock ($0.505 per share)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 equivalents declared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Stock compensation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Derivative hedging activity, net of tax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as of March 31, 2020</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20" w:hanging="161"/>
        <w:spacing w:after="0"/>
        <w:rPr>
          <w:sz w:val="20"/>
          <w:szCs w:val="20"/>
          <w:color w:val="auto"/>
        </w:rPr>
      </w:pPr>
      <w:r>
        <w:rPr>
          <w:rFonts w:ascii="Arial" w:cs="Arial" w:eastAsia="Arial" w:hAnsi="Arial"/>
          <w:sz w:val="16"/>
          <w:szCs w:val="16"/>
          <w:color w:val="auto"/>
        </w:rPr>
        <w:t>Issuance of stock compensation and reinvested dividends, net of tax withholding</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declared on common stock ($0.505 per share)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 equivalents declared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Stock compensation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Derivative hedging activity, net of tax</w:t>
      </w:r>
    </w:p>
    <w:p>
      <w:pPr>
        <w:spacing w:after="0" w:line="32" w:lineRule="exact"/>
        <w:rPr>
          <w:sz w:val="20"/>
          <w:szCs w:val="20"/>
          <w:color w:val="auto"/>
        </w:rPr>
      </w:pPr>
    </w:p>
    <w:p>
      <w:pPr>
        <w:ind w:left="60" w:right="1040"/>
        <w:spacing w:after="0" w:line="287" w:lineRule="auto"/>
        <w:rPr>
          <w:sz w:val="20"/>
          <w:szCs w:val="20"/>
          <w:color w:val="auto"/>
        </w:rPr>
      </w:pPr>
      <w:r>
        <w:rPr>
          <w:rFonts w:ascii="Arial" w:cs="Arial" w:eastAsia="Arial" w:hAnsi="Arial"/>
          <w:sz w:val="16"/>
          <w:szCs w:val="16"/>
          <w:color w:val="auto"/>
        </w:rPr>
        <w:t>Change in unrecognized pension expense, net of tax Other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as of June 30, 2020</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20" w:hanging="161"/>
        <w:spacing w:after="0"/>
        <w:rPr>
          <w:sz w:val="20"/>
          <w:szCs w:val="20"/>
          <w:color w:val="auto"/>
        </w:rPr>
      </w:pPr>
      <w:r>
        <w:rPr>
          <w:rFonts w:ascii="Arial" w:cs="Arial" w:eastAsia="Arial" w:hAnsi="Arial"/>
          <w:sz w:val="16"/>
          <w:szCs w:val="16"/>
          <w:color w:val="auto"/>
        </w:rPr>
        <w:t>Issuance of stock compensation and reinvested dividends, net of tax withholding</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Dividends declared on common stock ($0.505 per share)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Dividend equivalents declared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Stock compensation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Derivative hedging activity, net of tax</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as of September 30, 2020</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60" w:type="dxa"/>
            <w:vAlign w:val="bottom"/>
            <w:gridSpan w:val="6"/>
          </w:tcPr>
          <w:p>
            <w:pPr>
              <w:jc w:val="right"/>
              <w:ind w:right="219"/>
              <w:spacing w:after="0"/>
              <w:rPr>
                <w:sz w:val="20"/>
                <w:szCs w:val="20"/>
                <w:color w:val="auto"/>
              </w:rPr>
            </w:pPr>
            <w:r>
              <w:rPr>
                <w:rFonts w:ascii="Arial" w:cs="Arial" w:eastAsia="Arial" w:hAnsi="Arial"/>
                <w:sz w:val="16"/>
                <w:szCs w:val="16"/>
                <w:color w:val="auto"/>
              </w:rPr>
              <w:t>(millions, except share amounts)</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226,641,443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7,070.4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1,551.5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(50.0)</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(26.6)</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8,545.3</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378"/>
        </w:trPr>
        <w:tc>
          <w:tcPr>
            <w:tcW w:w="1240" w:type="dxa"/>
            <w:vAlign w:val="bottom"/>
          </w:tcPr>
          <w:p>
            <w:pPr>
              <w:jc w:val="right"/>
              <w:spacing w:after="0"/>
              <w:rPr>
                <w:sz w:val="20"/>
                <w:szCs w:val="20"/>
                <w:color w:val="auto"/>
              </w:rPr>
            </w:pPr>
            <w:r>
              <w:rPr>
                <w:rFonts w:ascii="Arial" w:cs="Arial" w:eastAsia="Arial" w:hAnsi="Arial"/>
                <w:sz w:val="16"/>
                <w:szCs w:val="16"/>
                <w:color w:val="auto"/>
              </w:rPr>
              <w:t>97,305</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(0.7)</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07"/>
        </w:trPr>
        <w:tc>
          <w:tcPr>
            <w:tcW w:w="1240" w:type="dxa"/>
            <w:vAlign w:val="bottom"/>
          </w:tcPr>
          <w:p>
            <w:pPr>
              <w:jc w:val="right"/>
              <w:spacing w:after="0"/>
              <w:rPr>
                <w:sz w:val="20"/>
                <w:szCs w:val="20"/>
                <w:color w:val="auto"/>
              </w:rPr>
            </w:pPr>
            <w:r>
              <w:rPr>
                <w:rFonts w:ascii="Arial" w:cs="Arial" w:eastAsia="Arial" w:hAnsi="Arial"/>
                <w:sz w:val="16"/>
                <w:szCs w:val="16"/>
                <w:color w:val="auto"/>
              </w:rPr>
              <w:t>226,738,748</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7,072.2</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1,505.7</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(48.7)</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8,505.4</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136.3</w:t>
            </w:r>
          </w:p>
        </w:tc>
      </w:tr>
      <w:tr>
        <w:trPr>
          <w:trHeight w:val="378"/>
        </w:trPr>
        <w:tc>
          <w:tcPr>
            <w:tcW w:w="1240" w:type="dxa"/>
            <w:vAlign w:val="bottom"/>
          </w:tcPr>
          <w:p>
            <w:pPr>
              <w:jc w:val="right"/>
              <w:spacing w:after="0"/>
              <w:rPr>
                <w:sz w:val="20"/>
                <w:szCs w:val="20"/>
                <w:color w:val="auto"/>
              </w:rPr>
            </w:pPr>
            <w:r>
              <w:rPr>
                <w:rFonts w:ascii="Arial" w:cs="Arial" w:eastAsia="Arial" w:hAnsi="Arial"/>
                <w:sz w:val="16"/>
                <w:szCs w:val="16"/>
                <w:color w:val="auto"/>
              </w:rPr>
              <w:t>86,357</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(114.6)</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1240" w:type="dxa"/>
            <w:vAlign w:val="bottom"/>
          </w:tcPr>
          <w:p>
            <w:pPr>
              <w:jc w:val="right"/>
              <w:spacing w:after="0"/>
              <w:rPr>
                <w:sz w:val="20"/>
                <w:szCs w:val="20"/>
                <w:color w:val="auto"/>
              </w:rPr>
            </w:pPr>
            <w:r>
              <w:rPr>
                <w:rFonts w:ascii="Arial" w:cs="Arial" w:eastAsia="Arial" w:hAnsi="Arial"/>
                <w:sz w:val="16"/>
                <w:szCs w:val="16"/>
                <w:color w:val="auto"/>
              </w:rPr>
              <w:t>226,825,105</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7,073.5</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1,524.1</w:t>
            </w: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(49.8)</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8,526.9</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364.5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367.5</w:t>
            </w:r>
          </w:p>
        </w:tc>
      </w:tr>
      <w:tr>
        <w:trPr>
          <w:trHeight w:val="378"/>
        </w:trPr>
        <w:tc>
          <w:tcPr>
            <w:tcW w:w="1240" w:type="dxa"/>
            <w:vAlign w:val="bottom"/>
          </w:tcPr>
          <w:p>
            <w:pPr>
              <w:jc w:val="right"/>
              <w:spacing w:after="0"/>
              <w:rPr>
                <w:sz w:val="20"/>
                <w:szCs w:val="20"/>
                <w:color w:val="auto"/>
              </w:rPr>
            </w:pPr>
            <w:r>
              <w:rPr>
                <w:rFonts w:ascii="Arial" w:cs="Arial" w:eastAsia="Arial" w:hAnsi="Arial"/>
                <w:sz w:val="16"/>
                <w:szCs w:val="16"/>
                <w:color w:val="auto"/>
              </w:rPr>
              <w:t>7,305</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216"/>
        </w:trPr>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(0.6)</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6"/>
        </w:trPr>
        <w:tc>
          <w:tcPr>
            <w:tcW w:w="1240" w:type="dxa"/>
            <w:vAlign w:val="bottom"/>
          </w:tcPr>
          <w:p>
            <w:pPr>
              <w:jc w:val="right"/>
              <w:spacing w:after="0"/>
              <w:rPr>
                <w:sz w:val="20"/>
                <w:szCs w:val="20"/>
                <w:color w:val="auto"/>
              </w:rPr>
            </w:pPr>
            <w:r>
              <w:rPr>
                <w:rFonts w:ascii="Arial" w:cs="Arial" w:eastAsia="Arial" w:hAnsi="Arial"/>
                <w:sz w:val="16"/>
                <w:szCs w:val="16"/>
                <w:color w:val="auto"/>
              </w:rPr>
              <w:t>226,832,410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7,077.0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1,773.5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(48.4)</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8,784.2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-3895725</wp:posOffset>
            </wp:positionV>
            <wp:extent cx="709803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-3621405</wp:posOffset>
            </wp:positionV>
            <wp:extent cx="7098030" cy="2400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-3244215</wp:posOffset>
            </wp:positionV>
            <wp:extent cx="70980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-2969895</wp:posOffset>
            </wp:positionV>
            <wp:extent cx="70980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-2695575</wp:posOffset>
            </wp:positionV>
            <wp:extent cx="709803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8030" cy="1460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-2413000</wp:posOffset>
            </wp:positionV>
            <wp:extent cx="7098030" cy="240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8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-2035810</wp:posOffset>
            </wp:positionV>
            <wp:extent cx="709803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-1761490</wp:posOffset>
            </wp:positionV>
            <wp:extent cx="709803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-1487170</wp:posOffset>
            </wp:positionV>
            <wp:extent cx="709803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-1204595</wp:posOffset>
            </wp:positionV>
            <wp:extent cx="709803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-826770</wp:posOffset>
            </wp:positionV>
            <wp:extent cx="709803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-552450</wp:posOffset>
            </wp:positionV>
            <wp:extent cx="709803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-278765</wp:posOffset>
            </wp:positionV>
            <wp:extent cx="709803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3810</wp:posOffset>
            </wp:positionV>
            <wp:extent cx="70980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4460" w:space="680"/>
            <w:col w:w="6080"/>
          </w:cols>
          <w:pgMar w:left="320" w:top="122" w:right="359" w:bottom="1440" w:gutter="0" w:footer="0" w:header="0"/>
          <w:type w:val="continuous"/>
        </w:sectPr>
      </w:pPr>
    </w:p>
    <w:p>
      <w:pPr>
        <w:spacing w:after="0"/>
        <w:rPr>
          <w:sz w:val="20"/>
          <w:szCs w:val="20"/>
          <w:color w:val="auto"/>
        </w:rPr>
      </w:pPr>
      <w:r>
        <w:rPr>
          <w:rFonts w:ascii="Arial" w:cs="Arial" w:eastAsia="Arial" w:hAnsi="Arial"/>
          <w:sz w:val="12"/>
          <w:szCs w:val="12"/>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2" w:name="page13"/>
    <w:bookmarkEnd w:id="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226,836,670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104,896</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Issuance of restricted common stock</w:t>
            </w:r>
          </w:p>
        </w:tc>
        <w:tc>
          <w:tcPr>
            <w:tcW w:w="1220" w:type="dxa"/>
            <w:vAlign w:val="bottom"/>
          </w:tcPr>
          <w:p>
            <w:pPr>
              <w:jc w:val="right"/>
              <w:spacing w:after="0"/>
              <w:rPr>
                <w:sz w:val="20"/>
                <w:szCs w:val="20"/>
                <w:color w:val="auto"/>
              </w:rPr>
            </w:pPr>
            <w:r>
              <w:rPr>
                <w:rFonts w:ascii="Arial" w:cs="Arial" w:eastAsia="Arial" w:hAnsi="Arial"/>
                <w:sz w:val="16"/>
                <w:szCs w:val="16"/>
                <w:color w:val="auto"/>
              </w:rPr>
              <w:t>54,054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restricted common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226,995,620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stock, net of issuance costs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2,269,447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166"/>
        </w:trPr>
        <w:tc>
          <w:tcPr>
            <w:tcW w:w="5080" w:type="dxa"/>
            <w:vAlign w:val="bottom"/>
          </w:tcPr>
          <w:p>
            <w:pPr>
              <w:ind w:left="20"/>
              <w:spacing w:after="0" w:line="166"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31,147</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5080" w:type="dxa"/>
            <w:vAlign w:val="bottom"/>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20" w:type="dxa"/>
            <w:vAlign w:val="bottom"/>
          </w:tcPr>
          <w:p>
            <w:pPr>
              <w:jc w:val="right"/>
              <w:spacing w:after="0"/>
              <w:rPr>
                <w:sz w:val="20"/>
                <w:szCs w:val="20"/>
                <w:color w:val="auto"/>
              </w:rPr>
            </w:pPr>
            <w:r>
              <w:rPr>
                <w:rFonts w:ascii="Arial" w:cs="Arial" w:eastAsia="Arial" w:hAnsi="Arial"/>
                <w:sz w:val="16"/>
                <w:szCs w:val="16"/>
                <w:color w:val="auto"/>
              </w:rPr>
              <w:t>229,296,214</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7,197.6</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1,835.0</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8,977.1</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452.5</w:t>
            </w:r>
          </w:p>
        </w:tc>
        <w:tc>
          <w:tcPr>
            <w:tcW w:w="0" w:type="dxa"/>
            <w:vAlign w:val="bottom"/>
          </w:tcPr>
          <w:p>
            <w:pPr>
              <w:spacing w:after="0"/>
              <w:rPr>
                <w:sz w:val="1"/>
                <w:szCs w:val="1"/>
                <w:color w:val="auto"/>
              </w:rPr>
            </w:pPr>
          </w:p>
        </w:tc>
      </w:tr>
      <w:tr>
        <w:trPr>
          <w:trHeight w:val="166"/>
        </w:trPr>
        <w:tc>
          <w:tcPr>
            <w:tcW w:w="5080" w:type="dxa"/>
            <w:vAlign w:val="bottom"/>
          </w:tcPr>
          <w:p>
            <w:pPr>
              <w:ind w:left="20"/>
              <w:spacing w:after="0" w:line="166"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4,865</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80" w:type="dxa"/>
            <w:vAlign w:val="bottom"/>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229,301,079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September 30</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3"/>
        </w:trPr>
        <w:tc>
          <w:tcPr>
            <w:tcW w:w="8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8"/>
                <w:szCs w:val="18"/>
                <w:color w:val="auto"/>
              </w:rPr>
            </w:pPr>
          </w:p>
        </w:tc>
        <w:tc>
          <w:tcPr>
            <w:tcW w:w="2440" w:type="dxa"/>
            <w:vAlign w:val="bottom"/>
            <w:gridSpan w:val="3"/>
          </w:tcPr>
          <w:p>
            <w:pPr>
              <w:jc w:val="right"/>
              <w:ind w:right="39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11.4</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28.7</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$7.3 and $7.5, respectively</w:t>
            </w:r>
          </w:p>
        </w:tc>
        <w:tc>
          <w:tcPr>
            <w:tcW w:w="38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Arial" w:cs="Arial" w:eastAsia="Arial" w:hAnsi="Arial"/>
                <w:sz w:val="16"/>
                <w:szCs w:val="16"/>
                <w:b w:val="1"/>
                <w:bCs w:val="1"/>
                <w:color w:val="auto"/>
              </w:rPr>
              <w:t>241.2</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218.9</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8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Arial" w:cs="Arial" w:eastAsia="Arial" w:hAnsi="Arial"/>
                <w:sz w:val="16"/>
                <w:szCs w:val="16"/>
                <w:b w:val="1"/>
                <w:bCs w:val="1"/>
                <w:color w:val="auto"/>
              </w:rPr>
              <w:t>200.0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180.0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279.8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276.4</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8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Arial" w:cs="Arial" w:eastAsia="Arial" w:hAnsi="Arial"/>
                <w:sz w:val="16"/>
                <w:szCs w:val="16"/>
                <w:b w:val="1"/>
                <w:bCs w:val="1"/>
                <w:color w:val="auto"/>
              </w:rPr>
              <w:t>14.7</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25.3</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180.7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96.2</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54.8</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27.4</w:t>
            </w:r>
          </w:p>
        </w:tc>
      </w:tr>
      <w:tr>
        <w:trPr>
          <w:trHeight w:val="212"/>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995.0</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859.6</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10,415.3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10,193.6</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149.6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154.9</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764.1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800.1</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80" w:type="dxa"/>
            <w:vAlign w:val="bottom"/>
          </w:tcPr>
          <w:p>
            <w:pPr>
              <w:spacing w:after="0"/>
              <w:rPr>
                <w:sz w:val="18"/>
                <w:szCs w:val="18"/>
                <w:color w:val="auto"/>
              </w:rPr>
            </w:pPr>
          </w:p>
        </w:tc>
        <w:tc>
          <w:tcPr>
            <w:tcW w:w="1040" w:type="dxa"/>
            <w:vAlign w:val="bottom"/>
          </w:tcPr>
          <w:p>
            <w:pPr>
              <w:jc w:val="right"/>
              <w:ind w:right="200"/>
              <w:spacing w:after="0"/>
              <w:rPr>
                <w:sz w:val="20"/>
                <w:szCs w:val="20"/>
                <w:color w:val="auto"/>
              </w:rPr>
            </w:pPr>
            <w:r>
              <w:rPr>
                <w:rFonts w:ascii="Arial" w:cs="Arial" w:eastAsia="Arial" w:hAnsi="Arial"/>
                <w:sz w:val="16"/>
                <w:szCs w:val="16"/>
                <w:b w:val="1"/>
                <w:bCs w:val="1"/>
                <w:color w:val="auto"/>
              </w:rPr>
              <w:t>353.8</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309.8</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270.3</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271.1</w:t>
            </w:r>
          </w:p>
        </w:tc>
      </w:tr>
      <w:tr>
        <w:trPr>
          <w:trHeight w:val="20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Assets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1,388.2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1,381.0</w:t>
            </w:r>
          </w:p>
        </w:tc>
      </w:tr>
      <w:tr>
        <w:trPr>
          <w:trHeight w:val="219"/>
        </w:trPr>
        <w:tc>
          <w:tcPr>
            <w:tcW w:w="8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12,948.1</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12,589.1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3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236.0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200.0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189.6</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21.7</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162.0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101.5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64.3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12.9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19.2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112.4</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133.5</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1,023.2</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892.6</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3,933.5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3,931.5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848.1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824.5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62.8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65.7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1,456.2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1,461.0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453.4</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560.3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427.0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416.0</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171.7</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156.7</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7,352.7</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7,415.7</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2,737.6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2,737.6</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1,840.4</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1,558.1</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4,578.0</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4,295.7</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(5.8)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4,572.2</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4,280.8</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12,948.1</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12,589.1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0" w:type="dxa"/>
            <w:vAlign w:val="bottom"/>
            <w:gridSpan w:val="4"/>
          </w:tcPr>
          <w:p>
            <w:pPr>
              <w:jc w:val="center"/>
              <w:ind w:left="3479"/>
              <w:spacing w:after="0"/>
              <w:rPr>
                <w:sz w:val="20"/>
                <w:szCs w:val="20"/>
                <w:color w:val="auto"/>
              </w:rPr>
            </w:pPr>
            <w:r>
              <w:rPr>
                <w:rFonts w:ascii="Arial" w:cs="Arial" w:eastAsia="Arial" w:hAnsi="Arial"/>
                <w:sz w:val="16"/>
                <w:szCs w:val="16"/>
                <w:b w:val="1"/>
                <w:bCs w:val="1"/>
                <w:color w:val="auto"/>
              </w:rPr>
              <w:t>EVERGY KANSAS CENTRAL, INC.</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3"/>
          </w:tcPr>
          <w:p>
            <w:pPr>
              <w:jc w:val="center"/>
              <w:ind w:left="4259"/>
              <w:spacing w:after="0"/>
              <w:rPr>
                <w:sz w:val="20"/>
                <w:szCs w:val="20"/>
                <w:color w:val="auto"/>
              </w:rPr>
            </w:pPr>
            <w:r>
              <w:rPr>
                <w:rFonts w:ascii="Arial" w:cs="Arial" w:eastAsia="Arial" w:hAnsi="Arial"/>
                <w:sz w:val="16"/>
                <w:szCs w:val="16"/>
                <w:b w:val="1"/>
                <w:bCs w:val="1"/>
                <w:color w:val="auto"/>
                <w:w w:val="89"/>
              </w:rPr>
              <w:t>Consolidated Statements of Income</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680" w:type="dxa"/>
            <w:vAlign w:val="bottom"/>
            <w:gridSpan w:val="2"/>
          </w:tcPr>
          <w:p>
            <w:pPr>
              <w:jc w:val="center"/>
              <w:ind w:right="699"/>
              <w:spacing w:after="0"/>
              <w:rPr>
                <w:sz w:val="20"/>
                <w:szCs w:val="20"/>
                <w:color w:val="auto"/>
              </w:rPr>
            </w:pPr>
            <w:r>
              <w:rPr>
                <w:rFonts w:ascii="Arial" w:cs="Arial" w:eastAsia="Arial" w:hAnsi="Arial"/>
                <w:sz w:val="16"/>
                <w:szCs w:val="16"/>
                <w:color w:val="auto"/>
                <w:w w:val="93"/>
              </w:rPr>
              <w:t>(Unaudited)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68"/>
        </w:trPr>
        <w:tc>
          <w:tcPr>
            <w:tcW w:w="5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3"/>
          </w:tcPr>
          <w:p>
            <w:pPr>
              <w:jc w:val="right"/>
              <w:ind w:right="399"/>
              <w:spacing w:after="0" w:line="168" w:lineRule="exact"/>
              <w:rPr>
                <w:sz w:val="20"/>
                <w:szCs w:val="20"/>
                <w:color w:val="auto"/>
              </w:rPr>
            </w:pPr>
            <w:r>
              <w:rPr>
                <w:rFonts w:ascii="Arial" w:cs="Arial" w:eastAsia="Arial" w:hAnsi="Arial"/>
                <w:sz w:val="16"/>
                <w:szCs w:val="16"/>
                <w:b w:val="1"/>
                <w:bCs w:val="1"/>
                <w:color w:val="auto"/>
                <w:w w:val="94"/>
              </w:rPr>
              <w:t>Three Months Ended</w:t>
            </w:r>
          </w:p>
        </w:tc>
        <w:tc>
          <w:tcPr>
            <w:tcW w:w="36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720" w:type="dxa"/>
            <w:vAlign w:val="bottom"/>
          </w:tcPr>
          <w:p>
            <w:pPr>
              <w:spacing w:after="0"/>
              <w:rPr>
                <w:sz w:val="14"/>
                <w:szCs w:val="14"/>
                <w:color w:val="auto"/>
              </w:rPr>
            </w:pPr>
          </w:p>
        </w:tc>
      </w:tr>
      <w:tr>
        <w:trPr>
          <w:trHeight w:val="210"/>
        </w:trPr>
        <w:tc>
          <w:tcPr>
            <w:tcW w:w="5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200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29"/>
        </w:trPr>
        <w:tc>
          <w:tcPr>
            <w:tcW w:w="5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2020</w:t>
            </w:r>
          </w:p>
        </w:tc>
      </w:tr>
      <w:tr>
        <w:trPr>
          <w:trHeight w:val="186"/>
        </w:trPr>
        <w:tc>
          <w:tcPr>
            <w:tcW w:w="5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16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777.8</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733.6</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2,277.4</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1,864.5</w:t>
            </w:r>
          </w:p>
        </w:tc>
      </w:tr>
      <w:tr>
        <w:trPr>
          <w:trHeight w:val="193"/>
        </w:trPr>
        <w:tc>
          <w:tcPr>
            <w:tcW w:w="51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1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143.2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128.6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543.7</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329.9</w:t>
            </w: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73.6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66.1</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216.8</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197.8</w:t>
            </w: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126.9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387.9</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w:t>
            </w: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117.3</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113.4</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349.1</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339.0</w:t>
            </w: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11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50.9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47.4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153.2</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w:t>
            </w:r>
          </w:p>
        </w:tc>
      </w:tr>
      <w:tr>
        <w:trPr>
          <w:trHeight w:val="207"/>
        </w:trPr>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1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511.9</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492.9</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1,650.7</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1,388.1</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265.9</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240.7</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626.7</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476.4</w:t>
            </w:r>
          </w:p>
        </w:tc>
      </w:tr>
      <w:tr>
        <w:trPr>
          <w:trHeight w:val="193"/>
        </w:trPr>
        <w:tc>
          <w:tcPr>
            <w:tcW w:w="514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0.6</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5.6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23.2</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11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(26.2)</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07"/>
        </w:trPr>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Expense, Net</w:t>
            </w:r>
          </w:p>
        </w:tc>
        <w:tc>
          <w:tcPr>
            <w:tcW w:w="1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120.2</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127.7</w:t>
            </w: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222.2</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194.4</w:t>
            </w:r>
          </w:p>
        </w:tc>
        <w:tc>
          <w:tcPr>
            <w:tcW w:w="36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504.1</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336.5</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22.5</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45.7</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w:t>
            </w:r>
          </w:p>
        </w:tc>
      </w:tr>
      <w:tr>
        <w:trPr>
          <w:trHeight w:val="21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1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200.7</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173.1</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461.4</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r>
      <w:tr>
        <w:trPr>
          <w:trHeight w:val="21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1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19"/>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9"/>
              </w:rPr>
              <w:t>NET INCOME ATTRIBUTABLE TO EVERGY KANSAS CENTRAL, INC.</w:t>
            </w: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197.6</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170.1</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452.3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461.4</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349.1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17.8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18.5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(124.4)</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(74.9)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(55.7)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528.3</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649.8</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(605.4)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(494.2)</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(88.0)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82.9</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76.3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(545.7)</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184.0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(249.2)</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50.1</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(170.0)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7"/>
        </w:trPr>
        <w:tc>
          <w:tcPr>
            <w:tcW w:w="8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0.1</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w:t>
            </w:r>
          </w:p>
        </w:tc>
      </w:tr>
      <w:tr>
        <w:trPr>
          <w:trHeight w:val="212"/>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28.7</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8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right"/>
              <w:ind w:right="67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4,205.0</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6"/>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1,486.4</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4,200.2</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4,102.6</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4,275.7</w:t>
            </w: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4,280.8</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4,572.2</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r>
      <w:tr>
        <w:trPr>
          <w:trHeight w:val="210"/>
        </w:trPr>
        <w:tc>
          <w:tcPr>
            <w:tcW w:w="8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38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71.6</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Receivables, net of allowance for credit losses of $8.0 and $8.1, respectively</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82.3</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45.0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party receivables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368.6</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225.6</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Accounts receivable pledged as collateral</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130.0</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130.0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inventory and supplies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195.5</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170.4</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43.0</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3.2</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88.3</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82.0</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23.2</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22.9</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18.7</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14.2</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953.2</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764.9</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7,337.4</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7,141.2</w:t>
            </w:r>
          </w:p>
        </w:tc>
      </w:tr>
      <w:tr>
        <w:trPr>
          <w:trHeight w:val="206"/>
        </w:trPr>
        <w:tc>
          <w:tcPr>
            <w:tcW w:w="8380" w:type="dxa"/>
            <w:vAlign w:val="bottom"/>
          </w:tcPr>
          <w:p>
            <w:pPr>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422.1</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533.5</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Nuclear decommissioning trust fund</w:t>
            </w:r>
          </w:p>
        </w:tc>
        <w:tc>
          <w:tcPr>
            <w:tcW w:w="36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6"/>
                <w:szCs w:val="16"/>
                <w:b w:val="1"/>
                <w:bCs w:val="1"/>
                <w:color w:val="auto"/>
              </w:rPr>
              <w:t>378.2</w:t>
            </w:r>
          </w:p>
        </w:tc>
        <w:tc>
          <w:tcPr>
            <w:tcW w:w="46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342.3</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134.6</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133.9</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934.9</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1,009.7</w:t>
            </w:r>
          </w:p>
        </w:tc>
      </w:tr>
      <w:tr>
        <w:trPr>
          <w:trHeight w:val="219"/>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9,225.5</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8,915.8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Pr>
          <w:p>
            <w:pPr>
              <w:spacing w:after="0"/>
              <w:rPr>
                <w:sz w:val="18"/>
                <w:szCs w:val="18"/>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color w:val="auto"/>
                <w:w w:val="96"/>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6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130.0</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202.8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104.9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34.9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37.1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57.2</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12.1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31.7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44.4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43.0</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37.3</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620.3</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586.0</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2,924.5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2,923.0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605.5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558.8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117.4</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118.5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940.6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899.4</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510.9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565.1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359.6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357.7</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134.4</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148.1</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5,592.9</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5,570.6</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60" w:type="dxa"/>
            <w:vAlign w:val="bottom"/>
          </w:tcPr>
          <w:p>
            <w:pPr>
              <w:spacing w:after="0"/>
              <w:rPr>
                <w:sz w:val="18"/>
                <w:szCs w:val="18"/>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b w:val="1"/>
                <w:bCs w:val="1"/>
                <w:color w:val="auto"/>
              </w:rPr>
              <w:t>1,563.1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1,563.1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1,444.8</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1,191.5</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4.4</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4.6</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3,012.3</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2,759.2</w:t>
            </w:r>
          </w:p>
        </w:tc>
      </w:tr>
      <w:tr>
        <w:trPr>
          <w:trHeight w:val="217"/>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9,225.5</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8,915.8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420" w:type="dxa"/>
            <w:vAlign w:val="bottom"/>
            <w:gridSpan w:val="2"/>
          </w:tcPr>
          <w:p>
            <w:pPr>
              <w:jc w:val="center"/>
              <w:ind w:left="1059"/>
              <w:spacing w:after="0"/>
              <w:rPr>
                <w:sz w:val="20"/>
                <w:szCs w:val="20"/>
                <w:color w:val="auto"/>
              </w:rPr>
            </w:pPr>
            <w:r>
              <w:rPr>
                <w:rFonts w:ascii="Arial" w:cs="Arial" w:eastAsia="Arial" w:hAnsi="Arial"/>
                <w:sz w:val="16"/>
                <w:szCs w:val="16"/>
                <w:b w:val="1"/>
                <w:bCs w:val="1"/>
                <w:color w:val="auto"/>
              </w:rPr>
              <w:t>EVERGY METRO, INC.</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430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w w:val="89"/>
              </w:rPr>
              <w:t>Consolidated Statements of Comprehensive Income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3420" w:type="dxa"/>
            <w:vAlign w:val="bottom"/>
            <w:gridSpan w:val="2"/>
          </w:tcPr>
          <w:p>
            <w:pPr>
              <w:jc w:val="center"/>
              <w:ind w:left="1079"/>
              <w:spacing w:after="0"/>
              <w:rPr>
                <w:sz w:val="20"/>
                <w:szCs w:val="20"/>
                <w:color w:val="auto"/>
              </w:rPr>
            </w:pPr>
            <w:r>
              <w:rPr>
                <w:rFonts w:ascii="Arial" w:cs="Arial" w:eastAsia="Arial" w:hAnsi="Arial"/>
                <w:sz w:val="16"/>
                <w:szCs w:val="16"/>
                <w:color w:val="auto"/>
                <w:w w:val="93"/>
              </w:rPr>
              <w:t>(Unaudited)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68"/>
        </w:trPr>
        <w:tc>
          <w:tcPr>
            <w:tcW w:w="3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jc w:val="right"/>
              <w:ind w:right="399"/>
              <w:spacing w:after="0" w:line="168" w:lineRule="exact"/>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720" w:type="dxa"/>
            <w:vAlign w:val="bottom"/>
          </w:tcPr>
          <w:p>
            <w:pPr>
              <w:spacing w:after="0"/>
              <w:rPr>
                <w:sz w:val="14"/>
                <w:szCs w:val="14"/>
                <w:color w:val="auto"/>
              </w:rPr>
            </w:pPr>
          </w:p>
        </w:tc>
      </w:tr>
      <w:tr>
        <w:trPr>
          <w:trHeight w:val="210"/>
        </w:trPr>
        <w:tc>
          <w:tcPr>
            <w:tcW w:w="3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Pr>
          <w:p>
            <w:pPr>
              <w:spacing w:after="0"/>
              <w:rPr>
                <w:sz w:val="18"/>
                <w:szCs w:val="18"/>
                <w:color w:val="auto"/>
              </w:rPr>
            </w:pPr>
          </w:p>
        </w:tc>
        <w:tc>
          <w:tcPr>
            <w:tcW w:w="200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229"/>
        </w:trPr>
        <w:tc>
          <w:tcPr>
            <w:tcW w:w="3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2020</w:t>
            </w:r>
          </w:p>
        </w:tc>
      </w:tr>
      <w:tr>
        <w:trPr>
          <w:trHeight w:val="186"/>
        </w:trPr>
        <w:tc>
          <w:tcPr>
            <w:tcW w:w="3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3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571.8</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528.5</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1,526.7</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1,328.3</w:t>
            </w:r>
          </w:p>
        </w:tc>
      </w:tr>
      <w:tr>
        <w:trPr>
          <w:trHeight w:val="207"/>
        </w:trPr>
        <w:tc>
          <w:tcPr>
            <w:tcW w:w="3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19"/>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133.2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112.2</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489.3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w:t>
            </w:r>
          </w:p>
        </w:tc>
      </w:tr>
      <w:tr>
        <w:trPr>
          <w:trHeight w:val="213"/>
        </w:trPr>
        <w:tc>
          <w:tcPr>
            <w:tcW w:w="330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87.0</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101.3</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262.1</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305.7</w:t>
            </w:r>
          </w:p>
        </w:tc>
      </w:tr>
      <w:tr>
        <w:trPr>
          <w:trHeight w:val="219"/>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81.5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238.3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r>
      <w:tr>
        <w:trPr>
          <w:trHeight w:val="213"/>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other than income tax</w:t>
            </w:r>
          </w:p>
        </w:tc>
        <w:tc>
          <w:tcPr>
            <w:tcW w:w="3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32.6</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97.2</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212"/>
        </w:trPr>
        <w:tc>
          <w:tcPr>
            <w:tcW w:w="3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30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334.3</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324.1</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1,086.9</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947.7</w:t>
            </w:r>
          </w:p>
        </w:tc>
      </w:tr>
      <w:tr>
        <w:trPr>
          <w:trHeight w:val="20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OPERATIONS</w:t>
            </w:r>
          </w:p>
        </w:tc>
        <w:tc>
          <w:tcPr>
            <w:tcW w:w="30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237.5</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204.4</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439.8</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380.6</w:t>
            </w:r>
          </w:p>
        </w:tc>
      </w:tr>
      <w:tr>
        <w:trPr>
          <w:trHeight w:val="19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3"/>
        </w:trPr>
        <w:tc>
          <w:tcPr>
            <w:tcW w:w="330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0.1</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12.1</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3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(21.8)</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r>
      <w:tr>
        <w:trPr>
          <w:trHeight w:val="212"/>
        </w:trPr>
        <w:tc>
          <w:tcPr>
            <w:tcW w:w="3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Expense, Net</w:t>
            </w:r>
          </w:p>
        </w:tc>
        <w:tc>
          <w:tcPr>
            <w:tcW w:w="30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30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27.8</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29.2</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83.2</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208.2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172.8</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347.0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r>
      <w:tr>
        <w:trPr>
          <w:trHeight w:val="21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26.5</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43.7</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9"/>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181.7</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147.7</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303.3</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181.7</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147.7</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303.3</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3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(0.2)</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3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30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(0.2)</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loss</w:t>
            </w:r>
          </w:p>
        </w:tc>
        <w:tc>
          <w:tcPr>
            <w:tcW w:w="30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(0.2)</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(0.2)</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181.5</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147.5</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303.1</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September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303.3</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238.3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17.9</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16.6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(25.1)</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(14.2)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30.2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51.9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45.2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595.3</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(474.4)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(384.9)</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12.4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(614.9)</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(466.2)</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(50.0)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(48.4)</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(68.0)</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71.6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5340" w:type="dxa"/>
        <w:tblCellMar>
          <w:top w:w="0" w:type="dxa"/>
          <w:left w:w="0" w:type="dxa"/>
          <w:bottom w:w="0" w:type="dxa"/>
          <w:right w:w="0" w:type="dxa"/>
        </w:tblCellMar>
      </w:tblPr>
      <w:tr>
        <w:trPr>
          <w:trHeight w:val="184"/>
        </w:trPr>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Common stock</w:t>
            </w:r>
          </w:p>
        </w:tc>
        <w:tc>
          <w:tcPr>
            <w:tcW w:w="1300" w:type="dxa"/>
            <w:vAlign w:val="bottom"/>
          </w:tcPr>
          <w:p>
            <w:pPr>
              <w:spacing w:after="0"/>
              <w:rPr>
                <w:sz w:val="16"/>
                <w:szCs w:val="16"/>
                <w:color w:val="auto"/>
              </w:rPr>
            </w:pPr>
          </w:p>
        </w:tc>
        <w:tc>
          <w:tcPr>
            <w:tcW w:w="94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Retained</w:t>
            </w:r>
          </w:p>
        </w:tc>
        <w:tc>
          <w:tcPr>
            <w:tcW w:w="2380" w:type="dxa"/>
            <w:vAlign w:val="bottom"/>
          </w:tcPr>
          <w:p>
            <w:pPr>
              <w:ind w:left="340"/>
              <w:spacing w:after="0"/>
              <w:rPr>
                <w:sz w:val="20"/>
                <w:szCs w:val="20"/>
                <w:color w:val="auto"/>
              </w:rPr>
            </w:pPr>
            <w:r>
              <w:rPr>
                <w:rFonts w:ascii="Arial" w:cs="Arial" w:eastAsia="Arial" w:hAnsi="Arial"/>
                <w:sz w:val="16"/>
                <w:szCs w:val="16"/>
                <w:b w:val="1"/>
                <w:bCs w:val="1"/>
                <w:color w:val="auto"/>
              </w:rPr>
              <w:t>AOCI - Net</w:t>
            </w:r>
          </w:p>
        </w:tc>
        <w:tc>
          <w:tcPr>
            <w:tcW w:w="0" w:type="dxa"/>
            <w:vAlign w:val="bottom"/>
          </w:tcPr>
          <w:p>
            <w:pPr>
              <w:spacing w:after="0"/>
              <w:rPr>
                <w:sz w:val="1"/>
                <w:szCs w:val="1"/>
                <w:color w:val="auto"/>
              </w:rPr>
            </w:pPr>
          </w:p>
        </w:tc>
      </w:tr>
      <w:tr>
        <w:trPr>
          <w:trHeight w:val="162"/>
        </w:trPr>
        <w:tc>
          <w:tcPr>
            <w:tcW w:w="1100" w:type="dxa"/>
            <w:vAlign w:val="bottom"/>
            <w:vMerge w:val="continue"/>
          </w:tcPr>
          <w:p>
            <w:pPr>
              <w:spacing w:after="0"/>
              <w:rPr>
                <w:sz w:val="14"/>
                <w:szCs w:val="14"/>
                <w:color w:val="auto"/>
              </w:rPr>
            </w:pPr>
          </w:p>
        </w:tc>
        <w:tc>
          <w:tcPr>
            <w:tcW w:w="13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Common Stock</w:t>
            </w:r>
          </w:p>
        </w:tc>
        <w:tc>
          <w:tcPr>
            <w:tcW w:w="940" w:type="dxa"/>
            <w:vAlign w:val="bottom"/>
            <w:vMerge w:val="continue"/>
          </w:tcPr>
          <w:p>
            <w:pPr>
              <w:spacing w:after="0"/>
              <w:rPr>
                <w:sz w:val="14"/>
                <w:szCs w:val="14"/>
                <w:color w:val="auto"/>
              </w:rPr>
            </w:pPr>
          </w:p>
        </w:tc>
        <w:tc>
          <w:tcPr>
            <w:tcW w:w="2380" w:type="dxa"/>
            <w:vAlign w:val="bottom"/>
          </w:tcPr>
          <w:p>
            <w:pPr>
              <w:ind w:left="180"/>
              <w:spacing w:after="0" w:line="162" w:lineRule="exact"/>
              <w:rPr>
                <w:sz w:val="20"/>
                <w:szCs w:val="20"/>
                <w:color w:val="auto"/>
              </w:rPr>
            </w:pPr>
            <w:r>
              <w:rPr>
                <w:rFonts w:ascii="Arial" w:cs="Arial" w:eastAsia="Arial" w:hAnsi="Arial"/>
                <w:sz w:val="16"/>
                <w:szCs w:val="16"/>
                <w:b w:val="1"/>
                <w:bCs w:val="1"/>
                <w:color w:val="auto"/>
              </w:rPr>
              <w:t>gains (losses) on</w:t>
            </w:r>
          </w:p>
        </w:tc>
        <w:tc>
          <w:tcPr>
            <w:tcW w:w="0" w:type="dxa"/>
            <w:vAlign w:val="bottom"/>
          </w:tcPr>
          <w:p>
            <w:pPr>
              <w:spacing w:after="0"/>
              <w:rPr>
                <w:sz w:val="1"/>
                <w:szCs w:val="1"/>
                <w:color w:val="auto"/>
              </w:rPr>
            </w:pPr>
          </w:p>
        </w:tc>
      </w:tr>
      <w:tr>
        <w:trPr>
          <w:trHeight w:val="210"/>
        </w:trPr>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85"/>
              </w:rPr>
              <w:t>shares</w:t>
            </w:r>
          </w:p>
        </w:tc>
        <w:tc>
          <w:tcPr>
            <w:tcW w:w="1300" w:type="dxa"/>
            <w:vAlign w:val="bottom"/>
            <w:vMerge w:val="continue"/>
          </w:tcPr>
          <w:p>
            <w:pPr>
              <w:spacing w:after="0"/>
              <w:rPr>
                <w:sz w:val="18"/>
                <w:szCs w:val="18"/>
                <w:color w:val="auto"/>
              </w:rPr>
            </w:pPr>
          </w:p>
        </w:tc>
        <w:tc>
          <w:tcPr>
            <w:tcW w:w="940" w:type="dxa"/>
            <w:vAlign w:val="bottom"/>
          </w:tcPr>
          <w:p>
            <w:pPr>
              <w:ind w:left="180"/>
              <w:spacing w:after="0"/>
              <w:rPr>
                <w:sz w:val="20"/>
                <w:szCs w:val="20"/>
                <w:color w:val="auto"/>
              </w:rPr>
            </w:pPr>
            <w:r>
              <w:rPr>
                <w:rFonts w:ascii="Arial" w:cs="Arial" w:eastAsia="Arial" w:hAnsi="Arial"/>
                <w:sz w:val="16"/>
                <w:szCs w:val="16"/>
                <w:b w:val="1"/>
                <w:bCs w:val="1"/>
                <w:color w:val="auto"/>
              </w:rPr>
              <w:t>earnings</w:t>
            </w:r>
          </w:p>
        </w:tc>
        <w:tc>
          <w:tcPr>
            <w:tcW w:w="2380" w:type="dxa"/>
            <w:vAlign w:val="bottom"/>
          </w:tcPr>
          <w:p>
            <w:pPr>
              <w:ind w:left="160"/>
              <w:spacing w:after="0"/>
              <w:rPr>
                <w:sz w:val="20"/>
                <w:szCs w:val="20"/>
                <w:color w:val="auto"/>
              </w:rPr>
            </w:pPr>
            <w:r>
              <w:rPr>
                <w:rFonts w:ascii="Arial" w:cs="Arial" w:eastAsia="Arial" w:hAnsi="Arial"/>
                <w:sz w:val="16"/>
                <w:szCs w:val="16"/>
                <w:b w:val="1"/>
                <w:bCs w:val="1"/>
                <w:color w:val="auto"/>
                <w:w w:val="92"/>
              </w:rPr>
              <w:t>cash flow hedges   Total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70980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(millions, except share amounts)</w:t>
      </w:r>
    </w:p>
    <w:p>
      <w:pPr>
        <w:sectPr>
          <w:pgSz w:w="11900" w:h="16838" w:orient="portrait"/>
          <w:cols w:equalWidth="0" w:num="1">
            <w:col w:w="11220"/>
          </w:cols>
          <w:pgMar w:left="320" w:top="121" w:right="359" w:bottom="1440" w:gutter="0" w:footer="0" w:header="0"/>
        </w:sectPr>
      </w:pPr>
    </w:p>
    <w:p>
      <w:pPr>
        <w:spacing w:after="0" w:line="3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Balance as of December 31, 2019</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Dividends declared on common stock</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Derivative hedging activity, net of tax</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as of March 31, 2020</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Dividends declared on common stock</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Derivative hedging activity, net of tax</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as of June 30, 2020</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Derivative hedging activity, net of tax</w:t>
      </w:r>
    </w:p>
    <w:p>
      <w:pPr>
        <w:spacing w:after="0" w:line="65"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Balance as of September 30, 2020</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1,012.8</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2,580.7</w:t>
            </w: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25.6</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978.4</w:t>
            </w: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2,546.2</w:t>
            </w: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102.9</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07"/>
        </w:trPr>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1,061.3</w:t>
            </w: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2,629.3</w:t>
            </w:r>
          </w:p>
        </w:tc>
      </w:tr>
      <w:tr>
        <w:trPr>
          <w:trHeight w:val="216"/>
        </w:trPr>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147.7</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147.7</w:t>
            </w:r>
          </w:p>
        </w:tc>
      </w:tr>
      <w:tr>
        <w:trPr>
          <w:trHeight w:val="219"/>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07"/>
        </w:trPr>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1,209.0</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2,776.8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-3329940</wp:posOffset>
            </wp:positionH>
            <wp:positionV relativeFrom="paragraph">
              <wp:posOffset>-1667510</wp:posOffset>
            </wp:positionV>
            <wp:extent cx="709803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-1393190</wp:posOffset>
            </wp:positionV>
            <wp:extent cx="709803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-1118870</wp:posOffset>
            </wp:positionV>
            <wp:extent cx="709803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-835660</wp:posOffset>
            </wp:positionV>
            <wp:extent cx="709803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98030" cy="137160"/>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-561340</wp:posOffset>
            </wp:positionV>
            <wp:extent cx="709803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-278765</wp:posOffset>
            </wp:positionV>
            <wp:extent cx="709803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9803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60" w:space="720"/>
            <w:col w:w="5940"/>
          </w:cols>
          <w:pgMar w:left="320" w:top="121" w:right="359" w:bottom="1440" w:gutter="0" w:footer="0" w:header="0"/>
          <w:type w:val="continuous"/>
        </w:sectPr>
      </w:pPr>
    </w:p>
    <w:tbl>
      <w:tblPr>
        <w:tblLayout w:type="fixed"/>
        <w:tblInd w:w="40" w:type="dxa"/>
        <w:tblCellMar>
          <w:top w:w="0" w:type="dxa"/>
          <w:left w:w="0" w:type="dxa"/>
          <w:bottom w:w="0" w:type="dxa"/>
          <w:right w:w="0" w:type="dxa"/>
        </w:tblCellMar>
      </w:tblPr>
      <w:tr>
        <w:trPr>
          <w:trHeight w:val="215"/>
        </w:trPr>
        <w:tc>
          <w:tcPr>
            <w:tcW w:w="5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1,191.5</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2,759.2</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1,225.0</w:t>
            </w: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2,792.7</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1,313.1</w:t>
            </w:r>
          </w:p>
        </w:tc>
        <w:tc>
          <w:tcPr>
            <w:tcW w:w="5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2,880.8</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Dividends declared on common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1,444.8</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3,012.3</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rPr>
          <w:sz w:val="20"/>
          <w:szCs w:val="20"/>
          <w:color w:val="auto"/>
        </w:rPr>
      </w:pPr>
      <w:r>
        <w:rPr>
          <w:rFonts w:ascii="Arial" w:cs="Arial" w:eastAsia="Arial" w:hAnsi="Arial"/>
          <w:sz w:val="20"/>
          <w:szCs w:val="20"/>
          <w:b w:val="1"/>
          <w:bCs w:val="1"/>
          <w:color w:val="auto"/>
        </w:rPr>
        <w:t>EVERGY METRO, INC.</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91" w:lineRule="exact"/>
        <w:rPr>
          <w:sz w:val="20"/>
          <w:szCs w:val="20"/>
          <w:color w:val="auto"/>
        </w:rPr>
      </w:pPr>
    </w:p>
    <w:p>
      <w:pPr>
        <w:ind w:left="660" w:right="100" w:hanging="328"/>
        <w:spacing w:after="0" w:line="25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7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6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8"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purchased power agreements and engage in the generation, transmission, distribution and sale of electricity to approximately 1.6 million customers in the states of Kansas and Missouri.</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2020 Form 10-K.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 w:lineRule="exact"/>
        <w:rPr>
          <w:sz w:val="20"/>
          <w:szCs w:val="20"/>
          <w:color w:val="auto"/>
        </w:rPr>
      </w:pPr>
    </w:p>
    <w:p>
      <w:pPr>
        <w:ind w:right="220"/>
        <w:spacing w:after="0" w:line="257" w:lineRule="auto"/>
        <w:rPr>
          <w:sz w:val="20"/>
          <w:szCs w:val="20"/>
          <w:color w:val="auto"/>
        </w:rPr>
      </w:pPr>
      <w:r>
        <w:rPr>
          <w:rFonts w:ascii="Arial" w:cs="Arial" w:eastAsia="Arial" w:hAnsi="Arial"/>
          <w:sz w:val="19"/>
          <w:szCs w:val="19"/>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2" w:lineRule="exact"/>
        <w:rPr>
          <w:sz w:val="20"/>
          <w:szCs w:val="20"/>
          <w:color w:val="auto"/>
        </w:rPr>
      </w:pPr>
    </w:p>
    <w:p>
      <w:pPr>
        <w:ind w:right="740"/>
        <w:spacing w:after="0" w:line="244"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11"/>
              <w:spacing w:after="0" w:line="202" w:lineRule="exact"/>
              <w:rPr>
                <w:sz w:val="20"/>
                <w:szCs w:val="20"/>
                <w:color w:val="auto"/>
              </w:rPr>
            </w:pPr>
            <w:r>
              <w:rPr>
                <w:rFonts w:ascii="Arial" w:cs="Arial" w:eastAsia="Arial" w:hAnsi="Arial"/>
                <w:sz w:val="18"/>
                <w:szCs w:val="18"/>
                <w:b w:val="1"/>
                <w:bCs w:val="1"/>
                <w:color w:val="auto"/>
                <w:w w:val="94"/>
              </w:rPr>
              <w:t>September 30</w:t>
            </w: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30"/>
        </w:trPr>
        <w:tc>
          <w:tcPr>
            <w:tcW w:w="7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420" w:type="dxa"/>
            <w:vAlign w:val="bottom"/>
          </w:tcPr>
          <w:p>
            <w:pPr>
              <w:spacing w:after="0"/>
              <w:rPr>
                <w:sz w:val="19"/>
                <w:szCs w:val="19"/>
                <w:color w:val="auto"/>
              </w:rPr>
            </w:pPr>
          </w:p>
        </w:tc>
        <w:tc>
          <w:tcPr>
            <w:tcW w:w="210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144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150.3</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394.7</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r>
      <w:tr>
        <w:trPr>
          <w:trHeight w:val="223"/>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545.0</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74.4</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205.4</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23"/>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279.8</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52.7</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142.8</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195.5</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September 30, 2021</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6"/>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29,964.3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14,522.1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11,579.2</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(11,462.2)</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(5,524.7)</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(4,724.9)</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19,226.4</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9,721.7</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6,854.3</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1,253.2</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631.2</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421.2</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123.4</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61.5</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61.9</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20,603.9</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10,415.3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7,337.4</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28,914.8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14,095.1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11,161.8</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(10,998.4)</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(5,293.5)</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(4,532.7)</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18,640.7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9,525.9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6,629.1</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1,153.5</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589.1</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433.9</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155.9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77.7</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78.2</w:t>
            </w: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19,951.0</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10,193.6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7,141.2</w:t>
            </w:r>
          </w:p>
        </w:tc>
      </w:tr>
    </w:tbl>
    <w:p>
      <w:pPr>
        <w:spacing w:after="0" w:line="85" w:lineRule="exact"/>
        <w:rPr>
          <w:sz w:val="20"/>
          <w:szCs w:val="20"/>
          <w:color w:val="auto"/>
        </w:rPr>
      </w:pPr>
    </w:p>
    <w:p>
      <w:pPr>
        <w:ind w:left="180" w:right="220" w:hanging="172"/>
        <w:spacing w:after="0" w:line="235" w:lineRule="auto"/>
        <w:tabs>
          <w:tab w:leader="none" w:pos="175"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As of September 30, 2021 and December 31, 2020, represents the planned retirement of Evergy Kansas Central analog meters prior to the end of their remaining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3"/>
          </w:tcPr>
          <w:p>
            <w:pPr>
              <w:jc w:val="right"/>
              <w:ind w:right="491"/>
              <w:spacing w:after="0" w:line="202" w:lineRule="exact"/>
              <w:rPr>
                <w:sz w:val="20"/>
                <w:szCs w:val="20"/>
                <w:color w:val="auto"/>
              </w:rPr>
            </w:pPr>
            <w:r>
              <w:rPr>
                <w:rFonts w:ascii="Arial" w:cs="Arial" w:eastAsia="Arial" w:hAnsi="Arial"/>
                <w:sz w:val="18"/>
                <w:szCs w:val="18"/>
                <w:b w:val="1"/>
                <w:bCs w:val="1"/>
                <w:color w:val="auto"/>
              </w:rPr>
              <w:t>Three Months Ended</w:t>
            </w: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25"/>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3"/>
          </w:tcPr>
          <w:p>
            <w:pPr>
              <w:jc w:val="right"/>
              <w:ind w:right="771"/>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19"/>
                <w:szCs w:val="19"/>
                <w:color w:val="auto"/>
              </w:rPr>
            </w:pPr>
          </w:p>
        </w:tc>
        <w:tc>
          <w:tcPr>
            <w:tcW w:w="22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(41.4)</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(17.5)</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2"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performance shares, restricted stock and a warrant. Evergy computes the dilutive effects of potential issuances of common shares using the treasury stock method or the contingently issuable share method, as applicable.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411"/>
              <w:spacing w:after="0" w:line="202"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00" w:type="dxa"/>
            <w:vAlign w:val="bottom"/>
            <w:tcBorders>
              <w:top w:val="single" w:sz="8" w:color="auto"/>
            </w:tcBorders>
          </w:tcPr>
          <w:p>
            <w:pPr>
              <w:spacing w:after="0"/>
              <w:rPr>
                <w:sz w:val="17"/>
                <w:szCs w:val="17"/>
                <w:color w:val="auto"/>
              </w:rPr>
            </w:pPr>
          </w:p>
        </w:tc>
      </w:tr>
      <w:tr>
        <w:trPr>
          <w:trHeight w:val="225"/>
        </w:trPr>
        <w:tc>
          <w:tcPr>
            <w:tcW w:w="5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tcPr>
          <w:p>
            <w:pPr>
              <w:jc w:val="right"/>
              <w:ind w:right="711"/>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9"/>
                <w:szCs w:val="19"/>
                <w:color w:val="auto"/>
              </w:rPr>
            </w:pPr>
          </w:p>
        </w:tc>
        <w:tc>
          <w:tcPr>
            <w:tcW w:w="230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3"/>
          </w:tcPr>
          <w:p>
            <w:pPr>
              <w:jc w:val="right"/>
              <w:ind w:right="70"/>
              <w:spacing w:after="0"/>
              <w:rPr>
                <w:sz w:val="20"/>
                <w:szCs w:val="20"/>
                <w:color w:val="auto"/>
              </w:rPr>
            </w:pPr>
            <w:r>
              <w:rPr>
                <w:rFonts w:ascii="Arial" w:cs="Arial" w:eastAsia="Arial" w:hAnsi="Arial"/>
                <w:sz w:val="16"/>
                <w:szCs w:val="16"/>
                <w:color w:val="auto"/>
                <w:w w:val="90"/>
              </w:rPr>
              <w:t>(millions, except per share amounts)</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367.5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835.4</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r>
      <w:tr>
        <w:trPr>
          <w:trHeight w:val="22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449.4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364.5</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826.3</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229.7</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227.3</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228.8</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r>
      <w:tr>
        <w:trPr>
          <w:trHeight w:val="22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dilutive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230.2</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227.5</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229.3</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Basic EPS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3.61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7"/>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bl>
    <w:p>
      <w:pPr>
        <w:spacing w:after="0" w:line="294"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There were no anti-dilutive shares excluded from the computation of diluted EPS for the three months ended and year to date September 30, 2021. Anti-dilutive shares excluded from the computation of diluted EPS for the three months ended and year to date September 30, 2020, were 124,136 RSUs with performance measures.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2" w:lineRule="exact"/>
        <w:rPr>
          <w:sz w:val="20"/>
          <w:szCs w:val="20"/>
          <w:color w:val="auto"/>
        </w:rPr>
      </w:pPr>
    </w:p>
    <w:p>
      <w:pPr>
        <w:ind w:right="380"/>
        <w:spacing w:after="0" w:line="269" w:lineRule="auto"/>
        <w:rPr>
          <w:sz w:val="20"/>
          <w:szCs w:val="20"/>
          <w:color w:val="auto"/>
        </w:rPr>
      </w:pPr>
      <w:r>
        <w:rPr>
          <w:rFonts w:ascii="Arial" w:cs="Arial" w:eastAsia="Arial" w:hAnsi="Arial"/>
          <w:sz w:val="19"/>
          <w:szCs w:val="19"/>
          <w:color w:val="auto"/>
        </w:rPr>
        <w:t>In November 2021, Evergy's Board of Directors (Evergy Board) declared a quarterly dividend of $0.5725 per share on Evergy's common stock. The common dividend is payable on December 20, 2021, to shareholders of record as of November 19, 2021.</w:t>
      </w:r>
    </w:p>
    <w:p>
      <w:pPr>
        <w:spacing w:after="0" w:line="169"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In November 2021, Evergy Kansas Central's Board of Directors declared a cash dividend to Evergy of up to $70.0 million, payable on December 17,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20" w:type="dxa"/>
            <w:vAlign w:val="bottom"/>
          </w:tcPr>
          <w:p>
            <w:pPr>
              <w:spacing w:after="0"/>
              <w:rPr>
                <w:sz w:val="19"/>
                <w:szCs w:val="19"/>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257.0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r>
      <w:tr>
        <w:trPr>
          <w:trHeight w:val="230"/>
        </w:trPr>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2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184.8</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Non-cash financing transactions:</w:t>
            </w:r>
          </w:p>
        </w:tc>
        <w:tc>
          <w:tcPr>
            <w:tcW w:w="1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6"/>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Issuance of stock for compensation and reinvested dividends</w:t>
            </w:r>
          </w:p>
        </w:tc>
        <w:tc>
          <w:tcPr>
            <w:tcW w:w="18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105.8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64.6</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20" w:type="dxa"/>
            <w:vAlign w:val="bottom"/>
          </w:tcPr>
          <w:p>
            <w:pPr>
              <w:spacing w:after="0"/>
              <w:rPr>
                <w:sz w:val="20"/>
                <w:szCs w:val="20"/>
                <w:color w:val="auto"/>
              </w:rPr>
            </w:pPr>
          </w:p>
        </w:tc>
      </w:tr>
      <w:tr>
        <w:trPr>
          <w:trHeight w:val="453"/>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73.3</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66.8</w:t>
            </w:r>
          </w:p>
        </w:tc>
        <w:tc>
          <w:tcPr>
            <w:tcW w:w="4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75.2</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0" w:type="dxa"/>
            <w:vAlign w:val="bottom"/>
            <w:tcBorders>
              <w:bottom w:val="single" w:sz="8" w:color="auto"/>
            </w:tcBorders>
          </w:tcPr>
          <w:p>
            <w:pPr>
              <w:spacing w:after="0"/>
              <w:rPr>
                <w:sz w:val="20"/>
                <w:szCs w:val="20"/>
                <w:color w:val="auto"/>
              </w:rPr>
            </w:pPr>
          </w:p>
        </w:tc>
      </w:tr>
    </w:tbl>
    <w:p>
      <w:pPr>
        <w:spacing w:after="0" w:line="280" w:lineRule="exact"/>
        <w:rPr>
          <w:sz w:val="20"/>
          <w:szCs w:val="20"/>
          <w:color w:val="auto"/>
        </w:rPr>
      </w:pPr>
    </w:p>
    <w:p>
      <w:pPr>
        <w:ind w:right="160"/>
        <w:spacing w:after="0" w:line="269" w:lineRule="auto"/>
        <w:rPr>
          <w:sz w:val="20"/>
          <w:szCs w:val="20"/>
          <w:color w:val="auto"/>
        </w:rPr>
      </w:pPr>
      <w:r>
        <w:rPr>
          <w:rFonts w:ascii="Arial" w:cs="Arial" w:eastAsia="Arial" w:hAnsi="Arial"/>
          <w:sz w:val="19"/>
          <w:szCs w:val="19"/>
          <w:color w:val="auto"/>
        </w:rPr>
        <w:t>Non-cash property, plant and equipment additions year to date September 30, 2020 for Evergy, Evergy Kansas Central and Evergy Metro include non-cash additions of $259.1 million, $140.7 million and $118.4 million, respectively, related to the revision in estimate of the Wolf Creek Generating Station (Wolf Creek) asset retirement obligation (ARO) liability in the third quarter of 2020.</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2"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 The February 2021 winter weather event resulted in an increase in the demand for natural gas used by the Evergy Companies for generating electricity and also contributed to the limited availability of other generation resources, including coal and renewables, within the SPP Integrated Marketplace. The Evergy Companies are members of the SPP and, as a result, principally sell and purchase power for the Evergy Companies' retail electric customers through the SPP Integrated Marketplace. These circumstances resulted in higher than normal market prices for both natural gas and power for the duration of the February 2021 winter weather event. These higher than normal market prices also included make-whole payments calculated by the SPP to compensate natural gas generators within the SPP Integrated Marketplace for costs incurred in excess of revenues. As part of the February 2021 winter weather event and inclusive of the aforementioned items, Evergy incurred natural gas and purchased power costs, net of wholesale revenues, of $349.7 million. This $349.7 million of net fuel and purchased power costs was primarily driven by $293.4 million of costs at Evergy Missouri West and $127.9 million of costs at Evergy Kansas Central, partially offset by $71.6 million of net wholesale revenues at Evergy Metro. The amount of purchased power costs incurred by the Evergy Companies during the February 2021 winter weather event is subject to resettlement activity and further review by the SPP. This review and any subsequent resettlement activity could result in increases or decreases to the final amount of purchased power costs incurred by the Evergy Companies during the February 2021 winter weather event and these changes could be material.</w:t>
      </w:r>
    </w:p>
    <w:p>
      <w:pPr>
        <w:spacing w:after="0" w:line="380"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Evergy Companies have fuel recovery mechanisms in their Kansas and Missouri jurisdictions, as applicable, that allow them to defer substantially all of any increased fuel and purchased power costs, net of wholesale revenues, to a regulatory asset or liability for future recovery from or refund to customers. Further, in February 2021, the State Corporation Commission of the State of Kansas (KCC) issued an emergency Accounting Authority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Order (AAO) that allowed Evergy Kansas Central and Evergy Metro's Kansas jurisdiction to defer to a regulatory asset any extraordinary costs, including carrying costs, incurred to provide electric service during the February 2021 winter weather event for consideration in future rate proceedings. Additionally, in June 2021, Evergy Metro and Evergy Missouri West filed a joint request for an AAO with the Public Service Commission of the State of Missouri (MPSC) that would allow for the extraordinary costs and revenues to provide service during the February 2021 winter weather event, including carrying costs, to be deferred to a regulatory asset or a regulatory liability for consideration in future proceedings. See Note 4 for additional information regarding the AAOs.</w:t>
      </w:r>
    </w:p>
    <w:p>
      <w:pPr>
        <w:spacing w:after="0" w:line="178"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As of September 30, 2021, the Evergy Companies have deferred substantially all of the fuel and purchased power costs, net of wholesale revenues, related to the February 2021 winter weather event to a regulatory asset or liability pursuant to the mechanisms discussed above. While the Evergy Companies expect to recover substantially all of any increased fuel and purchased power costs related to the February 2021 winter weather event from customers, the timing of the cost recovery could be delayed or spread over a longer than typical recovery timeframe by the KCC or the MPSC to help moderate monthly customer bill impacts given the extraordinary nature of the February 2021 winter weather event.</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 and Evergy Kansas Central recorded $95.0 million of energy marketing margins in 2021 related to the February 2021 winter weather event, primarily driven by activities in the Electric Reliability Council of Texas (ERCOT). The amount of energy marketing margins recorded as a result of the February 2021 winter weather event is subject to resettlement activities and/or legislative action in Texas that could result in increases or decreases to the final amount of energy marketing margins earned by Evergy and Evergy Kansas Central and these changes could be material.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80" w:type="dxa"/>
            <w:vAlign w:val="bottom"/>
            <w:tcBorders>
              <w:top w:val="single" w:sz="8" w:color="auto"/>
            </w:tcBorders>
            <w:gridSpan w:val="3"/>
          </w:tcPr>
          <w:p>
            <w:pPr>
              <w:jc w:val="right"/>
              <w:ind w:right="571"/>
              <w:spacing w:after="0" w:line="182" w:lineRule="exact"/>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tcPr>
          <w:p>
            <w:pPr>
              <w:jc w:val="right"/>
              <w:ind w:right="30"/>
              <w:spacing w:after="0" w:line="182" w:lineRule="exact"/>
              <w:rPr>
                <w:sz w:val="20"/>
                <w:szCs w:val="20"/>
                <w:color w:val="auto"/>
              </w:rPr>
            </w:pPr>
            <w:r>
              <w:rPr>
                <w:rFonts w:ascii="Arial" w:cs="Arial" w:eastAsia="Arial" w:hAnsi="Arial"/>
                <w:sz w:val="18"/>
                <w:szCs w:val="18"/>
                <w:b w:val="1"/>
                <w:bCs w:val="1"/>
                <w:color w:val="auto"/>
              </w:rPr>
              <w:t>Year to Date</w:t>
            </w:r>
          </w:p>
        </w:tc>
        <w:tc>
          <w:tcPr>
            <w:tcW w:w="94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w w:val="99"/>
              </w:rPr>
              <w:t>2020</w:t>
            </w: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677.4</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1,533.9</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525.0</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499.5</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1,293.5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1,272.9</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166.0</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449.6</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26.1</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1,377.6</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1,312.2</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3,303.1</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3,264.4</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105.0</w:t>
            </w: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662.5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90.3</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266.7</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Industrial steam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18.3</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1,580.1</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4,250.6</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3,715.5</w:t>
            </w: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36.4</w:t>
            </w: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214.0</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1,616.5</w:t>
            </w:r>
          </w:p>
        </w:tc>
        <w:tc>
          <w:tcPr>
            <w:tcW w:w="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4,464.6</w:t>
            </w:r>
          </w:p>
        </w:tc>
        <w:tc>
          <w:tcPr>
            <w:tcW w:w="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3"/>
          </w:tcPr>
          <w:p>
            <w:pPr>
              <w:jc w:val="center"/>
              <w:ind w:left="390"/>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tcPr>
          <w:p>
            <w:pPr>
              <w:jc w:val="center"/>
              <w:ind w:left="37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94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282.3</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262.9</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657.3</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218.0</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205.2</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536.8</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511.0</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105.0</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105.7</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293.0</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electric retail</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609.8</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578.2</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1,500.0</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1,436.4</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90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76.8</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68.7</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402.7</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168.1</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81.9</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241.5</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769.1</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720.7</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2,145.9</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8.7</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131.5</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777.8</w:t>
            </w:r>
          </w:p>
        </w:tc>
        <w:tc>
          <w:tcPr>
            <w:tcW w:w="10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733.6</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2,277.4</w:t>
            </w:r>
          </w:p>
        </w:tc>
        <w:tc>
          <w:tcPr>
            <w:tcW w:w="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1,864.5</w:t>
            </w:r>
          </w:p>
        </w:tc>
      </w:tr>
      <w:tr>
        <w:trPr>
          <w:trHeight w:val="561"/>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5"/>
        </w:trPr>
        <w:tc>
          <w:tcPr>
            <w:tcW w:w="5200" w:type="dxa"/>
            <w:vAlign w:val="bottom"/>
          </w:tcPr>
          <w:p>
            <w:pPr>
              <w:spacing w:after="0"/>
              <w:rPr>
                <w:sz w:val="15"/>
                <w:szCs w:val="15"/>
                <w:color w:val="auto"/>
              </w:rPr>
            </w:pPr>
          </w:p>
        </w:tc>
        <w:tc>
          <w:tcPr>
            <w:tcW w:w="2520" w:type="dxa"/>
            <w:vAlign w:val="bottom"/>
            <w:gridSpan w:val="3"/>
          </w:tcPr>
          <w:p>
            <w:pPr>
              <w:jc w:val="center"/>
              <w:ind w:left="39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gridSpan w:val="2"/>
          </w:tcPr>
          <w:p>
            <w:pPr>
              <w:jc w:val="center"/>
              <w:ind w:left="37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940" w:type="dxa"/>
            <w:vAlign w:val="bottom"/>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254.5</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241.2</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550.6</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221.9</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213.3</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542.5</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558.1</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35.9</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91.9</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7.7</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electric retail</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515.1</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493.8</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1,192.7</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90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24.0</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9.7</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237.3</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544.6</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507.8</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1,445.4</w:t>
            </w:r>
          </w:p>
        </w:tc>
        <w:tc>
          <w:tcPr>
            <w:tcW w:w="6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1,268.6</w:t>
            </w: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27.2</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81.3</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571.8</w:t>
            </w:r>
          </w:p>
        </w:tc>
        <w:tc>
          <w:tcPr>
            <w:tcW w:w="10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528.5</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1,526.7</w:t>
            </w:r>
          </w:p>
        </w:tc>
        <w:tc>
          <w:tcPr>
            <w:tcW w:w="6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w:t>
            </w:r>
          </w:p>
        </w:tc>
      </w:tr>
      <w:tr>
        <w:trPr>
          <w:trHeight w:val="1080"/>
        </w:trPr>
        <w:tc>
          <w:tcPr>
            <w:tcW w:w="520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6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6"/>
              </w:rPr>
              <w:t>September 30</w:t>
            </w: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75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1"/>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400" w:type="dxa"/>
            <w:vAlign w:val="bottom"/>
          </w:tcPr>
          <w:p>
            <w:pPr>
              <w:spacing w:after="0"/>
              <w:rPr>
                <w:sz w:val="19"/>
                <w:szCs w:val="19"/>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143.7</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183.3</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(19.0)</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335.1</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197.7</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241.2</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400" w:type="dxa"/>
            <w:vAlign w:val="bottom"/>
          </w:tcPr>
          <w:p>
            <w:pPr>
              <w:spacing w:after="0"/>
              <w:rPr>
                <w:sz w:val="19"/>
                <w:szCs w:val="19"/>
                <w:color w:val="auto"/>
              </w:rPr>
            </w:pPr>
          </w:p>
        </w:tc>
        <w:tc>
          <w:tcPr>
            <w:tcW w:w="1540" w:type="dxa"/>
            <w:vAlign w:val="bottom"/>
          </w:tcPr>
          <w:p>
            <w:pPr>
              <w:jc w:val="right"/>
              <w:ind w:right="71"/>
              <w:spacing w:after="0"/>
              <w:rPr>
                <w:sz w:val="20"/>
                <w:szCs w:val="20"/>
                <w:color w:val="auto"/>
              </w:rPr>
            </w:pPr>
            <w:r>
              <w:rPr>
                <w:rFonts w:ascii="Arial" w:cs="Arial" w:eastAsia="Arial" w:hAnsi="Arial"/>
                <w:sz w:val="18"/>
                <w:szCs w:val="18"/>
                <w:color w:val="auto"/>
              </w:rPr>
              <w:t>69.9</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4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7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82.3</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bl>
    <w:p>
      <w:pPr>
        <w:spacing w:after="0" w:line="294"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The Evergy Companies' other receivables at September 30, 2021 and December 31, 2020,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32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6"/>
              </w:rPr>
              <w:t>September 30</w:t>
            </w: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7"/>
        </w:trPr>
        <w:tc>
          <w:tcPr>
            <w:tcW w:w="47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7"/>
                <w:szCs w:val="17"/>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85.3</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32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82.7</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6"/>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3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16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9.2</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19.0</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7.3</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September 30</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8.0</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31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b w:val="1"/>
                <w:bCs w:val="1"/>
                <w:color w:val="auto"/>
                <w:w w:val="98"/>
              </w:rPr>
              <w:t>September 30</w:t>
            </w: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6"/>
        </w:trPr>
        <w:tc>
          <w:tcPr>
            <w:tcW w:w="46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17"/>
                <w:szCs w:val="17"/>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3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395.0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3140" w:type="dxa"/>
            <w:vAlign w:val="bottom"/>
          </w:tcPr>
          <w:p>
            <w:pPr>
              <w:spacing w:after="0"/>
              <w:rPr>
                <w:sz w:val="19"/>
                <w:szCs w:val="19"/>
                <w:color w:val="auto"/>
              </w:rPr>
            </w:pP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37"/>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3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130.0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bl>
    <w:p>
      <w:pPr>
        <w:spacing w:after="0" w:line="280"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mid-October through mid-June and then $200.0 million 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2021 Transmission Delivery Charge (TDC)</w:t>
      </w:r>
    </w:p>
    <w:p>
      <w:pPr>
        <w:jc w:val="both"/>
        <w:ind w:right="220"/>
        <w:spacing w:after="0" w:line="260" w:lineRule="auto"/>
        <w:rPr>
          <w:sz w:val="20"/>
          <w:szCs w:val="20"/>
          <w:color w:val="auto"/>
        </w:rPr>
      </w:pPr>
      <w:r>
        <w:rPr>
          <w:rFonts w:ascii="Arial" w:cs="Arial" w:eastAsia="Arial" w:hAnsi="Arial"/>
          <w:sz w:val="19"/>
          <w:szCs w:val="19"/>
          <w:color w:val="auto"/>
        </w:rPr>
        <w:t>In April 2021, the KCC issued an order adjusting Evergy Kansas Central's retail prices to include updated transmission costs as reflected in the Federal Energy Regulatory Commission (FERC) transmission formula rate (TFR). The new prices were effective in April 2021 and are expected to increase Evergy Kansas Central's annual retail revenues by $37.9 million when compared to 2020.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2021 TDC</w:t>
      </w:r>
    </w:p>
    <w:p>
      <w:pPr>
        <w:spacing w:after="0" w:line="16"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In April 2021, the KCC issued an order adjusting Evergy Metro's retail prices to include updated transmission costs as reflected in the FERC TFR. The new prices were effective in May 2021 and are expected to decrease Evergy Metro's annual retail revenues by $2.4 million when compared to 2020.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16" w:lineRule="exact"/>
        <w:rPr>
          <w:sz w:val="20"/>
          <w:szCs w:val="20"/>
          <w:color w:val="auto"/>
        </w:rPr>
      </w:pPr>
    </w:p>
    <w:p>
      <w:pPr>
        <w:ind w:right="80"/>
        <w:spacing w:after="0"/>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9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Evergy Kansas Central's and Evergy Metro's 2020 calculations of annual earnings did not result in a significant refund obligation. These calculations were filed with the KCC in March 2021. As of September 30, 2021, Evergy Kansas Central and Evergy Metro estimate their 2021 annual earnings will not result in a significant refund obligation. The final refund obligations for 2020 and 2021 will be decided by the KCC and could vary from the current estimates.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February 2021 Winter Weather Event AAO</w:t>
      </w:r>
    </w:p>
    <w:p>
      <w:pPr>
        <w:spacing w:after="0" w:line="16"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In February 2021, the KCC issued an emergency AAO directing all Kansas-jurisdictional natural gas and electric utilities, including Evergy Kansas Central and Evergy Metro, to defer to a regulatory asset or regulatory liability any extraordinary costs or revenues, including carrying costs, to provide electric service during the February 2021 winter weather event for consideration in future rate proceedings.</w:t>
      </w:r>
    </w:p>
    <w:p>
      <w:pPr>
        <w:spacing w:after="0" w:line="161" w:lineRule="exact"/>
        <w:rPr>
          <w:sz w:val="20"/>
          <w:szCs w:val="20"/>
          <w:color w:val="auto"/>
        </w:rPr>
      </w:pPr>
    </w:p>
    <w:p>
      <w:pPr>
        <w:ind w:right="380"/>
        <w:spacing w:after="0" w:line="246" w:lineRule="auto"/>
        <w:rPr>
          <w:sz w:val="20"/>
          <w:szCs w:val="20"/>
          <w:color w:val="auto"/>
        </w:rPr>
      </w:pPr>
      <w:r>
        <w:rPr>
          <w:rFonts w:ascii="Arial" w:cs="Arial" w:eastAsia="Arial" w:hAnsi="Arial"/>
          <w:sz w:val="20"/>
          <w:szCs w:val="20"/>
          <w:color w:val="auto"/>
        </w:rPr>
        <w:t>As of September 30, 2021, Evergy Kansas Central had recognized a regulatory asset pursuant to the AAO of $115.0 million related to its costs incurred during the February 2021 winter weather event, primarily consisting of increased fuel and purchased power costs. As of September 30, 2021, Evergy Metro's Kansas jurisdiction had recognized a regulatory liability of $42.4 million related to its increased wholesale revenues during the February 2021 winter weather event.</w:t>
      </w:r>
    </w:p>
    <w:p>
      <w:pPr>
        <w:spacing w:after="0" w:line="191"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color w:val="auto"/>
        </w:rPr>
        <w:t>In July 2021, Evergy Kansas Central and Evergy Metro made a joint filing with the KCC regarding the timing and method of recovery or refund for costs and revenues deferred pursuant to the February 2021 winter weather event AAO. In the filing, Evergy Kansas Central and Evergy Metro requested to recover or refund, as appropriate, their deferred February 2021 winter weather event amounts to customers through their fuel recovery mechanisms over two years and one year, respectively, beginning in April 2022. As part of the filing, Evergy Metro also requested an approximately $6 million decrease to its February 2021 winter weather event refund to Kansas customers, which is not currently reflected in its regulatory liability for the February 2021 winter weather event, for jurisdictional allocation differences in its Kansas and Missouri fuel recovery mechanisms. A decision by the KCC regarding Evergy Kansas Central's and Evergy Metro's request is expected in the first half of 2022.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Lawrence Energy Center (LEC) Unit 4 Securitization</w:t>
      </w:r>
    </w:p>
    <w:p>
      <w:pPr>
        <w:spacing w:after="0" w:line="16"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In April 2021, the state of Kansas passed the Utility Financing and Securitization Act (UFSA) which allows certain public utilities, including Evergy Kansas Central and Evergy Metro, to securitize utility assets in order to recover energy transition costs relating to the early retirement of certain generating assets. To recover the energy transition costs through securitization as allowed in the UFSA, a public utility must obtain a predetermination order from the KCC finding that the retirement of the subject generation facility is reasonable. Upon the receipt of a successful predetermination order, the public utility must then file an application with the KCC for a financing order to issue securitized bonds to recover the energy transition costs. The UFSA also allows the pursuit of securitization to help finance qualified extraordinary expenses, such as fuel costs incurred during extreme weather events.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September 2021, Evergy Kansas Central filed a predetermination request with the KCC for the ratemaking principles and treatment related to its planned investment in approximately 190 MW of solar generation and the planned retirement of coal-fired LEC Unit 4 and related coal-handling facilities for LEC Units 4 and 5, both of</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which are expected to occur between December 2023 and the first half of 2024. An evidentiary hearing in the case is currently scheduled to begin in January 2022 and a decision by the KCC regarding the request is expected in the first or second quarter of 2022.</w:t>
      </w:r>
    </w:p>
    <w:p>
      <w:pPr>
        <w:spacing w:after="0" w:line="13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If the KCC finds that Evergy Kansas Central's planned retirement of LEC Unit 4 and investment in 190 MW of solar generation is prudent as part of the predetermination request, Evergy Kansas Central then plans to file an application with the KCC later in 2022 for a financing order authorizing the issuance of securitized bonds to recover energy transition costs associated with the retirement of LEC Unit 4 and the related coal-handling facilities for LEC Units 4 and 5.</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Other Proceedings</w:t>
      </w:r>
    </w:p>
    <w:p>
      <w:pPr>
        <w:ind w:right="20"/>
        <w:spacing w:after="0" w:line="241" w:lineRule="auto"/>
        <w:rPr>
          <w:sz w:val="20"/>
          <w:szCs w:val="20"/>
          <w:color w:val="auto"/>
        </w:rPr>
      </w:pPr>
      <w:r>
        <w:rPr>
          <w:rFonts w:ascii="Arial" w:cs="Arial" w:eastAsia="Arial" w:hAnsi="Arial"/>
          <w:sz w:val="20"/>
          <w:szCs w:val="20"/>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94"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In October 2019, the MPSC granted OPC's and MECG's request for an AAO and required Evergy Missouri West to record a regulatory liability for the revenues discussed above for consideration in Evergy Missouri West's next rate case, which is expected to be completed no later than the end of 2022. Depending on the MPSC's decision in this next rate case, Evergy Missouri West could be required to refund to customers all or a portion of amounts collected in revenue for Sibley Station since December 2018 or, alternatively, could be required to make no refunds.</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As a result of the MPSC order, Evergy has recorded a regulatory liability of $26.5 million as of September 30, 2021 for the estimated amount of revenues that Evergy Missouri West has collected from customers for Sibley Station since December 2018 that Evergy has determined is probable of refund. Evergy expects that it will continue to defer such amounts as collected from customers until new rates become effective in Evergy Missouri West's next rate case.</w:t>
      </w:r>
    </w:p>
    <w:p>
      <w:pPr>
        <w:spacing w:after="0" w:line="191"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The accrual for this estimated amount does not include certain revenues collected related to Sibley Station that Evergy has determined to not be probable of refund in the next rate case based on the relevant facts and circumstances. Although Evergy has determined these additional revenues to not be probable of refund, the ultimate resolution of this matter in the next Evergy Missouri West rate case is uncertain and could result in an estimated loss of up to approximately $12 million per year in excess of the amount accrued until new rates become effective. Evergy's regulatory liability for probable refunds as of September 30, 2021 and estimated loss in excess of the amount accrued represent estimates that could change significantly based on ongoing developments including decisions in other regulatory proceedings that establish precedent applicable to this matter and positions of parties on this issue in a future Evergy Missouri West rate case.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and Evergy Missouri West February 2021 Winter Weather Event AAO</w:t>
      </w:r>
    </w:p>
    <w:p>
      <w:pPr>
        <w:spacing w:after="0" w:line="16"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In June 2021, Evergy Metro and Evergy Missouri West filed a joint request for an AAO with the MPSC that would allow Evergy Metro and Evergy Missouri West to defer to a regulatory asset or regulatory liability any extraordinary costs or revenues, including carrying costs, to provide electric service during the February 2021 winter weather event for consideration in future proceedings.</w:t>
      </w:r>
    </w:p>
    <w:p>
      <w:pPr>
        <w:spacing w:after="0" w:line="178"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Evergy Metro and Evergy Missouri West have currently deferred substantially all of their fuel and purchased power costs, net of wholesale revenues, related to the February 2021 winter weather event to a regulatory asset or liability pursuant to their ability to recover or refund these amounts through their fuel recovery mechanisms, which allow for the recovery or refund of 95% of increases in fuel and purchased power costs, net of wholesale revenues, to customers. This AAO request is intended to address the recovery or refund of the February 2021 winter weather event amounts separate from the normal fuel recovery mechanism process given the extraordinary nature of the February 2021 winter weather event and to help moderate customer bill impacts. As of September 30, 2021, Evergy Metro's Missouri jurisdiction had recognized a regulatory liability of $28.0 million related to its increased wholesale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revenues during the February 2021 winter weather event. As of September 30, 2021, Evergy Missouri West had recognized a regulatory asset of $278.7 million related to its costs incurred during the February 2021 winter weather event, primarily consisting of increased fuel and purchased power costs.</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In the AAO filing, Evergy Metro requested to refund its deferred February 2021 winter weather event amounts to customers through its fuel recovery mechanism over one year, beginning in April 2022. In the same AAO filing, Evergy Missouri West requested to exclude its deferred February 2021 winter weather event amounts from recovery through its fuel recovery mechanism and indicated its intent to recover them through issuing securitized bonds pursuant to the securitization legislation signed into law in Missouri in July 2021. As part of the filing, Evergy Metro also requested an approximately $5 million decrease to its February 2021 winter weather refund to Missouri customers, which is not currently reflected in its regulatory liability for the February 2021 winter weather event, for jurisdictional allocation differences in its Kansas and Missouri fuel recovery mechanisms and for the portion of net wholesale revenues not traditionally refundable because of the 5% sharing provision of its fuel recovery mechanism. Evergy Missouri West requested an approximately $15 million increase to its February 2021 winter weather event recovery from Missouri customers, which is not currently reflected in its regulatory asset for the February 2021 winter weather event, for the portion of net fuel and purchased power costs not traditionally recoverable because of the 5% sharing provision of its fuel recovery mechanism. A decision by the MPSC regarding Evergy Metro's and Evergy Missouri West's AAO request is expected by the end of 2021.</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2"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w:t>
      </w:r>
    </w:p>
    <w:p>
      <w:pPr>
        <w:spacing w:after="0" w:line="16" w:lineRule="exact"/>
        <w:rPr>
          <w:sz w:val="20"/>
          <w:szCs w:val="20"/>
          <w:color w:val="auto"/>
        </w:rPr>
      </w:pPr>
    </w:p>
    <w:p>
      <w:pPr>
        <w:ind w:right="1100"/>
        <w:spacing w:after="0" w:line="244" w:lineRule="auto"/>
        <w:rPr>
          <w:sz w:val="20"/>
          <w:szCs w:val="20"/>
          <w:color w:val="auto"/>
        </w:rPr>
      </w:pPr>
      <w:r>
        <w:rPr>
          <w:rFonts w:ascii="Arial" w:cs="Arial" w:eastAsia="Arial" w:hAnsi="Arial"/>
          <w:sz w:val="20"/>
          <w:szCs w:val="20"/>
          <w:color w:val="auto"/>
        </w:rPr>
        <w:t>In the most recent two years, the updated TFR was expected to adjust Evergy Kansas Central's annual transmission revenues by approximately:</w:t>
      </w:r>
    </w:p>
    <w:p>
      <w:pPr>
        <w:spacing w:after="0" w:line="8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$32.4 million increase effective in January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$6.8 million increase effective in January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two years, the updated TFR was expected to adjust Evergy Metro's annual transmission revenues by approximately:</w:t>
      </w:r>
    </w:p>
    <w:p>
      <w:pPr>
        <w:spacing w:after="0" w:line="115" w:lineRule="exact"/>
        <w:rPr>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$3.9 million decrease effective in January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$1.7 million decrease effective in January 2020.</w:t>
      </w:r>
    </w:p>
    <w:p>
      <w:pPr>
        <w:spacing w:after="0" w:line="209"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GAAP requires goodwill to be tested for impairment annually and when an event occurs indicating the possibility that an impairment exists. Evergy's impairment test for the $2,336.6 million of goodwill that was recorded as a result of the Great Plains Energy Incorporated (Great Plains Energy) and Evergy Kansas Central merger was conducted as of May 1, 2021.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representative of fair value for the reporting unit. The fair value of the reporting unit exceeded the carrying amount, including goodwill. As a result, there was no impairment of goodwill.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PENSION PLANS AND POST-RETIREMENT BENEFITS</w:t>
      </w:r>
    </w:p>
    <w:p>
      <w:pPr>
        <w:spacing w:after="0" w:line="11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Creek's defined benefit plans, consisting of Evergy Kansas South's and Evergy Metro's respective 47% ownership shares.</w:t>
      </w:r>
    </w:p>
    <w:p>
      <w:pPr>
        <w:spacing w:after="0" w:line="16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6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Evergy and its subsidiaries also provide post-retirement health care and life insurance benefits for certain retirees of Evergy Kansas Central and Evergy Metro and their respective shares of Wolf Creek's post-retirement benefit plans.</w:t>
      </w:r>
    </w:p>
    <w:p>
      <w:pPr>
        <w:spacing w:after="0" w:line="177"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For the three months ended and year to date September 30, 2021, Evergy, Evergy Kansas Central and Evergy Metro recorded pension settlement charges of $30.4 million, $22.5 million and $12.5 million, respectively. For the three months ended and year to date September 30, 2020, Evergy and Evergy Metro recorded pension settlement charges of $10.0 million and $12.7 million, respectively. These settlement charges were the result of accelerated distributions as a result of employee retirements and annuity purchases for certain plan participants. Evergy, Evergy Kansas Central and Evergy Metro deferred substantially all of the charges to a regulatory asset and expect to recover these amounts over future periods pursuant to regulatory agreements.</w:t>
      </w:r>
    </w:p>
    <w:p>
      <w:pPr>
        <w:spacing w:after="0" w:line="178"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15"/>
                <w:szCs w:val="15"/>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9"/>
              </w:rPr>
              <w:t>Evergy</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18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10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6"/>
              </w:rPr>
              <w:t>Central</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loss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and special termination benefits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39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1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33.7</w:t>
            </w:r>
          </w:p>
        </w:tc>
        <w:tc>
          <w:tcPr>
            <w:tcW w:w="3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1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3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19.8</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88"/>
              </w:rPr>
              <w:t>Pension Benefits</w:t>
            </w: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Post-Retirement Benefits</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ind w:left="140"/>
              <w:spacing w:after="0" w:line="181" w:lineRule="exact"/>
              <w:rPr>
                <w:sz w:val="20"/>
                <w:szCs w:val="20"/>
                <w:color w:val="auto"/>
              </w:rPr>
            </w:pPr>
            <w:r>
              <w:rPr>
                <w:rFonts w:ascii="Arial" w:cs="Arial" w:eastAsia="Arial" w:hAnsi="Arial"/>
                <w:sz w:val="18"/>
                <w:szCs w:val="18"/>
                <w:b w:val="1"/>
                <w:bCs w:val="1"/>
                <w:color w:val="auto"/>
              </w:rPr>
              <w:t>Evergy</w:t>
            </w:r>
          </w:p>
        </w:tc>
        <w:tc>
          <w:tcPr>
            <w:tcW w:w="240" w:type="dxa"/>
            <w:vAlign w:val="bottom"/>
          </w:tcPr>
          <w:p>
            <w:pPr>
              <w:spacing w:after="0"/>
              <w:rPr>
                <w:sz w:val="15"/>
                <w:szCs w:val="15"/>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86"/>
              </w:rPr>
              <w:t>Evergy</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to Date September 30, 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ind w:left="140"/>
              <w:spacing w:after="0" w:line="176" w:lineRule="exact"/>
              <w:rPr>
                <w:sz w:val="20"/>
                <w:szCs w:val="20"/>
                <w:color w:val="auto"/>
              </w:rPr>
            </w:pPr>
            <w:r>
              <w:rPr>
                <w:rFonts w:ascii="Arial" w:cs="Arial" w:eastAsia="Arial" w:hAnsi="Arial"/>
                <w:sz w:val="18"/>
                <w:szCs w:val="18"/>
                <w:b w:val="1"/>
                <w:bCs w:val="1"/>
                <w:color w:val="auto"/>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Central</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and special termination benefits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22.5</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06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Net periodic benefit costs before regulatory adjustment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76.1</w:t>
            </w:r>
          </w:p>
        </w:tc>
        <w:tc>
          <w:tcPr>
            <w:tcW w:w="3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intercompany allocations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44"/>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6"/>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5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93"/>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80" w:type="dxa"/>
            <w:vAlign w:val="bottom"/>
          </w:tcPr>
          <w:p>
            <w:pPr>
              <w:spacing w:after="0"/>
              <w:rPr>
                <w:sz w:val="15"/>
                <w:szCs w:val="15"/>
                <w:color w:val="auto"/>
              </w:rPr>
            </w:pPr>
          </w:p>
        </w:tc>
        <w:tc>
          <w:tcPr>
            <w:tcW w:w="100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and special termination benefits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rPr>
              <w:t>36.4</w:t>
            </w:r>
          </w:p>
        </w:tc>
        <w:tc>
          <w:tcPr>
            <w:tcW w:w="3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39.9</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19.3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31"/>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to Date September 30,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3"/>
              </w:rPr>
              <w:t>Evergy</w:t>
            </w:r>
          </w:p>
        </w:tc>
        <w:tc>
          <w:tcPr>
            <w:tcW w:w="280" w:type="dxa"/>
            <w:vAlign w:val="bottom"/>
          </w:tcPr>
          <w:p>
            <w:pPr>
              <w:spacing w:after="0"/>
              <w:rPr>
                <w:sz w:val="15"/>
                <w:szCs w:val="15"/>
                <w:color w:val="auto"/>
              </w:rPr>
            </w:pPr>
          </w:p>
        </w:tc>
        <w:tc>
          <w:tcPr>
            <w:tcW w:w="100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72.9</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and special termination benefits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98.5</w:t>
            </w:r>
          </w:p>
        </w:tc>
        <w:tc>
          <w:tcPr>
            <w:tcW w:w="2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81.9</w:t>
            </w:r>
          </w:p>
        </w:tc>
        <w:tc>
          <w:tcPr>
            <w:tcW w:w="3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periodic benefit costs (income)</w:t>
            </w:r>
          </w:p>
        </w:tc>
        <w:tc>
          <w:tcPr>
            <w:tcW w:w="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117.1</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43.3</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55.7</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0"/>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17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Year to date September 30, 2021, Evergy, Evergy Kansas Central and Evergy Metro made pension contributions of $41.7 million, $26.2 million and $15.5 million, respectively. Evergy expects to make additional pension contributions of $68.2 million in 2021 to satisfy the Employee Retirement Income Security Act of 1974, as amended (ERISA) funding requirements and KCC and MPSC rate orders, of which $11.1 million is expected to be paid by Evergy Kansas Central and $57.1 million is expected to be paid by Evergy Metro.</w:t>
      </w:r>
    </w:p>
    <w:p>
      <w:pPr>
        <w:spacing w:after="0" w:line="161" w:lineRule="exact"/>
        <w:rPr>
          <w:sz w:val="20"/>
          <w:szCs w:val="20"/>
          <w:color w:val="auto"/>
        </w:rPr>
      </w:pPr>
    </w:p>
    <w:p>
      <w:pPr>
        <w:ind w:right="480"/>
        <w:spacing w:after="0" w:line="291" w:lineRule="auto"/>
        <w:rPr>
          <w:sz w:val="20"/>
          <w:szCs w:val="20"/>
          <w:color w:val="auto"/>
        </w:rPr>
      </w:pPr>
      <w:r>
        <w:rPr>
          <w:rFonts w:ascii="Arial" w:cs="Arial" w:eastAsia="Arial" w:hAnsi="Arial"/>
          <w:sz w:val="18"/>
          <w:szCs w:val="18"/>
          <w:color w:val="auto"/>
        </w:rPr>
        <w:t>Year to date September 30, 2021, Evergy, Evergy Kansas Central and Evergy Metro made post-retirement benefit contributions of $1.2 million, $0.6 million and $0.6 million, respectively. Evergy, Evergy Kansas Central and Evergy Metro expect to make additional contributions in 2021 of $3.7 million, $0.5 million and $3.2 million, respectively, to the post-retirement benefit plans.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SHORT-TERM BORROWINGS AND SHORT-TERM BANK LINES OF CREDIT</w:t>
      </w:r>
    </w:p>
    <w:p>
      <w:pPr>
        <w:spacing w:after="0" w:line="11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August 2021, Evergy amended and restated its $2.5 billion master credit facility and extended the maturity until 2026.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Evergy adjusted these sublimits in the first quarter of 2021 as further detailed in the table below. The applicable interest rates and commitment fees of the facility are subject to upward or downward adjustments, within certain limitations, if Evergy achieves, or fails to achieve, certain sustainability-linked targets based on two key performance indicator metrics: (i) Non-Emitting Generation Capacity and (ii) Diverse Supplier Spend (as defined in the facility).</w:t>
      </w:r>
    </w:p>
    <w:p>
      <w:pPr>
        <w:spacing w:after="0" w:line="168"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September 30, 2021, Evergy, Evergy Kansas Central, Evergy Metro and Evergy Missouri West were in compliance with this covenant.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September 30, 2021 and December 31, 2020.</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3"/>
                <w:szCs w:val="13"/>
                <w:color w:val="auto"/>
              </w:rPr>
            </w:pPr>
          </w:p>
        </w:tc>
        <w:tc>
          <w:tcPr>
            <w:tcW w:w="11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Cash</w:t>
            </w:r>
          </w:p>
        </w:tc>
        <w:tc>
          <w:tcPr>
            <w:tcW w:w="160" w:type="dxa"/>
            <w:vAlign w:val="bottom"/>
          </w:tcPr>
          <w:p>
            <w:pPr>
              <w:spacing w:after="0"/>
              <w:rPr>
                <w:sz w:val="13"/>
                <w:szCs w:val="13"/>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2"/>
              </w:rPr>
              <w:t>Letters of Credit</w:t>
            </w: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8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Arial" w:cs="Arial" w:eastAsia="Arial" w:hAnsi="Arial"/>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0.21%</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236.0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513.9</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0.19%</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w:t>
            </w:r>
          </w:p>
        </w:tc>
        <w:tc>
          <w:tcPr>
            <w:tcW w:w="2080" w:type="dxa"/>
            <w:vAlign w:val="bottom"/>
            <w:tcBorders>
              <w:bottom w:val="single" w:sz="8" w:color="CCEEFF"/>
            </w:tcBorders>
          </w:tcPr>
          <w:p>
            <w:pPr>
              <w:jc w:val="center"/>
              <w:ind w:left="110"/>
              <w:spacing w:after="0"/>
              <w:rPr>
                <w:sz w:val="20"/>
                <w:szCs w:val="20"/>
                <w:color w:val="auto"/>
              </w:rPr>
            </w:pPr>
            <w:r>
              <w:rPr>
                <w:rFonts w:ascii="Arial" w:cs="Arial" w:eastAsia="Arial" w:hAnsi="Arial"/>
                <w:sz w:val="18"/>
                <w:szCs w:val="18"/>
                <w:color w:val="auto"/>
                <w:w w:val="93"/>
              </w:rPr>
              <w:t>0.17%</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87"/>
              </w:rPr>
              <w:t>n/a</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249.3</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1.40%</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0.23%</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0.36%</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In May 2021, Evergy, Inc. established a commercial paper program supported by its borrowing capacity under the master credit facility.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2" w:lineRule="exact"/>
        <w:rPr>
          <w:sz w:val="20"/>
          <w:szCs w:val="20"/>
          <w:color w:val="auto"/>
        </w:rPr>
      </w:pPr>
    </w:p>
    <w:p>
      <w:pPr>
        <w:ind w:right="520"/>
        <w:spacing w:after="0" w:line="274" w:lineRule="auto"/>
        <w:rPr>
          <w:sz w:val="20"/>
          <w:szCs w:val="20"/>
          <w:color w:val="auto"/>
        </w:rPr>
      </w:pPr>
      <w:r>
        <w:rPr>
          <w:rFonts w:ascii="Arial" w:cs="Arial" w:eastAsia="Arial" w:hAnsi="Arial"/>
          <w:sz w:val="18"/>
          <w:szCs w:val="18"/>
          <w:color w:val="auto"/>
        </w:rPr>
        <w:t>In April 2021, Evergy Missouri West issued in a private placement $350.0 million of 2.86% Series A Senior Notes, maturing in 2031, $75.0 million of 3.01% Series B Senior Notes, maturing in 2033, and $75.0 million of 3.21% Series C Senior Notes, maturing in 2036, pursuant to a note purchase agreement. In connection with the issuance, Evergy entered into an agreement to provide an unconditional guaranty of the Series A, B and C Senior Notes, and as required by certain existing note purchase agreements, also agreed to provide unconditional guaranty of the following series of outstanding Evergy Missouri West unsecured senior notes:</w:t>
      </w:r>
    </w:p>
    <w:p>
      <w:pPr>
        <w:spacing w:after="0" w:line="5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$36.0 million of 3.49% Series A, maturing in 2025;</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$60.0 million of 4.06% Series B, maturing in 2033;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$150.0 million of 4.74% Series C, maturing in 2043;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$100.0 million of 3.74% Series, maturing in 2022.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April 2021, Evergy redeemed its $350.0 million of 4.85% Senior Notes, which had a maturity date of June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39" w:name="page40"/>
    <w:bookmarkEnd w:id="3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5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86"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2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2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9,768.7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9,627.3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6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3,933.5</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3,931.5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4,801.7</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2,924.5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2,923.0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3,591.2</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Long-term debt of variable interest entities</w:t>
            </w:r>
            <w:r>
              <w:rPr>
                <w:rFonts w:ascii="Arial" w:cs="Arial" w:eastAsia="Arial" w:hAnsi="Arial"/>
                <w:sz w:val="23"/>
                <w:szCs w:val="23"/>
                <w:b w:val="1"/>
                <w:bCs w:val="1"/>
                <w:color w:val="auto"/>
                <w:vertAlign w:val="superscript"/>
              </w:rPr>
              <w:t>(a)</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Kansas Central</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bl>
    <w:p>
      <w:pPr>
        <w:spacing w:after="0" w:line="6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120" w:hanging="172"/>
        <w:spacing w:after="0" w:line="244" w:lineRule="auto"/>
        <w:tabs>
          <w:tab w:leader="none" w:pos="167"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Book value as of September 30, 2021 and December 31, 2020, includes $100.3 million and $110.4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300" w:type="dxa"/>
            <w:vAlign w:val="bottom"/>
            <w:tcBorders>
              <w:top w:val="single" w:sz="8" w:color="auto"/>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September 30, 2021</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NAV</w:t>
            </w:r>
          </w:p>
        </w:tc>
      </w:tr>
      <w:tr>
        <w:trPr>
          <w:trHeight w:val="207"/>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color w:val="auto"/>
                <w:w w:val="99"/>
              </w:rPr>
              <w:t>(millions)</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4"/>
        </w:trPr>
        <w:tc>
          <w:tcPr>
            <w:tcW w:w="3540" w:type="dxa"/>
            <w:vAlign w:val="bottom"/>
          </w:tcPr>
          <w:p>
            <w:pPr>
              <w:ind w:left="20"/>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3540" w:type="dxa"/>
            <w:vAlign w:val="bottom"/>
          </w:tcPr>
          <w:p>
            <w:pPr>
              <w:ind w:left="180"/>
              <w:spacing w:after="0" w:line="223"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131.1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118.7</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12.4</w:t>
            </w: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71.6</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71.6</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57.7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57.7</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29.3</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29.3</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17.9</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17.9</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Alternative investments fund</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31.5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31.5</w:t>
            </w: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 securities fund</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14.1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14.1</w:t>
            </w:r>
          </w:p>
        </w:tc>
      </w:tr>
      <w:tr>
        <w:trPr>
          <w:trHeight w:val="213"/>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0.6</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0.6</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353.8</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295.8</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58.0</w:t>
            </w:r>
          </w:p>
        </w:tc>
      </w:tr>
      <w:tr>
        <w:trPr>
          <w:trHeight w:val="193"/>
        </w:trPr>
        <w:tc>
          <w:tcPr>
            <w:tcW w:w="354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19.7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19.7</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9.4</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9.4</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31.6</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31.6</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5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385.4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327.4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58.0</w:t>
            </w:r>
          </w:p>
        </w:tc>
      </w:tr>
      <w:tr>
        <w:trPr>
          <w:trHeight w:val="212"/>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4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2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278.0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278.0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4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47.3</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47.3</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Agency</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0.4</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ind w:left="360"/>
              <w:spacing w:after="0"/>
              <w:rPr>
                <w:sz w:val="20"/>
                <w:szCs w:val="20"/>
                <w:color w:val="auto"/>
              </w:rPr>
            </w:pPr>
            <w:r>
              <w:rPr>
                <w:rFonts w:ascii="Arial" w:cs="Arial" w:eastAsia="Arial" w:hAnsi="Arial"/>
                <w:sz w:val="16"/>
                <w:szCs w:val="16"/>
                <w:color w:val="auto"/>
              </w:rPr>
              <w:t>State and local obligations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4.0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4.0</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bonds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44.5</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44.5</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ind w:left="360"/>
              <w:spacing w:after="0"/>
              <w:rPr>
                <w:sz w:val="20"/>
                <w:szCs w:val="20"/>
                <w:color w:val="auto"/>
              </w:rPr>
            </w:pPr>
            <w:r>
              <w:rPr>
                <w:rFonts w:ascii="Arial" w:cs="Arial" w:eastAsia="Arial" w:hAnsi="Arial"/>
                <w:sz w:val="16"/>
                <w:szCs w:val="16"/>
                <w:color w:val="auto"/>
              </w:rPr>
              <w:t>Foreign governments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0.7</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0.7</w:t>
            </w: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9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378.2</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328.5</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49.7</w:t>
            </w: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196"/>
        </w:trPr>
        <w:tc>
          <w:tcPr>
            <w:tcW w:w="3540" w:type="dxa"/>
            <w:vAlign w:val="bottom"/>
          </w:tcPr>
          <w:p>
            <w:pPr>
              <w:ind w:left="180"/>
              <w:spacing w:after="0" w:line="19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1.9</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tcPr>
          <w:p>
            <w:pPr>
              <w:ind w:left="220"/>
              <w:spacing w:after="0"/>
              <w:rPr>
                <w:sz w:val="20"/>
                <w:szCs w:val="20"/>
                <w:color w:val="auto"/>
              </w:rPr>
            </w:pPr>
            <w:r>
              <w:rPr>
                <w:rFonts w:ascii="Arial" w:cs="Arial" w:eastAsia="Arial" w:hAnsi="Arial"/>
                <w:sz w:val="16"/>
                <w:szCs w:val="16"/>
                <w:color w:val="auto"/>
              </w:rPr>
              <w:t>Debt securities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8.9</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2.7</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6.2</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9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3.1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6"/>
        </w:trPr>
        <w:tc>
          <w:tcPr>
            <w:tcW w:w="35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self-insured health plan trust</w:t>
            </w:r>
          </w:p>
        </w:tc>
        <w:tc>
          <w:tcPr>
            <w:tcW w:w="9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13.9</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0"/>
        </w:trPr>
        <w:tc>
          <w:tcPr>
            <w:tcW w:w="35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392.1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336.2</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55.9</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0"/>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Other Evergy</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540" w:type="dxa"/>
            <w:vAlign w:val="bottom"/>
          </w:tcPr>
          <w:p>
            <w:pPr>
              <w:ind w:left="180"/>
              <w:spacing w:after="0"/>
              <w:rPr>
                <w:sz w:val="20"/>
                <w:szCs w:val="20"/>
                <w:color w:val="auto"/>
              </w:rPr>
            </w:pPr>
            <w:r>
              <w:rPr>
                <w:rFonts w:ascii="Arial" w:cs="Arial" w:eastAsia="Arial" w:hAnsi="Arial"/>
                <w:sz w:val="16"/>
                <w:szCs w:val="16"/>
                <w:color w:val="auto"/>
              </w:rPr>
              <w:t>Rabbi trusts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9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12.5</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5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rabbi trusts</w:t>
            </w:r>
          </w:p>
        </w:tc>
        <w:tc>
          <w:tcPr>
            <w:tcW w:w="12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12.5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540" w:type="dxa"/>
            <w:vAlign w:val="bottom"/>
          </w:tcPr>
          <w:p>
            <w:pPr>
              <w:ind w:left="20"/>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5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2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732.0</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624.3</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49.7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58.0</w:t>
            </w:r>
          </w:p>
        </w:tc>
      </w:tr>
      <w:tr>
        <w:trPr>
          <w:trHeight w:val="213"/>
        </w:trPr>
        <w:tc>
          <w:tcPr>
            <w:tcW w:w="3540" w:type="dxa"/>
            <w:vAlign w:val="bottom"/>
          </w:tcPr>
          <w:p>
            <w:pPr>
              <w:ind w:left="140"/>
              <w:spacing w:after="0"/>
              <w:rPr>
                <w:sz w:val="20"/>
                <w:szCs w:val="20"/>
                <w:color w:val="auto"/>
              </w:rPr>
            </w:pPr>
            <w:r>
              <w:rPr>
                <w:rFonts w:ascii="Arial" w:cs="Arial" w:eastAsia="Arial" w:hAnsi="Arial"/>
                <w:sz w:val="16"/>
                <w:szCs w:val="16"/>
                <w:color w:val="auto"/>
              </w:rPr>
              <w:t>Rabbi trusts</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44.1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44.1</w:t>
            </w:r>
          </w:p>
        </w:tc>
        <w:tc>
          <w:tcPr>
            <w:tcW w:w="36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5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9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13.9</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5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790.0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676.1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55.9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58.0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December 31, 2020</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NAV</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w w:val="96"/>
              </w:rPr>
              <w:t>(millions)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50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102.7</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7.6</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63.8</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63.8</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40.6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25.0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21.0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20.1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20.1</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Alternative investments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23.2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23.2</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Real estate securities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12.9</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12.9</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309.8</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266.1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43.7</w:t>
            </w:r>
          </w:p>
        </w:tc>
      </w:tr>
      <w:tr>
        <w:trPr>
          <w:trHeight w:val="19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25.6</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25.6</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7.1</w:t>
            </w:r>
          </w:p>
        </w:tc>
      </w:tr>
      <w:tr>
        <w:trPr>
          <w:trHeight w:val="207"/>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32.7</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32.7</w:t>
            </w:r>
          </w:p>
        </w:tc>
      </w:tr>
      <w:tr>
        <w:trPr>
          <w:trHeight w:val="209"/>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342.5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266.1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76.4</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Metro</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243.1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243.1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Treasury</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47.7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U.S. Agency</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 and local obligations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Corporate bonds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43.1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43.1</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governments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342.3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294.5</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47.8</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199"/>
        </w:trPr>
        <w:tc>
          <w:tcPr>
            <w:tcW w:w="350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13.2</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355.5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302.5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Fixed income fund</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13.1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13.1</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rabbi trusts</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13.1</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652.1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560.6</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43.7</w:t>
            </w: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Rabbi trust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46.3</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45.8</w:t>
            </w: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13.2</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711.6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569.1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89.5</w:t>
            </w:r>
          </w:p>
        </w:tc>
      </w:tr>
    </w:tbl>
    <w:p>
      <w:pPr>
        <w:spacing w:after="0" w:line="67"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With the exception of investments measured at NAV, fair value is based on quoted market prices of the investments held by the trust and/or valuation models.</w:t>
      </w:r>
    </w:p>
    <w:p>
      <w:pPr>
        <w:ind w:left="180" w:right="440" w:hanging="172"/>
        <w:spacing w:after="0" w:line="234" w:lineRule="auto"/>
        <w:tabs>
          <w:tab w:leader="none" w:pos="168"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additional information on these Evergy and Evergy Kansas Central investments.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511"/>
              <w:spacing w:after="0"/>
              <w:rPr>
                <w:sz w:val="20"/>
                <w:szCs w:val="20"/>
                <w:color w:val="auto"/>
              </w:rPr>
            </w:pPr>
            <w:r>
              <w:rPr>
                <w:rFonts w:ascii="Arial" w:cs="Arial" w:eastAsia="Arial" w:hAnsi="Arial"/>
                <w:sz w:val="18"/>
                <w:szCs w:val="18"/>
                <w:b w:val="1"/>
                <w:bCs w:val="1"/>
                <w:color w:val="auto"/>
              </w:rPr>
              <w:t>September 30, 2021</w:t>
            </w:r>
          </w:p>
        </w:tc>
        <w:tc>
          <w:tcPr>
            <w:tcW w:w="36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64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September 30, 2021</w:t>
            </w:r>
          </w:p>
        </w:tc>
      </w:tr>
      <w:tr>
        <w:trPr>
          <w:trHeight w:val="218"/>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1"/>
              <w:spacing w:after="0"/>
              <w:rPr>
                <w:sz w:val="20"/>
                <w:szCs w:val="20"/>
                <w:color w:val="auto"/>
              </w:rPr>
            </w:pPr>
            <w:r>
              <w:rPr>
                <w:rFonts w:ascii="Arial" w:cs="Arial" w:eastAsia="Arial" w:hAnsi="Arial"/>
                <w:sz w:val="18"/>
                <w:szCs w:val="18"/>
                <w:b w:val="1"/>
                <w:bCs w:val="1"/>
                <w:color w:val="auto"/>
              </w:rPr>
              <w:t>Unfunded</w:t>
            </w:r>
          </w:p>
        </w:tc>
        <w:tc>
          <w:tcPr>
            <w:tcW w:w="360" w:type="dxa"/>
            <w:vAlign w:val="bottom"/>
          </w:tcPr>
          <w:p>
            <w:pPr>
              <w:spacing w:after="0"/>
              <w:rPr>
                <w:sz w:val="18"/>
                <w:szCs w:val="18"/>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126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Unfunded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Length of</w:t>
            </w:r>
          </w:p>
        </w:tc>
      </w:tr>
      <w:tr>
        <w:trPr>
          <w:trHeight w:val="234"/>
        </w:trPr>
        <w:tc>
          <w:tcPr>
            <w:tcW w:w="3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Commitments</w:t>
            </w: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Value</w:t>
            </w:r>
          </w:p>
        </w:tc>
        <w:tc>
          <w:tcPr>
            <w:tcW w:w="1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9"/>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2"/>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2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1"/>
              </w:rPr>
              <w:t>Quarterly</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29"/>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Quarterly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12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3060" w:type="dxa"/>
            <w:vAlign w:val="bottom"/>
          </w:tcPr>
          <w:p>
            <w:pPr>
              <w:ind w:left="140"/>
              <w:spacing w:after="0"/>
              <w:rPr>
                <w:sz w:val="20"/>
                <w:szCs w:val="20"/>
                <w:color w:val="auto"/>
              </w:rPr>
            </w:pPr>
            <w:r>
              <w:rPr>
                <w:rFonts w:ascii="Arial" w:cs="Arial" w:eastAsia="Arial" w:hAnsi="Arial"/>
                <w:sz w:val="18"/>
                <w:szCs w:val="18"/>
                <w:color w:val="auto"/>
              </w:rPr>
              <w:t>Core bond fund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2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Combination debt/equity/other fund</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12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Evergy</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Rabbi trust: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3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 income fund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2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3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89.5</w:t>
            </w:r>
          </w:p>
        </w:tc>
        <w:tc>
          <w:tcPr>
            <w:tcW w:w="12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bl>
    <w:p>
      <w:pPr>
        <w:spacing w:after="0" w:line="85" w:lineRule="exact"/>
        <w:rPr>
          <w:sz w:val="20"/>
          <w:szCs w:val="20"/>
          <w:color w:val="auto"/>
        </w:rPr>
      </w:pPr>
    </w:p>
    <w:p>
      <w:pPr>
        <w:ind w:left="180" w:right="40" w:hanging="172"/>
        <w:spacing w:after="0" w:line="250"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ind w:left="160" w:hanging="152"/>
        <w:spacing w:after="0" w:line="21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is a holdback on final redemptions.</w:t>
      </w:r>
    </w:p>
    <w:p>
      <w:pPr>
        <w:ind w:left="160" w:hanging="152"/>
        <w:spacing w:after="0" w:line="211" w:lineRule="auto"/>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This investment can be redeemed immediately and is not subject to any restrictions on redemptions.</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3"/>
          </w:tcPr>
          <w:p>
            <w:pPr>
              <w:jc w:val="right"/>
              <w:ind w:right="230"/>
              <w:spacing w:after="0" w:line="202"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ind w:left="700"/>
              <w:spacing w:after="0" w:line="202" w:lineRule="exact"/>
              <w:rPr>
                <w:sz w:val="20"/>
                <w:szCs w:val="20"/>
                <w:color w:val="auto"/>
              </w:rPr>
            </w:pPr>
            <w:r>
              <w:rPr>
                <w:rFonts w:ascii="Arial" w:cs="Arial" w:eastAsia="Arial" w:hAnsi="Arial"/>
                <w:sz w:val="18"/>
                <w:szCs w:val="18"/>
                <w:b w:val="1"/>
                <w:bCs w:val="1"/>
                <w:color w:val="auto"/>
              </w:rPr>
              <w:t>Year to Date</w:t>
            </w:r>
          </w:p>
        </w:tc>
        <w:tc>
          <w:tcPr>
            <w:tcW w:w="1020" w:type="dxa"/>
            <w:vAlign w:val="bottom"/>
            <w:tcBorders>
              <w:top w:val="single" w:sz="8" w:color="auto"/>
            </w:tcBorders>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w w:val="93"/>
              </w:rPr>
              <w:t>September 30</w:t>
            </w: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gridSpan w:val="2"/>
          </w:tcPr>
          <w:p>
            <w:pPr>
              <w:ind w:left="660"/>
              <w:spacing w:after="0"/>
              <w:rPr>
                <w:sz w:val="20"/>
                <w:szCs w:val="20"/>
                <w:color w:val="auto"/>
              </w:rPr>
            </w:pPr>
            <w:r>
              <w:rPr>
                <w:rFonts w:ascii="Arial" w:cs="Arial" w:eastAsia="Arial" w:hAnsi="Arial"/>
                <w:sz w:val="18"/>
                <w:szCs w:val="18"/>
                <w:b w:val="1"/>
                <w:bCs w:val="1"/>
                <w:color w:val="auto"/>
                <w:w w:val="93"/>
              </w:rPr>
              <w:t>September 30</w:t>
            </w:r>
          </w:p>
        </w:tc>
        <w:tc>
          <w:tcPr>
            <w:tcW w:w="1020" w:type="dxa"/>
            <w:vAlign w:val="bottom"/>
          </w:tcPr>
          <w:p>
            <w:pPr>
              <w:spacing w:after="0"/>
              <w:rPr>
                <w:sz w:val="19"/>
                <w:szCs w:val="19"/>
                <w:color w:val="auto"/>
              </w:rPr>
            </w:pPr>
          </w:p>
        </w:tc>
      </w:tr>
      <w:tr>
        <w:trPr>
          <w:trHeight w:val="234"/>
        </w:trPr>
        <w:tc>
          <w:tcPr>
            <w:tcW w:w="46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6"/>
                <w:szCs w:val="16"/>
                <w:color w:val="auto"/>
              </w:rPr>
              <w:t>(millions)</w:t>
            </w: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w:t>
            </w:r>
          </w:p>
        </w:tc>
        <w:tc>
          <w:tcPr>
            <w:tcW w:w="11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27.5</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68.8</w:t>
            </w:r>
          </w:p>
        </w:tc>
        <w:tc>
          <w:tcPr>
            <w:tcW w:w="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7"/>
              </w:rPr>
              <w:t>(8.5)</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00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(0.6)</w:t>
            </w:r>
          </w:p>
        </w:tc>
        <w:tc>
          <w:tcPr>
            <w:tcW w:w="114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9"/>
                <w:szCs w:val="19"/>
                <w:color w:val="auto"/>
              </w:rPr>
            </w:pPr>
          </w:p>
        </w:tc>
        <w:tc>
          <w:tcPr>
            <w:tcW w:w="1180" w:type="dxa"/>
            <w:vAlign w:val="bottom"/>
          </w:tcPr>
          <w:p>
            <w:pPr>
              <w:ind w:left="720"/>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9"/>
                <w:szCs w:val="19"/>
                <w:color w:val="auto"/>
              </w:rPr>
            </w:pPr>
          </w:p>
        </w:tc>
        <w:tc>
          <w:tcPr>
            <w:tcW w:w="1020" w:type="dxa"/>
            <w:vAlign w:val="bottom"/>
          </w:tcPr>
          <w:p>
            <w:pPr>
              <w:jc w:val="center"/>
              <w:ind w:left="550"/>
              <w:spacing w:after="0"/>
              <w:rPr>
                <w:sz w:val="20"/>
                <w:szCs w:val="20"/>
                <w:color w:val="auto"/>
              </w:rPr>
            </w:pPr>
            <w:r>
              <w:rPr>
                <w:rFonts w:ascii="Arial" w:cs="Arial" w:eastAsia="Arial" w:hAnsi="Arial"/>
                <w:sz w:val="18"/>
                <w:szCs w:val="18"/>
                <w:color w:val="auto"/>
                <w:w w:val="87"/>
              </w:rPr>
              <w:t>5.4</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0.8</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(0.4)</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7"/>
              </w:rPr>
              <w:t>1.6</w:t>
            </w: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0.3</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28.4</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ind w:left="720"/>
              <w:spacing w:after="0"/>
              <w:rPr>
                <w:sz w:val="20"/>
                <w:szCs w:val="20"/>
                <w:color w:val="auto"/>
              </w:rPr>
            </w:pPr>
            <w:r>
              <w:rPr>
                <w:rFonts w:ascii="Arial" w:cs="Arial" w:eastAsia="Arial" w:hAnsi="Arial"/>
                <w:sz w:val="18"/>
                <w:szCs w:val="18"/>
                <w:color w:val="auto"/>
              </w:rPr>
              <w:t>64.4</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530"/>
              <w:spacing w:after="0"/>
              <w:rPr>
                <w:sz w:val="20"/>
                <w:szCs w:val="20"/>
                <w:color w:val="auto"/>
              </w:rPr>
            </w:pPr>
            <w:r>
              <w:rPr>
                <w:rFonts w:ascii="Arial" w:cs="Arial" w:eastAsia="Arial" w:hAnsi="Arial"/>
                <w:sz w:val="18"/>
                <w:szCs w:val="18"/>
                <w:color w:val="auto"/>
                <w:w w:val="97"/>
              </w:rPr>
              <w:t>(1.5)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5.3</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16.2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ind w:left="720"/>
              <w:spacing w:after="0"/>
              <w:rPr>
                <w:sz w:val="20"/>
                <w:szCs w:val="20"/>
                <w:color w:val="auto"/>
              </w:rPr>
            </w:pPr>
            <w:r>
              <w:rPr>
                <w:rFonts w:ascii="Arial" w:cs="Arial" w:eastAsia="Arial" w:hAnsi="Arial"/>
                <w:sz w:val="18"/>
                <w:szCs w:val="18"/>
                <w:color w:val="auto"/>
              </w:rPr>
              <w:t>36.9</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550"/>
              <w:spacing w:after="0"/>
              <w:rPr>
                <w:sz w:val="20"/>
                <w:szCs w:val="20"/>
                <w:color w:val="auto"/>
              </w:rPr>
            </w:pPr>
            <w:r>
              <w:rPr>
                <w:rFonts w:ascii="Arial" w:cs="Arial" w:eastAsia="Arial" w:hAnsi="Arial"/>
                <w:sz w:val="18"/>
                <w:szCs w:val="18"/>
                <w:color w:val="auto"/>
                <w:w w:val="87"/>
              </w:rPr>
              <w:t>0.2</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0.6</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7"/>
              </w:rPr>
              <w:t>1.1</w:t>
            </w: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5"/>
              </w:rPr>
              <w:t>5.2</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16.8</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ind w:left="720"/>
              <w:spacing w:after="0"/>
              <w:rPr>
                <w:sz w:val="20"/>
                <w:szCs w:val="20"/>
                <w:color w:val="auto"/>
              </w:rPr>
            </w:pPr>
            <w:r>
              <w:rPr>
                <w:rFonts w:ascii="Arial" w:cs="Arial" w:eastAsia="Arial" w:hAnsi="Arial"/>
                <w:sz w:val="18"/>
                <w:szCs w:val="18"/>
                <w:color w:val="auto"/>
              </w:rPr>
              <w:t>36.8</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550"/>
              <w:spacing w:after="0"/>
              <w:rPr>
                <w:sz w:val="20"/>
                <w:szCs w:val="20"/>
                <w:color w:val="auto"/>
              </w:rPr>
            </w:pPr>
            <w:r>
              <w:rPr>
                <w:rFonts w:ascii="Arial" w:cs="Arial" w:eastAsia="Arial" w:hAnsi="Arial"/>
                <w:sz w:val="18"/>
                <w:szCs w:val="18"/>
                <w:color w:val="auto"/>
                <w:w w:val="87"/>
              </w:rPr>
              <w:t>1.3</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(4.3)</w:t>
            </w:r>
          </w:p>
        </w:tc>
        <w:tc>
          <w:tcPr>
            <w:tcW w:w="11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11.3</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Pr>
          <w:p>
            <w:pPr>
              <w:ind w:left="720"/>
              <w:spacing w:after="0"/>
              <w:rPr>
                <w:sz w:val="20"/>
                <w:szCs w:val="20"/>
                <w:color w:val="auto"/>
              </w:rPr>
            </w:pPr>
            <w:r>
              <w:rPr>
                <w:rFonts w:ascii="Arial" w:cs="Arial" w:eastAsia="Arial" w:hAnsi="Arial"/>
                <w:sz w:val="18"/>
                <w:szCs w:val="18"/>
                <w:color w:val="auto"/>
              </w:rPr>
              <w:t>31.9</w:t>
            </w:r>
          </w:p>
        </w:tc>
        <w:tc>
          <w:tcPr>
            <w:tcW w:w="6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530"/>
              <w:spacing w:after="0"/>
              <w:rPr>
                <w:sz w:val="20"/>
                <w:szCs w:val="20"/>
                <w:color w:val="auto"/>
              </w:rPr>
            </w:pPr>
            <w:r>
              <w:rPr>
                <w:rFonts w:ascii="Arial" w:cs="Arial" w:eastAsia="Arial" w:hAnsi="Arial"/>
                <w:sz w:val="18"/>
                <w:szCs w:val="18"/>
                <w:color w:val="auto"/>
                <w:w w:val="97"/>
              </w:rPr>
              <w:t>(8.7)</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1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0.1</w:t>
            </w:r>
          </w:p>
        </w:tc>
        <w:tc>
          <w:tcPr>
            <w:tcW w:w="5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(4.0)</w:t>
            </w:r>
          </w:p>
        </w:tc>
        <w:tc>
          <w:tcPr>
            <w:tcW w:w="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7"/>
              </w:rPr>
              <w:t>5.4</w:t>
            </w:r>
          </w:p>
        </w:tc>
      </w:tr>
      <w:tr>
        <w:trPr>
          <w:trHeight w:val="230"/>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(4.9)</w:t>
            </w:r>
          </w:p>
        </w:tc>
        <w:tc>
          <w:tcPr>
            <w:tcW w:w="11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11.4</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27.9</w:t>
            </w:r>
          </w:p>
        </w:tc>
        <w:tc>
          <w:tcPr>
            <w:tcW w:w="6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7"/>
              </w:rPr>
              <w:t>(3.3)</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w:t>
      </w:r>
    </w:p>
    <w:p>
      <w:pPr>
        <w:spacing w:after="0" w:line="1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Cross-State Air Pollution Update Rule</w:t>
      </w:r>
    </w:p>
    <w:p>
      <w:pPr>
        <w:spacing w:after="0" w:line="1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In September 2016, the Environmental Protection Agency (EPA) finalized the Cross-State Air Pollution (CSAPR) Update Rule. The final rule addresses interstate transport of nitrogen oxides emissions in 22 states including Kansas, Missouri and Oklahoma during the ozone season and the impact from the formation of ozone on downwind states with respect to the 2008 ozone National Ambient Air Quality Standards (NAAQS). In December 2018, the EPA finalized a determination, known as the CSAPR Close-Out Rule, demonstrating the CSAPR Update Rule fully addressed certain upwind states' 2008 ozone NAAQS interstate transport obligations. Various states and others challenged both the CSAPR Update Rule and the CSAPR Close-Out Rule in the U.S. Court of Appeals for the D.C. Circuit (D.C. Circuit). In 2019, the D.C. Circuit granted these petitions and remanded a portion of the CSAPR Update Rule back to the EPA and vacated the CSAPR Close-Out Rule in its entirety.</w:t>
      </w:r>
    </w:p>
    <w:p>
      <w:pPr>
        <w:spacing w:after="0" w:line="196"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auto"/>
        </w:rPr>
        <w:t>In response to the remand by the D.C. Circuit, the EPA published the final Revised Cross-State Air Pollution Rule Update for the 2008 Ozone NAAQS in April 2021. The final rule finds that nine of the states that were subject to the CSAPR Update Rule do not significantly contribute to downwind states' nonattainment or maintenance issues during the ozone season and that there are no further reductions in allowance budgets for these states. These nine states are Alabama, Arkansas, Iowa, Kansas, Mississippi, Missouri, Oklahoma, Texas and Wisconsin. The Evergy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ind w:right="560"/>
        <w:spacing w:after="0" w:line="356" w:lineRule="auto"/>
        <w:rPr>
          <w:sz w:val="20"/>
          <w:szCs w:val="20"/>
          <w:color w:val="auto"/>
        </w:rPr>
      </w:pPr>
      <w:r>
        <w:rPr>
          <w:rFonts w:ascii="Arial" w:cs="Arial" w:eastAsia="Arial" w:hAnsi="Arial"/>
          <w:sz w:val="20"/>
          <w:szCs w:val="20"/>
          <w:color w:val="auto"/>
        </w:rPr>
        <w:t>Companies will continue to monitor this rule as any future changes to their NO</w:t>
      </w:r>
      <w:r>
        <w:rPr>
          <w:rFonts w:ascii="Arial" w:cs="Arial" w:eastAsia="Arial" w:hAnsi="Arial"/>
          <w:sz w:val="25"/>
          <w:szCs w:val="25"/>
          <w:color w:val="auto"/>
          <w:vertAlign w:val="subscript"/>
        </w:rPr>
        <w:t>x</w:t>
      </w:r>
      <w:r>
        <w:rPr>
          <w:rFonts w:ascii="Arial" w:cs="Arial" w:eastAsia="Arial" w:hAnsi="Arial"/>
          <w:sz w:val="20"/>
          <w:szCs w:val="20"/>
          <w:color w:val="auto"/>
        </w:rPr>
        <w:t xml:space="preserve"> ozone season allowance allocations could be material. </w:t>
      </w:r>
      <w:r>
        <w:rPr>
          <w:rFonts w:ascii="Arial" w:cs="Arial" w:eastAsia="Arial" w:hAnsi="Arial"/>
          <w:sz w:val="20"/>
          <w:szCs w:val="20"/>
          <w:b w:val="1"/>
          <w:bCs w:val="1"/>
          <w:i w:val="1"/>
          <w:iCs w:val="1"/>
          <w:color w:val="auto"/>
        </w:rPr>
        <w:t>Regional Haze Rule</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state implementation plans (SIPs) every ten years and the first round was due in 2007. For the second ten-year implementation period, the EPA issued a final rule revision in 2017 that allowed states to submit their SIP revisions by July 31, 2021. The Evergy Companies have been in contact with the Kansas Department of Health and Environmental (KDHE) and the Missouri Department of Natural Resources (MDNR) as they worked to draft their SIP revisions. The Missouri SIP revision is still being drafted. MDNR has indicated they intend to submit the Missouri SIP revision in early 2022 which will not require any additional reductions from the Evergy Companies' generating units in the state. The Kansas SIP revision was placed on public notice in June 2021 and requested no additional emission reductions by electric utilities based on the significant reductions that were achieved during the first implementation period. The EPA provided comments on the Kansas SIP revision in June 2021 that each state is statutorily required to conduct a "four-factor analysis" on at least two sources within the state to help determine if further emission reductions are necessary. The EPA also stated it would be difficult to approve the Kansas SIP revision if at least two four-factor analyses are not conducted on Kansas emission sources. These sources could be from the electric utility industry or others. KDHE submitted the Kansas SIP revision in July 2021. If a Kansas generating unit of the Evergy Companies is selected for analysis, the possibility exists that the state or EPA, through a federal implementation plan could determine that additional operational or physical modifications are required on the generating unit to further reduce emissions. If the EPA were to determine the emission reduction expenses are cost effective, the modifications could be required. The overall cost of those modifications could be material to the Evergy Companies.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16" w:lineRule="exact"/>
        <w:rPr>
          <w:sz w:val="20"/>
          <w:szCs w:val="20"/>
          <w:color w:val="auto"/>
        </w:rPr>
      </w:pPr>
    </w:p>
    <w:p>
      <w:pPr>
        <w:ind w:right="720"/>
        <w:spacing w:after="0" w:line="214" w:lineRule="auto"/>
        <w:rPr>
          <w:sz w:val="20"/>
          <w:szCs w:val="20"/>
          <w:color w:val="auto"/>
        </w:rPr>
      </w:pPr>
      <w:r>
        <w:rPr>
          <w:rFonts w:ascii="Arial" w:cs="Arial" w:eastAsia="Arial" w:hAnsi="Arial"/>
          <w:sz w:val="20"/>
          <w:szCs w:val="20"/>
          <w:color w:val="auto"/>
        </w:rPr>
        <w:t>Burning coal and other fossil fuels releases carbon dioxide (CO</w:t>
      </w:r>
      <w:r>
        <w:rPr>
          <w:rFonts w:ascii="Arial" w:cs="Arial" w:eastAsia="Arial" w:hAnsi="Arial"/>
          <w:sz w:val="25"/>
          <w:szCs w:val="25"/>
          <w:color w:val="auto"/>
          <w:vertAlign w:val="subscript"/>
        </w:rPr>
        <w:t>2</w:t>
      </w:r>
      <w:r>
        <w:rPr>
          <w:rFonts w:ascii="Arial" w:cs="Arial" w:eastAsia="Arial" w:hAnsi="Arial"/>
          <w:sz w:val="20"/>
          <w:szCs w:val="20"/>
          <w:color w:val="auto"/>
        </w:rPr>
        <w:t>) and other gases referred to as greenhouse gases (GHG). Various regulations under the federal Clean Air Act Amendments of 1990 (CAA) limit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and other GHG emissions, and in addition, other measures are being imposed or offered by individual states, municipalities and regional agreements with the goal of reducing GHG emissions.</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July 2019, the EPA published the final Affordable Clean Energy (ACE) rule in the Federal Register. This rule contained (1) emission guidelines for GHG emissions from existing electric utility generating units (EGUs) and (2) revisions to emission guideline implementing regulations. This rule defined the "best system of emission reduction" (BSER) for GHG emissions from existing coal-fired EGUs as on-site, heat-rate efficiency improvements. The final rule also provided states with a list of candidate technologies that can be used to establish standards of performance and incorporate these performance standards into state plans. In conjunction with the finalization of the ACE rule, the EPA repealed its previously adopted Clean Power Plan (CPP). In January 2021, the D.C. Circuit vacated and remanded the ACE rule back to the EPA. In February 2021, the D.C. Circuit granted a motion filed by the EPA for a partial stay of its January 2021 vacatur discussed above. The partial stay leaves the vacatur of the ACE rule in place while staying the mandate that vacates the repeal of the CPP. As a result of the partial stay, neither the ACE rule nor the CPP will be in effect while the EPA forms a new rule to regulate GHG emissions. In April 2021, 18 states filed a petition for a writ of certiorari to the Supreme Court requesting review of the D.C. Circuit ruling. In October 2021, the Supreme Court granted petitions for certiorari to review the D.C. Circuit decision to vacate and remand the ACE rule.</w:t>
      </w:r>
    </w:p>
    <w:p>
      <w:pPr>
        <w:spacing w:after="0" w:line="170"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Due to uncertainty regarding the future of the ACE rule or other potential GHG regulations, the Evergy Companies cannot determine the impacts on their operations or consolidated financial results, but the cost to comply with the ACE rule or other potential GHG rules, could be material.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5th Circuit (5th Circuit) issued a ruling that vacated and remanded portions of the original ELG rule. Due to this ruling, the EPA announced a plan in July 2021 to release a proposed rulemaking in September 2022 to address the vacated limitations for legacy wastewater and landfill leachate. Future ELG modifications for the best available technology economically achievable for the discharge of legacy wastewater and leachate are likely and could be material.</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In October 2020, the EPA published the final ELG reconsideration rule. This rule adjusts numeric limits for flue gas desulfurization (FGD) wastewater and adds a 10% volumetric purge limit for bottom ash transport water. The timeline for final FGD wastewater compliance is as soon as possible on or after one year following publication of the final rule in the Federal Register but no later than December 31, 2025. In August 2021, the EPA published notice in the Federal Register that it is initiating a supplemental rulemaking to revise the ELG regulations after completing review of the reconsideration rule as a result of an executive order from President Biden. As part of the rulemaking process, the EPA will determine if more stringent limitations and standards are appropriate. The 2020 ELG reconsideration rules will remain in effect while the EPA undertakes this new rulemaking.</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Evergy Companies have reviewed the 2020 ELG reconsideration regulation, and the costs to comply with these changes are not expected to be material. However, the Evergy Companies cannot predict what revisions the EPA may make under its supplemental rulemaking to revise the ELG regulations and compliance costs associated with any revisions could be material.</w:t>
      </w:r>
    </w:p>
    <w:p>
      <w:pPr>
        <w:spacing w:after="0" w:line="186"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In July 2021, the EPA and the Department of the Army released a pre-publication version of a notice announcing their intent to revise the definition of "Waters of the United States." After reviewing the Navigable Waters Protection Rule as directed by President Biden's administration, the EPA and Department of the Army have determined a need to revise the definition to prevent environmental degradation. The Evergy Companies cannot predict the outcome of any new rulemaking but will be monitoring proposals on this topic for any impact to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w:t>
      </w:r>
    </w:p>
    <w:p>
      <w:pPr>
        <w:spacing w:after="0" w:line="196"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In March 2019, the D.C. Circuit issued a ruling to grant the EPA's request to remand the Phase I, Part I CCR rule in response to a prior court ruling requiring the EPA to address un-lined surface impoundment closure requirements. In August 2020, the EPA published the Part A CCR Rule. This rule reclassified clay-lined surface impoundments from "lined" to "un-lined" and established a deadline of April 11, 2021 to initiate closure. In November 2020, the EPA published the final Part B CCR Rule. This rule includes a process to allow un-lined impoundments to continue to operate if a demonstration is made to prove that the un-lined impoundments are not adversely impacting groundwater, human health or the environment. The Evergy Companies initiated closure of all un-lined impoundments by the deadline in the Part A CCR rule and therefore the Part B CCR rule is not expected to have a material impact.</w:t>
      </w:r>
    </w:p>
    <w:p>
      <w:pPr>
        <w:spacing w:after="0" w:line="18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The Evergy Companies have recorded AROs for their current estimates for the closure of ash disposal ponds, but the revision of these AROs may be required in the future due to changes in existing CCR regulations, the results of groundwater monitoring of CCR units or changes in interpretation of existing CCR regulations or changes in the timing or cost to close ash disposal ponds. If revisions to these AROs are necessary, the impact on the Evergy Companies' operations or consolidated financial results could be material.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RELATED PARTY TRANSACTIONS AND RELATIONSHIPS</w:t>
      </w:r>
    </w:p>
    <w:p>
      <w:pPr>
        <w:spacing w:after="0" w:line="11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44" w:lineRule="auto"/>
        <w:rPr>
          <w:sz w:val="20"/>
          <w:szCs w:val="20"/>
          <w:color w:val="auto"/>
        </w:rPr>
      </w:pPr>
      <w:r>
        <w:rPr>
          <w:rFonts w:ascii="Arial" w:cs="Arial" w:eastAsia="Arial" w:hAnsi="Arial"/>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left="1110"/>
              <w:spacing w:after="0" w:line="202" w:lineRule="exact"/>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left="350"/>
              <w:spacing w:after="0" w:line="202" w:lineRule="exact"/>
              <w:rPr>
                <w:sz w:val="20"/>
                <w:szCs w:val="20"/>
                <w:color w:val="auto"/>
              </w:rPr>
            </w:pPr>
            <w:r>
              <w:rPr>
                <w:rFonts w:ascii="Arial" w:cs="Arial" w:eastAsia="Arial" w:hAnsi="Arial"/>
                <w:sz w:val="18"/>
                <w:szCs w:val="18"/>
                <w:b w:val="1"/>
                <w:bCs w:val="1"/>
                <w:color w:val="auto"/>
                <w:w w:val="91"/>
              </w:rPr>
              <w:t>Year to Date</w:t>
            </w:r>
          </w:p>
        </w:tc>
        <w:tc>
          <w:tcPr>
            <w:tcW w:w="840" w:type="dxa"/>
            <w:vAlign w:val="bottom"/>
            <w:tcBorders>
              <w:top w:val="single" w:sz="8" w:color="auto"/>
            </w:tcBorders>
          </w:tcPr>
          <w:p>
            <w:pPr>
              <w:spacing w:after="0"/>
              <w:rPr>
                <w:sz w:val="17"/>
                <w:szCs w:val="17"/>
                <w:color w:val="auto"/>
              </w:rPr>
            </w:pPr>
          </w:p>
        </w:tc>
      </w:tr>
      <w:tr>
        <w:trPr>
          <w:trHeight w:val="225"/>
        </w:trPr>
        <w:tc>
          <w:tcPr>
            <w:tcW w:w="4920" w:type="dxa"/>
            <w:vAlign w:val="bottom"/>
          </w:tcPr>
          <w:p>
            <w:pPr>
              <w:spacing w:after="0"/>
              <w:rPr>
                <w:sz w:val="19"/>
                <w:szCs w:val="19"/>
                <w:color w:val="auto"/>
              </w:rPr>
            </w:pPr>
          </w:p>
        </w:tc>
        <w:tc>
          <w:tcPr>
            <w:tcW w:w="300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88"/>
              </w:rPr>
              <w:t>September 30</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2020</w:t>
            </w:r>
          </w:p>
        </w:tc>
      </w:tr>
      <w:tr>
        <w:trPr>
          <w:trHeight w:val="206"/>
        </w:trPr>
        <w:tc>
          <w:tcPr>
            <w:tcW w:w="4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13.1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16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35.4</w:t>
            </w:r>
          </w:p>
        </w:tc>
        <w:tc>
          <w:tcPr>
            <w:tcW w:w="92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91"/>
              </w:rPr>
              <w:t>46.5</w:t>
            </w:r>
          </w:p>
        </w:tc>
        <w:tc>
          <w:tcPr>
            <w:tcW w:w="4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103.2</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121.8</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1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36.9</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26.9</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90.8</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 The Evergy, Inc. money pool was amended in July 2021 to include Evergy Kansas Central as a participant.</w:t>
      </w:r>
    </w:p>
    <w:p>
      <w:pPr>
        <w:spacing w:after="0" w:line="194" w:lineRule="exact"/>
        <w:rPr>
          <w:sz w:val="20"/>
          <w:szCs w:val="20"/>
          <w:color w:val="auto"/>
        </w:rPr>
      </w:pPr>
    </w:p>
    <w:p>
      <w:pPr>
        <w:ind w:right="360"/>
        <w:spacing w:after="0" w:line="316" w:lineRule="auto"/>
        <w:rPr>
          <w:sz w:val="20"/>
          <w:szCs w:val="20"/>
          <w:color w:val="auto"/>
        </w:rPr>
      </w:pPr>
      <w:r>
        <w:rPr>
          <w:rFonts w:ascii="Arial" w:cs="Arial" w:eastAsia="Arial" w:hAnsi="Arial"/>
          <w:sz w:val="18"/>
          <w:szCs w:val="18"/>
          <w:color w:val="auto"/>
        </w:rPr>
        <w:t>At September 30, 2021, Evergy Metro had a $238.0 million outstanding receivable from Evergy Missouri West under the money pool. At December 31, 2020, Evergy Metro had a $100.0 million outstanding receivable from Evergy Missouri West under the money pool.</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4"/>
              </w:rPr>
              <w:t>September 30</w:t>
            </w: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52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w:t>
            </w:r>
          </w:p>
        </w:tc>
        <w:tc>
          <w:tcPr>
            <w:tcW w:w="2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2520" w:type="dxa"/>
            <w:vAlign w:val="bottom"/>
          </w:tcPr>
          <w:p>
            <w:pPr>
              <w:spacing w:after="0"/>
              <w:rPr>
                <w:sz w:val="19"/>
                <w:szCs w:val="19"/>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7"/>
        </w:trPr>
        <w:tc>
          <w:tcPr>
            <w:tcW w:w="552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1"/>
              <w:spacing w:after="0"/>
              <w:rPr>
                <w:sz w:val="20"/>
                <w:szCs w:val="20"/>
                <w:color w:val="auto"/>
              </w:rPr>
            </w:pPr>
            <w:r>
              <w:rPr>
                <w:rFonts w:ascii="Arial" w:cs="Arial" w:eastAsia="Arial" w:hAnsi="Arial"/>
                <w:sz w:val="18"/>
                <w:szCs w:val="18"/>
                <w:color w:val="auto"/>
              </w:rPr>
              <w:t>15.8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25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25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335.7</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Evergy.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80" w:type="dxa"/>
            <w:vAlign w:val="bottom"/>
            <w:tcBorders>
              <w:top w:val="single" w:sz="8" w:color="auto"/>
            </w:tcBorders>
          </w:tcPr>
          <w:p>
            <w:pPr>
              <w:spacing w:after="0"/>
              <w:rPr>
                <w:sz w:val="21"/>
                <w:szCs w:val="21"/>
                <w:color w:val="auto"/>
              </w:rPr>
            </w:pPr>
          </w:p>
        </w:tc>
        <w:tc>
          <w:tcPr>
            <w:tcW w:w="27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September 30</w:t>
            </w: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76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 from Evergy</w:t>
            </w:r>
          </w:p>
        </w:tc>
        <w:tc>
          <w:tcPr>
            <w:tcW w:w="2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57"/>
        </w:trPr>
        <w:tc>
          <w:tcPr>
            <w:tcW w:w="528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27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 from Evergy</w:t>
            </w:r>
          </w:p>
        </w:tc>
        <w:tc>
          <w:tcPr>
            <w:tcW w:w="2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43.0</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Evergy Metro leases certain transmission equipment from Evergy Kansas Central. This lease was entered into prior to the merger in an arms-length transaction and is accounted for as an operating lease. The right-of-use asset related to this lease is recorded within other long-term assets and the current and long-term lease liabilities are recorded within other current liabilities and other long-term liabilities, respectively, on the consolidated balance sheet. The assets and liabilities related to this lease between Evergy Kansas Central and Evergy Metro are eliminated at consolidated Evergy. The following table summarizes Evergy Metro's right-of-use assets and related liabilities on its consolidated balance sheet.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00" w:type="dxa"/>
            <w:vAlign w:val="bottom"/>
            <w:tcBorders>
              <w:top w:val="single" w:sz="8" w:color="auto"/>
            </w:tcBorders>
          </w:tcPr>
          <w:p>
            <w:pPr>
              <w:spacing w:after="0"/>
              <w:rPr>
                <w:sz w:val="21"/>
                <w:szCs w:val="21"/>
                <w:color w:val="auto"/>
              </w:rPr>
            </w:pPr>
          </w:p>
        </w:tc>
        <w:tc>
          <w:tcPr>
            <w:tcW w:w="20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4"/>
              </w:rPr>
              <w:t>September 30</w:t>
            </w: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0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204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recorded within other long-term assets</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Lease liability recorded in other current liabilities</w:t>
            </w:r>
          </w:p>
        </w:tc>
        <w:tc>
          <w:tcPr>
            <w:tcW w:w="2040" w:type="dxa"/>
            <w:vAlign w:val="bottom"/>
          </w:tcPr>
          <w:p>
            <w:pPr>
              <w:spacing w:after="0"/>
              <w:rPr>
                <w:sz w:val="19"/>
                <w:szCs w:val="19"/>
                <w:color w:val="auto"/>
              </w:rPr>
            </w:pPr>
          </w:p>
        </w:tc>
        <w:tc>
          <w:tcPr>
            <w:tcW w:w="148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liability recorded in other long-term liabilities</w:t>
            </w:r>
          </w:p>
        </w:tc>
        <w:tc>
          <w:tcPr>
            <w:tcW w:w="20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27.7</w:t>
            </w: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SHAREHOLDERS'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Bluescape Energy Partners, LLC (Bluescape) Securities Purchase Agreement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February 2021, Evergy entered into a securities purchase agreement with an affiliate of Bluescape. Pursuant to the securities purchase agreement, an affiliate of Bluescape agreed to purchase 2,269,447 shares of Evergy’s common stock for approximately $113.2 million and to receive a warrant to purchase up to 3,950,000 additional shares of Evergy’s common stock. Under the terms of the warrant, Evergy will have the option to elect a net cash settlement with respect to the exercise of the warrant under certain circumstances, or to net settle in shares of Evergy's common stock. The warrant expires three years from issuance and has an exercise price equal to $64.70 per share. Following the satisfaction of customary closing conditions, Evergy completed the sale of its common stock and warrant to the affiliate of Bluescape in April 2021 for $112.5 million, net of issuance costs of $0.7 million. The Executive Chairman of Bluescape, C. John Wilder, joined the Evergy Board in March 2021.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Registration Statements</w:t>
      </w:r>
    </w:p>
    <w:p>
      <w:pPr>
        <w:spacing w:after="0" w:line="2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In September 2021, Evergy filed an automatic registration statement providing for the sale of unlimited amounts of securities with the SEC, which expires in September 2024.</w:t>
      </w:r>
    </w:p>
    <w:p>
      <w:pPr>
        <w:spacing w:after="0" w:line="191"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In September 2021, Evergy registered shares of its common stock with the SEC for its Dividend Reinvestment and Direct Stock Purchase Plan. Shares issued under the plan may be either newly issued shares or shares purchased on the open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TAXES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3"/>
          </w:tcPr>
          <w:p>
            <w:pPr>
              <w:jc w:val="center"/>
              <w:ind w:left="410"/>
              <w:spacing w:after="0" w:line="182" w:lineRule="exact"/>
              <w:rPr>
                <w:sz w:val="20"/>
                <w:szCs w:val="20"/>
                <w:color w:val="auto"/>
              </w:rPr>
            </w:pPr>
            <w:r>
              <w:rPr>
                <w:rFonts w:ascii="Arial" w:cs="Arial" w:eastAsia="Arial" w:hAnsi="Arial"/>
                <w:sz w:val="18"/>
                <w:szCs w:val="18"/>
                <w:b w:val="1"/>
                <w:bCs w:val="1"/>
                <w:color w:val="auto"/>
                <w:w w:val="90"/>
              </w:rPr>
              <w:t>Three Months Ended</w:t>
            </w:r>
          </w:p>
        </w:tc>
        <w:tc>
          <w:tcPr>
            <w:tcW w:w="5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tcPr>
          <w:p>
            <w:pPr>
              <w:ind w:left="580"/>
              <w:spacing w:after="0" w:line="182" w:lineRule="exact"/>
              <w:rPr>
                <w:sz w:val="20"/>
                <w:szCs w:val="20"/>
                <w:color w:val="auto"/>
              </w:rPr>
            </w:pPr>
            <w:r>
              <w:rPr>
                <w:rFonts w:ascii="Arial" w:cs="Arial" w:eastAsia="Arial" w:hAnsi="Arial"/>
                <w:sz w:val="18"/>
                <w:szCs w:val="18"/>
                <w:b w:val="1"/>
                <w:bCs w:val="1"/>
                <w:color w:val="auto"/>
              </w:rPr>
              <w:t>Year to Date</w:t>
            </w:r>
          </w:p>
        </w:tc>
        <w:tc>
          <w:tcPr>
            <w:tcW w:w="94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ind w:left="560"/>
              <w:spacing w:after="0"/>
              <w:rPr>
                <w:sz w:val="20"/>
                <w:szCs w:val="20"/>
                <w:color w:val="auto"/>
              </w:rPr>
            </w:pPr>
            <w:r>
              <w:rPr>
                <w:rFonts w:ascii="Arial" w:cs="Arial" w:eastAsia="Arial" w:hAnsi="Arial"/>
                <w:sz w:val="18"/>
                <w:szCs w:val="18"/>
                <w:b w:val="1"/>
                <w:bCs w:val="1"/>
                <w:color w:val="auto"/>
                <w:w w:val="91"/>
              </w:rPr>
              <w:t>September 30</w:t>
            </w:r>
          </w:p>
        </w:tc>
        <w:tc>
          <w:tcPr>
            <w:tcW w:w="94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(0.5)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(16.8)</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61.3</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94.0</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62.9</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102.6</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(4.4)</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(4.0)</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57.2</w:t>
            </w:r>
          </w:p>
        </w:tc>
        <w:tc>
          <w:tcPr>
            <w:tcW w:w="1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99.8</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47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76"/>
        </w:trPr>
        <w:tc>
          <w:tcPr>
            <w:tcW w:w="5200" w:type="dxa"/>
            <w:vAlign w:val="bottom"/>
          </w:tcPr>
          <w:p>
            <w:pPr>
              <w:spacing w:after="0"/>
              <w:rPr>
                <w:sz w:val="15"/>
                <w:szCs w:val="15"/>
                <w:color w:val="auto"/>
              </w:rPr>
            </w:pPr>
          </w:p>
        </w:tc>
        <w:tc>
          <w:tcPr>
            <w:tcW w:w="2520" w:type="dxa"/>
            <w:vAlign w:val="bottom"/>
            <w:gridSpan w:val="3"/>
          </w:tcPr>
          <w:p>
            <w:pPr>
              <w:jc w:val="center"/>
              <w:ind w:left="410"/>
              <w:spacing w:after="0" w:line="176" w:lineRule="exact"/>
              <w:rPr>
                <w:sz w:val="20"/>
                <w:szCs w:val="20"/>
                <w:color w:val="auto"/>
              </w:rPr>
            </w:pPr>
            <w:r>
              <w:rPr>
                <w:rFonts w:ascii="Arial" w:cs="Arial" w:eastAsia="Arial" w:hAnsi="Arial"/>
                <w:sz w:val="18"/>
                <w:szCs w:val="18"/>
                <w:b w:val="1"/>
                <w:bCs w:val="1"/>
                <w:color w:val="auto"/>
                <w:w w:val="90"/>
              </w:rPr>
              <w:t>Three Months Ended</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2"/>
          </w:tcPr>
          <w:p>
            <w:pPr>
              <w:ind w:left="580"/>
              <w:spacing w:after="0" w:line="176" w:lineRule="exact"/>
              <w:rPr>
                <w:sz w:val="20"/>
                <w:szCs w:val="20"/>
                <w:color w:val="auto"/>
              </w:rPr>
            </w:pPr>
            <w:r>
              <w:rPr>
                <w:rFonts w:ascii="Arial" w:cs="Arial" w:eastAsia="Arial" w:hAnsi="Arial"/>
                <w:sz w:val="18"/>
                <w:szCs w:val="18"/>
                <w:b w:val="1"/>
                <w:bCs w:val="1"/>
                <w:color w:val="auto"/>
              </w:rPr>
              <w:t>Year to Date</w:t>
            </w:r>
          </w:p>
        </w:tc>
        <w:tc>
          <w:tcPr>
            <w:tcW w:w="940" w:type="dxa"/>
            <w:vAlign w:val="bottom"/>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ind w:left="560"/>
              <w:spacing w:after="0"/>
              <w:rPr>
                <w:sz w:val="20"/>
                <w:szCs w:val="20"/>
                <w:color w:val="auto"/>
              </w:rPr>
            </w:pPr>
            <w:r>
              <w:rPr>
                <w:rFonts w:ascii="Arial" w:cs="Arial" w:eastAsia="Arial" w:hAnsi="Arial"/>
                <w:sz w:val="18"/>
                <w:szCs w:val="18"/>
                <w:b w:val="1"/>
                <w:bCs w:val="1"/>
                <w:color w:val="auto"/>
                <w:w w:val="91"/>
              </w:rPr>
              <w:t>September 30</w:t>
            </w:r>
          </w:p>
        </w:tc>
        <w:tc>
          <w:tcPr>
            <w:tcW w:w="94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25.6</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45.1</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26.7</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47.7</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3.5</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(3.3)</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(2.9)</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22.6</w:t>
            </w:r>
          </w:p>
        </w:tc>
        <w:tc>
          <w:tcPr>
            <w:tcW w:w="1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45.7</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gridSpan w:val="3"/>
          </w:tcPr>
          <w:p>
            <w:pPr>
              <w:jc w:val="right"/>
              <w:ind w:right="150"/>
              <w:spacing w:after="0" w:line="182" w:lineRule="exact"/>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tcPr>
          <w:p>
            <w:pPr>
              <w:jc w:val="right"/>
              <w:ind w:right="30"/>
              <w:spacing w:after="0" w:line="182" w:lineRule="exact"/>
              <w:rPr>
                <w:sz w:val="20"/>
                <w:szCs w:val="20"/>
                <w:color w:val="auto"/>
              </w:rPr>
            </w:pPr>
            <w:r>
              <w:rPr>
                <w:rFonts w:ascii="Arial" w:cs="Arial" w:eastAsia="Arial" w:hAnsi="Arial"/>
                <w:sz w:val="18"/>
                <w:szCs w:val="18"/>
                <w:b w:val="1"/>
                <w:bCs w:val="1"/>
                <w:color w:val="auto"/>
              </w:rPr>
              <w:t>Year to Date</w:t>
            </w:r>
          </w:p>
        </w:tc>
        <w:tc>
          <w:tcPr>
            <w:tcW w:w="94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w w:val="94"/>
              </w:rPr>
              <w:t>September 30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(24.2)</w:t>
            </w:r>
          </w:p>
        </w:tc>
        <w:tc>
          <w:tcPr>
            <w:tcW w:w="10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(22.2)</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27.1</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49.5</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18.5</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49.1</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17.7</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tax credit amortization</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5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26.5</w:t>
            </w:r>
          </w:p>
        </w:tc>
        <w:tc>
          <w:tcPr>
            <w:tcW w:w="10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43.7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top w:val="single" w:sz="8" w:color="auto"/>
            </w:tcBorders>
            <w:gridSpan w:val="2"/>
          </w:tcPr>
          <w:p>
            <w:pPr>
              <w:jc w:val="right"/>
              <w:ind w:right="130"/>
              <w:spacing w:after="0" w:line="182" w:lineRule="exact"/>
              <w:rPr>
                <w:sz w:val="20"/>
                <w:szCs w:val="20"/>
                <w:color w:val="auto"/>
              </w:rPr>
            </w:pPr>
            <w:r>
              <w:rPr>
                <w:rFonts w:ascii="Arial" w:cs="Arial" w:eastAsia="Arial" w:hAnsi="Arial"/>
                <w:sz w:val="18"/>
                <w:szCs w:val="18"/>
                <w:b w:val="1"/>
                <w:bCs w:val="1"/>
                <w:color w:val="auto"/>
              </w:rPr>
              <w:t>Three Months Ended</w:t>
            </w:r>
          </w:p>
        </w:tc>
        <w:tc>
          <w:tcPr>
            <w:tcW w:w="8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right"/>
              <w:ind w:right="50"/>
              <w:spacing w:after="0" w:line="182" w:lineRule="exact"/>
              <w:rPr>
                <w:sz w:val="20"/>
                <w:szCs w:val="20"/>
                <w:color w:val="auto"/>
              </w:rPr>
            </w:pPr>
            <w:r>
              <w:rPr>
                <w:rFonts w:ascii="Arial" w:cs="Arial" w:eastAsia="Arial" w:hAnsi="Arial"/>
                <w:sz w:val="18"/>
                <w:szCs w:val="18"/>
                <w:b w:val="1"/>
                <w:bCs w:val="1"/>
                <w:color w:val="auto"/>
              </w:rPr>
              <w:t>Year to Date</w:t>
            </w:r>
          </w:p>
        </w:tc>
        <w:tc>
          <w:tcPr>
            <w:tcW w:w="1000" w:type="dxa"/>
            <w:vAlign w:val="bottom"/>
            <w:tcBorders>
              <w:top w:val="single" w:sz="8" w:color="auto"/>
            </w:tcBorders>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70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September 30</w:t>
            </w:r>
          </w:p>
        </w:tc>
        <w:tc>
          <w:tcPr>
            <w:tcW w:w="8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(1.0)</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(1.6)</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0.5</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3.5</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0.8</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3.4</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(5.7)</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(4.9)</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(5.9)</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(3.1)</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(4.6)</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(3.1)</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(4.6)</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(0.3)</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(0.3)</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(0.3)</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(0.6)</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(0.2)</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(0.6)</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(0.4)</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(0.7)</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(0.4)</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tax rate change</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(0.4)</w:t>
            </w:r>
          </w:p>
        </w:tc>
        <w:tc>
          <w:tcPr>
            <w:tcW w:w="19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(0.1)</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0.5</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19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0.5</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29"/>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color w:val="auto"/>
              </w:rPr>
              <w:t>0.3</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(0.3)</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2"/>
              </w:rPr>
              <w:t>11.2 %</w:t>
            </w: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2"/>
              </w:rPr>
              <w:t>12.0 %</w:t>
            </w:r>
          </w:p>
        </w:tc>
        <w:tc>
          <w:tcPr>
            <w:tcW w:w="19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10.7 %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top w:val="single" w:sz="8" w:color="auto"/>
            </w:tcBorders>
            <w:gridSpan w:val="2"/>
          </w:tcPr>
          <w:p>
            <w:pPr>
              <w:jc w:val="center"/>
              <w:ind w:left="5330"/>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8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jc w:val="center"/>
              <w:ind w:left="59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1000" w:type="dxa"/>
            <w:vAlign w:val="bottom"/>
            <w:tcBorders>
              <w:top w:val="single" w:sz="8" w:color="auto"/>
            </w:tcBorders>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19"/>
                <w:szCs w:val="19"/>
                <w:color w:val="auto"/>
              </w:rPr>
            </w:pPr>
          </w:p>
        </w:tc>
        <w:tc>
          <w:tcPr>
            <w:tcW w:w="19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(1.7)</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(2.9)</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(1.7)</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0.5</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0.8</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(3.6)</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(0.4)</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(3.7)</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(5.2)</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(6.8)</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(5.2)</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(6.8)</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(0.5)</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(0.7)</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(0.5)</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(0.6)</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(0.5)</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(1.1)</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tax rate change</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32.0</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0.4</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0.3</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color w:val="auto"/>
              </w:rPr>
              <w:t>0.2</w:t>
            </w:r>
          </w:p>
        </w:tc>
        <w:tc>
          <w:tcPr>
            <w:tcW w:w="8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(0.8)</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92"/>
              </w:rPr>
              <w:t>10.1 %</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11.5 %</w:t>
            </w:r>
          </w:p>
        </w:tc>
        <w:tc>
          <w:tcPr>
            <w:tcW w:w="19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9.0 %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43.9 %</w:t>
            </w:r>
          </w:p>
        </w:tc>
      </w:tr>
      <w:tr>
        <w:trPr>
          <w:trHeight w:val="48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1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75"/>
        </w:trPr>
        <w:tc>
          <w:tcPr>
            <w:tcW w:w="7500" w:type="dxa"/>
            <w:vAlign w:val="bottom"/>
            <w:gridSpan w:val="2"/>
          </w:tcPr>
          <w:p>
            <w:pPr>
              <w:jc w:val="center"/>
              <w:ind w:left="533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820" w:type="dxa"/>
            <w:vAlign w:val="bottom"/>
          </w:tcPr>
          <w:p>
            <w:pPr>
              <w:spacing w:after="0"/>
              <w:rPr>
                <w:sz w:val="15"/>
                <w:szCs w:val="15"/>
                <w:color w:val="auto"/>
              </w:rPr>
            </w:pPr>
          </w:p>
        </w:tc>
        <w:tc>
          <w:tcPr>
            <w:tcW w:w="1920" w:type="dxa"/>
            <w:vAlign w:val="bottom"/>
          </w:tcPr>
          <w:p>
            <w:pPr>
              <w:jc w:val="center"/>
              <w:ind w:left="59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1000" w:type="dxa"/>
            <w:vAlign w:val="bottom"/>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Pr>
          <w:p>
            <w:pPr>
              <w:spacing w:after="0"/>
              <w:rPr>
                <w:sz w:val="19"/>
                <w:szCs w:val="19"/>
                <w:color w:val="auto"/>
              </w:rPr>
            </w:pPr>
          </w:p>
        </w:tc>
        <w:tc>
          <w:tcPr>
            <w:tcW w:w="19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21.0 %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(0.2)</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(0.2)</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0.6</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5.5</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0.6</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4.5</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(7.8)</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(9.1)</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(8.0)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(0.6)</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(2.4)</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(0.6)</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(0.7)</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(0.5)</w:t>
            </w:r>
          </w:p>
        </w:tc>
        <w:tc>
          <w:tcPr>
            <w:tcW w:w="19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(0.7)</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(0.4)</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(0.4)</w:t>
            </w: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(0.4)</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rate change</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(11.4)</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0.9</w:t>
            </w:r>
          </w:p>
        </w:tc>
        <w:tc>
          <w:tcPr>
            <w:tcW w:w="8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19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0.9</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97"/>
              </w:rPr>
              <w:t>(0.2)</w:t>
            </w: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0.1</w:t>
            </w:r>
          </w:p>
        </w:tc>
        <w:tc>
          <w:tcPr>
            <w:tcW w:w="19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2"/>
              </w:rPr>
              <w:t>12.7 %</w:t>
            </w:r>
          </w:p>
        </w:tc>
        <w:tc>
          <w:tcPr>
            <w:tcW w:w="8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2"/>
              </w:rPr>
              <w:t>14.5 %</w:t>
            </w:r>
          </w:p>
        </w:tc>
        <w:tc>
          <w:tcPr>
            <w:tcW w:w="19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12.6 %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Kansas Tax Reform</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In May 2020, the state of Kansas exempted certain public utilities, including Evergy Kansas Central and Evergy Metro, from Kansas corporate income tax beginning in 2021 and authorized the KCC to approve changes in rates related to increases or decreases in federal or state income tax rates.</w:t>
      </w:r>
    </w:p>
    <w:p>
      <w:pPr>
        <w:spacing w:after="0" w:line="196"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As a result of the exemption from Kansas corporate income tax, the Evergy Companies revalued their deferred income tax assets and liabilities in May 2020. Evergy decreased its net deferred income tax liabilities by $233.8 million, primarily consisting of a $400.4 million adjustment for the revaluation of deferred income tax assets and liabilities included in rate base and a $31.7 million tax gross-up adjustment on this amount for ratemaking purposes and $13.8 million of income tax expense primarily related to the revaluation of deferred income taxes that will not be recovered from customers in future rates; partially offset by a decrease to unamortized investment tax credits of $183.6 million due to the revaluation of certain Kansas income tax credits and a $16.9 million tax gross-up adjustment on this amount for ratemaking purposes.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Evergy Kansas Central decreased its net deferred income tax liabilities by $17.6 million, primarily consisting of a $293.7 million adjustment for the revaluation of deferred income tax assets and liabilities included in rate base and a $17.3 million tax gross-up adjustment on this amount for ratemaking purposes; partially offset by a decrease to unamortized investment tax credits of $183.6 million due to the revaluation of certain Kansas income tax credits and a $16.9 million tax gross-up adjustment on this amount for ratemaking purposes and $109.0 million of income tax expense primarily related to the revaluation of deferred income taxes that will not be recovered from customers in future rates.</w:t>
      </w:r>
    </w:p>
    <w:p>
      <w:pPr>
        <w:spacing w:after="0" w:line="16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Evergy Metro decreased its net deferred income tax liabilities by $152.9 million, primarily consisting of a $106.7 million adjustment for the revaluation of deferred income tax assets and liabilities included in rate base and a $14.4 million tax gross-up adjustment on this amount for ratemaking purposes and $32.2 million of income tax benefit primarily related to the revaluation of deferred income taxes that will not be refunded to customers in future rates.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changes to the Evergy Companies' net deferred income tax liabilities included in rate base were offset by corresponding changes in regulatory liabilities. The net regulatory liabilities will be refunded to customers in future rates by amortizing the amounts related to plant assets over the remaining useful life of the assets, and amortizing the amounts related to other items over a period to be determined in a future rate case. The changes to the Evergy Companies' unamortized investment tax credits were related to the portion of certain Kansas income tax credits that were not expected to be used after December 31, 2020. The amounts of income tax expense (benefit) recognized by the Evergy Companies related to the revaluation of deferred income taxes that will not be recovered from or refunded to customers in future rates primarily pertain to deferred tax adjustments related to the difference between Evergy's consolidated tax rate and the statutory tax rates used for setting rates at Evergy Kansas Central, Evergy Metro and Evergy Missouri West as well as deferred income tax adjustments related to non-regulated operations.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Prior to 2021, Evergy Kansas Central and Evergy Metro recovered the cost of Kansas corporate income taxes in rates from their customers at the prior statutory rate of 7%. In accordance with the provisions of the income tax exemption, Evergy Metro and Evergy Kansas Central filed a joint application with the KCC in July 2020 to reduce their retail rates to reflect their exemption from Kansas corporate income taxes beginning in 2021. In the joint application, Evergy Metro requested to implement its rate reduction in one phase, effective January 1, 2021, and Evergy Kansas Central requested to implement its rate reduction in three phases, effective January 1 in each of 2021, 2022 and 2023. In November 2020, the KCC approved Evergy Kansas Central's and Evergy Metro's joint application.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2020 Form 10-K. None of the registrants make any representation as to information related solely to Evergy, Evergy Kansas Central or Evergy Metro other than itself.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7" w:lineRule="exact"/>
        <w:rPr>
          <w:sz w:val="20"/>
          <w:szCs w:val="20"/>
          <w:color w:val="auto"/>
        </w:rPr>
      </w:pPr>
    </w:p>
    <w:p>
      <w:pPr>
        <w:ind w:left="660" w:right="120" w:hanging="328"/>
        <w:spacing w:after="0" w:line="287"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44" w:lineRule="exact"/>
        <w:rPr>
          <w:rFonts w:ascii="Arial" w:cs="Arial" w:eastAsia="Arial" w:hAnsi="Arial"/>
          <w:sz w:val="19"/>
          <w:szCs w:val="19"/>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19" w:lineRule="exact"/>
        <w:rPr>
          <w:rFonts w:ascii="Arial" w:cs="Arial" w:eastAsia="Arial" w:hAnsi="Arial"/>
          <w:sz w:val="19"/>
          <w:szCs w:val="19"/>
          <w:color w:val="auto"/>
        </w:rPr>
      </w:pPr>
    </w:p>
    <w:p>
      <w:pPr>
        <w:ind w:left="660" w:right="20" w:hanging="328"/>
        <w:spacing w:after="0" w:line="269"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5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w:t>
      </w:r>
    </w:p>
    <w:p>
      <w:pPr>
        <w:spacing w:after="0" w:line="34"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color w:val="auto"/>
        </w:rPr>
        <w:t>significant winter weather event that resulted in extremely cold temperatures over a multi-day period. The February 2021 winter weather event resulted in an increase in the demand for natural gas used by the Evergy Companies for generating electricity and also contributed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limited availability of other generation resources, including coal and renewables, within the SPP Integrated Marketplace. As part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February 2021 winter weather event, Evergy incurred natural gas and purchased power costs, net of wholesale revenues, of $349.7 million.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$349.7 million of net fuel and purchased power costs was primarily driven by $293.4 million of costs at Evergy Missouri West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$127.9 million of costs at Evergy Kansas Central, partially offset by $71.6 million of net wholesale revenues at Evergy Metro. The amount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purchased power costs incurred by the Evergy Companies during the February 2021 winter weather event is subject to resettlement activity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further review by the SPP. This review and any subsequent resettlement activity could result in increases or decreases to the final amount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purchased power costs incurred by the Evergy Companies during the February 2021 winter weather event and these changes could be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material.</w:t>
      </w:r>
    </w:p>
    <w:p>
      <w:pPr>
        <w:spacing w:after="0" w:line="200"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As of September 30, 2021, the Evergy Companies have deferred substantially all of the fuel and purchased power costs, net of wholesale revenues, related to the February 2021 winter weather event to a regulatory asset or liability pursuant to their fuel recovery mechanisms and an emergency AAO issued by the KCC in February 2021. Further, in June 2021, Evergy Metro and Evergy Missouri West filed a joint request for an AAO with the MPSC regarding the deferral and subsequent recovery or refund of the February 2021 winter weather event amounts. While the Evergy Companies expect to recover substantially all of any increased fuel and purchased power costs related to the February 2021 winter weather event from customers, the timing of the cost recovery could be delayed or spread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900"/>
        <w:spacing w:after="0" w:line="246" w:lineRule="auto"/>
        <w:rPr>
          <w:sz w:val="20"/>
          <w:szCs w:val="20"/>
          <w:color w:val="auto"/>
        </w:rPr>
      </w:pPr>
      <w:r>
        <w:rPr>
          <w:rFonts w:ascii="Arial" w:cs="Arial" w:eastAsia="Arial" w:hAnsi="Arial"/>
          <w:sz w:val="20"/>
          <w:szCs w:val="20"/>
          <w:color w:val="auto"/>
        </w:rPr>
        <w:t>over a longer than typical recovery timeframe by the KCC or the MPSC to help moderate monthly customer bill impacts given the extraordinary nature of the February 2021 winter weather event.</w:t>
      </w:r>
    </w:p>
    <w:p>
      <w:pPr>
        <w:spacing w:after="0" w:line="177"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 and Evergy Kansas Central recorded $95.0 million of energy marketing margins in 2021 related to the February 2021 winter weather event, primarily driven by activities in ERCOT. The amount of energy marketing margins recorded as a result of the February 2021 winter weather event is subject to resettlement activities and/or legislative action in Texas that could result in increases or decreases to the final amount of energy marketing margins earned by Evergy and Evergy Kansas Central and these changes could be material.</w:t>
      </w:r>
    </w:p>
    <w:p>
      <w:pPr>
        <w:spacing w:after="0" w:line="194"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See Notes 1 and 4 to the consolidated financial statements for additional information regarding the February 2021 winter weather event and related AAOs.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Transforming Evergy's Generation Fleet</w:t>
      </w:r>
    </w:p>
    <w:p>
      <w:pPr>
        <w:spacing w:after="0" w:line="2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Evergy Companies are committed to a long-term strategy to reduce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in a cost-effective and reliable manner. In 2020, Evergy achieved a reduction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of approximately 50% from 2005 levels in connection with its then-stated goal to achieve an 80% reduction from 2005 levels by 2050. In connection with the filing of its triennial integrated resource plan in Missouri in April 2021, Evergy announced a revised goal to achieve net-zero carbon emissions by 2045, which includes an interim goal of a 70% reduction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2005 levels by 2030. The trajectory and timing of reaching Evergy's net-zero carbon emissions goal are dependent on enabling technology developments, the reliability of the power grid, and supportive energy policies and regulations.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LEC Unit 4 Securitization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April 2021, the state of Kansas passed the UFSA which allows certain public utilities, including Evergy Kansas Central and Evergy Metro, to securitize utility assets in order to recover energy transition costs relating to the early retirement of certain generating assets. To recover the energy transition costs through securitization as allowed in the UFSA, a public utility must obtain a predetermination order from the KCC finding that the retirement of the subject generation facility is reasonable. Upon the receipt of a successful predetermination order, the public utility must then file an application with the KCC for a financing order to issue securitized bonds to recover the energy transition costs. The UFSA also allows the pursuit of securitization to help finance qualified extraordinary expenses, such as fuel costs incurred during extreme weather events.</w:t>
      </w:r>
    </w:p>
    <w:p>
      <w:pPr>
        <w:spacing w:after="0" w:line="19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In September 2021, Evergy Kansas Central filed a predetermination request with the KCC for the ratemaking principles and treatment related to its planned investment in approximately 190 MW of solar generation and the planned retirement of coal-fired LEC Unit 4 and related coal-handling facilities for LEC Units 4 and 5, both of which are expected to occur between December 2023 and the first half of 2024. An evidentiary hearing in the case is currently scheduled to begin in January 2022 and a decision by the KCC regarding the request is expected in the first or second quarter of 2022.</w:t>
      </w:r>
    </w:p>
    <w:p>
      <w:pPr>
        <w:spacing w:after="0" w:line="19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If the KCC finds that Evergy Kansas Central's planned retirement of LEC Unit 4 and investment in 190 MW of solar generation is prudent as part of the predetermination request, Evergy Kansas Central then plans to file an application with the KCC later in 2022 for a financing order authorizing the issuance of securitized bonds to recover energy transition costs associated with the retirement of LEC Unit 4 and the related coal handling facilities for LEC Units 4 and 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Equity Investment</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From time to time, Evergy makes limited equity investments in early-stage energy solution companies that are privately held. These investments have historically not had a significant impact on Evergy's results of operations. In October 2021, an equity investment in which Evergy held a minority stake was acquired through a transaction involving a special purpose acquisition company (SPAC). As a result of its equity investment in the company that was acquired in the SPAC transaction, Evergy received shares of the resulting public company upon the closing of the transaction, which are subject to a restriction on sale of up to 180 days. Evergy expects to record an unrealized gain in the fourth quarter of 2021 for the conversion of its shares into the newly formed public company along with any changes in the fair value of this investment during the fourth quarter of 2021. The fair value of Evergy's investment will also be affected by its restriction on sale of the shares of the new company. The ultimate amount of this unrealized gain in the fourth quarter of 2021, if any, cannot be estimated at this time as it is largely dependent on the performance of the new public company's stock which is subject to market volatility. However, Evergy currently expects that this gain could have a significant impact on its fourth quarter 2021 earnings when compared with its historical fourth quarter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Bluescape Securities Purchase Agreement</w:t>
      </w:r>
    </w:p>
    <w:p>
      <w:pPr>
        <w:spacing w:after="0" w:line="22"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See Note 12 to the consolidated financial statements for information regarding Evergy's securities purchase agreement with an affiliate of Bluescape to purchase Evergy's common stock and a warrant that was completed in April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w:t>
      </w:r>
    </w:p>
    <w:p>
      <w:pPr>
        <w:spacing w:after="0" w:line="22" w:lineRule="exact"/>
        <w:rPr>
          <w:sz w:val="20"/>
          <w:szCs w:val="20"/>
          <w:color w:val="auto"/>
        </w:rPr>
      </w:pPr>
    </w:p>
    <w:p>
      <w:pPr>
        <w:ind w:right="60"/>
        <w:spacing w:after="0" w:line="297" w:lineRule="auto"/>
        <w:rPr>
          <w:sz w:val="20"/>
          <w:szCs w:val="20"/>
          <w:color w:val="auto"/>
        </w:rPr>
      </w:pPr>
      <w:r>
        <w:rPr>
          <w:rFonts w:ascii="Arial" w:cs="Arial" w:eastAsia="Arial" w:hAnsi="Arial"/>
          <w:sz w:val="18"/>
          <w:szCs w:val="18"/>
          <w:color w:val="auto"/>
        </w:rPr>
        <w:t>See Part II, Item 7, MD&amp;A - Executive Summary in the Evergy Companies' combined 2020 Form 10-K and Part II, Item 1A, Risk Factors in this combined Quarterly Report on Form 10-Q for information regarding the impact of COVID-19 on the Evergy Companies.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regulatory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3"/>
              </w:rPr>
              <w:t>Three Months Ended</w:t>
            </w:r>
          </w:p>
        </w:tc>
        <w:tc>
          <w:tcPr>
            <w:tcW w:w="8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spacing w:after="0" w:line="202" w:lineRule="exact"/>
              <w:rPr>
                <w:sz w:val="20"/>
                <w:szCs w:val="20"/>
                <w:color w:val="auto"/>
              </w:rPr>
            </w:pPr>
            <w:r>
              <w:rPr>
                <w:rFonts w:ascii="Arial" w:cs="Arial" w:eastAsia="Arial" w:hAnsi="Arial"/>
                <w:sz w:val="18"/>
                <w:szCs w:val="18"/>
                <w:b w:val="1"/>
                <w:bCs w:val="1"/>
                <w:color w:val="auto"/>
                <w:w w:val="91"/>
              </w:rPr>
              <w:t>Year to Date</w:t>
            </w: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25"/>
        </w:trPr>
        <w:tc>
          <w:tcPr>
            <w:tcW w:w="3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86"/>
              </w:rPr>
              <w:t>September 30</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September 30</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3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Change</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06"/>
        </w:trPr>
        <w:tc>
          <w:tcPr>
            <w:tcW w:w="3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80" w:type="dxa"/>
            <w:vAlign w:val="bottom"/>
            <w:gridSpan w:val="4"/>
          </w:tcPr>
          <w:p>
            <w:pPr>
              <w:jc w:val="right"/>
              <w:spacing w:after="0"/>
              <w:rPr>
                <w:sz w:val="20"/>
                <w:szCs w:val="20"/>
                <w:color w:val="auto"/>
              </w:rPr>
            </w:pPr>
            <w:r>
              <w:rPr>
                <w:rFonts w:ascii="Arial" w:cs="Arial" w:eastAsia="Arial" w:hAnsi="Arial"/>
                <w:sz w:val="16"/>
                <w:szCs w:val="16"/>
                <w:color w:val="auto"/>
                <w:w w:val="92"/>
              </w:rPr>
              <w:t>(millions, except per share amounts)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84.9</w:t>
            </w:r>
          </w:p>
        </w:tc>
        <w:tc>
          <w:tcPr>
            <w:tcW w:w="3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364.5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259.0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567.3</w:t>
            </w:r>
          </w:p>
        </w:tc>
      </w:tr>
      <w:tr>
        <w:trPr>
          <w:trHeight w:val="23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3.60</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1.11</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r>
    </w:tbl>
    <w:p>
      <w:pPr>
        <w:spacing w:after="0" w:line="294"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color w:val="auto"/>
        </w:rPr>
        <w:t>Net income attributable to Evergy, Inc. increased for the three months ended September 30, 2021, compared to the same period in 2020, primarily due to higher retail sales driven by warmer weather, lower operating and maintenance expenses and higher investment earnings; partially offset by higher depreciation expense, higher property taxes and higher income tax expense.</w:t>
      </w:r>
    </w:p>
    <w:p>
      <w:pPr>
        <w:spacing w:after="0" w:line="17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Diluted EPS increased for the three months ended September 30, 2021, compared to the same period in 2020, primarily due to the increase in net income attributable to Evergy, Inc. discussed above.</w:t>
      </w:r>
    </w:p>
    <w:p>
      <w:pPr>
        <w:spacing w:after="0" w:line="177" w:lineRule="exact"/>
        <w:rPr>
          <w:sz w:val="20"/>
          <w:szCs w:val="20"/>
          <w:color w:val="auto"/>
        </w:rPr>
      </w:pPr>
    </w:p>
    <w:p>
      <w:pPr>
        <w:ind w:right="200"/>
        <w:spacing w:after="0" w:line="328" w:lineRule="auto"/>
        <w:rPr>
          <w:sz w:val="20"/>
          <w:szCs w:val="20"/>
          <w:color w:val="auto"/>
        </w:rPr>
      </w:pPr>
      <w:r>
        <w:rPr>
          <w:rFonts w:ascii="Arial" w:cs="Arial" w:eastAsia="Arial" w:hAnsi="Arial"/>
          <w:sz w:val="16"/>
          <w:szCs w:val="16"/>
          <w:color w:val="auto"/>
        </w:rPr>
        <w:t>Net income attributable to Evergy, Inc. increased year to date September 30, 2021, compared to the same period in 2020, primarily due to non-regulated energy marketing margins related to the February 2021 winter weather event, higher retail sales driven by favorable weather, lower operating and maintenance expenses, higher equity allowance for funds used during construction (AFUDC), higher investment earnings and lower interest expense; partially offset by higher property taxes, higher depreciation expense and higher income tax expense.</w:t>
      </w:r>
    </w:p>
    <w:p>
      <w:pPr>
        <w:spacing w:after="0" w:line="128"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Diluted EPS increased year to date September 30, 2021, compared to the same period in 2020, primarily due to the increase in net income attributable to Evergy, Inc. discussed above.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Earnings (non-GAAP) and Adjusted EPS (non-GAAP)</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Evergy's adjusted earnings (non-GAAP) and adjusted EPS (non-GAAP) for the three months ended and year to date September 30,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were $454.8 million or $1.98 per share and $775.3 million or $3.38 per share, respectively. For the three months ended and year to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Evergy's adjusted earnings (non-GAAP) and adjusted EPS (non-GAAP) were $393.3 million or $1.73 per share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$641.7 million or $2.82 per share, respectively. In addition to net income attributable to Evergy, Inc. and diluted EPS, Evergy's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uses adjusted earnings (non-GAAP) and adjusted EPS (non-GAAP) to evaluate earnings and EPS without the income or costs resulting from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non-regulated energy marketing margins from the February 2021 winter weather event, as well as costs resulting from executive transition,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severance, advisor expenses and the revaluation of deferred tax assets and liabilities from the Kansas corporate income tax rate change.</w:t>
      </w:r>
    </w:p>
    <w:p>
      <w:pPr>
        <w:spacing w:after="0" w:line="22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Adjusted earnings (non-GAAP) and adjusted EPS (non-GAAP) are intended to enhance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93"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tables provide a reconciliation between net income attributable to Evergy, Inc. and diluted EPS as determined in accordance with GAAP and adjusted earnings (non-GAAP) and adjusted EPS (non-GAAP).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90"/>
              <w:spacing w:after="0" w:line="202" w:lineRule="exact"/>
              <w:rPr>
                <w:sz w:val="20"/>
                <w:szCs w:val="20"/>
                <w:color w:val="auto"/>
              </w:rPr>
            </w:pPr>
            <w:r>
              <w:rPr>
                <w:rFonts w:ascii="Arial" w:cs="Arial" w:eastAsia="Arial" w:hAnsi="Arial"/>
                <w:sz w:val="18"/>
                <w:szCs w:val="18"/>
                <w:b w:val="1"/>
                <w:bCs w:val="1"/>
                <w:color w:val="auto"/>
                <w:w w:val="90"/>
              </w:rPr>
              <w:t>Earnings</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(Loss) per</w:t>
            </w:r>
          </w:p>
        </w:tc>
        <w:tc>
          <w:tcPr>
            <w:tcW w:w="260" w:type="dxa"/>
            <w:vAlign w:val="bottom"/>
          </w:tcPr>
          <w:p>
            <w:pPr>
              <w:spacing w:after="0"/>
              <w:rPr>
                <w:sz w:val="15"/>
                <w:szCs w:val="15"/>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5"/>
        </w:trPr>
        <w:tc>
          <w:tcPr>
            <w:tcW w:w="5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4"/>
              </w:rPr>
              <w:t>Diluted</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Share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9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9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9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(b)</w:t>
            </w:r>
          </w:p>
        </w:tc>
        <w:tc>
          <w:tcPr>
            <w:tcW w:w="9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(c)</w:t>
            </w:r>
          </w:p>
        </w:tc>
        <w:tc>
          <w:tcPr>
            <w:tcW w:w="9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(d)</w:t>
            </w:r>
          </w:p>
        </w:tc>
        <w:tc>
          <w:tcPr>
            <w:tcW w:w="9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720" w:type="dxa"/>
            <w:vAlign w:val="bottom"/>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(e)</w:t>
            </w:r>
          </w:p>
        </w:tc>
        <w:tc>
          <w:tcPr>
            <w:tcW w:w="9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auto"/>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Income tax benefit</w:t>
            </w:r>
            <w:r>
              <w:rPr>
                <w:rFonts w:ascii="Arial" w:cs="Arial" w:eastAsia="Arial" w:hAnsi="Arial"/>
                <w:sz w:val="23"/>
                <w:szCs w:val="23"/>
                <w:color w:val="auto"/>
                <w:vertAlign w:val="superscript"/>
              </w:rPr>
              <w:t>(f)</w:t>
            </w:r>
          </w:p>
        </w:tc>
        <w:tc>
          <w:tcPr>
            <w:tcW w:w="9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earnings (non-GAAP)</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826.3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5"/>
                <w:szCs w:val="15"/>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(d)</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(f)</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Kansas corporate income tax change</w:t>
            </w:r>
            <w:r>
              <w:rPr>
                <w:rFonts w:ascii="Arial" w:cs="Arial" w:eastAsia="Arial" w:hAnsi="Arial"/>
                <w:sz w:val="23"/>
                <w:szCs w:val="23"/>
                <w:color w:val="auto"/>
                <w:vertAlign w:val="superscript"/>
              </w:rPr>
              <w:t>(g)</w:t>
            </w:r>
          </w:p>
        </w:tc>
        <w:tc>
          <w:tcPr>
            <w:tcW w:w="8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right="20" w:hanging="172"/>
        <w:spacing w:after="0" w:line="233"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non-regulated energy marketing margins related to the February 2021 winter weather event and are included in operating revenues on the consolidated statements of comprehensive income.</w:t>
      </w:r>
    </w:p>
    <w:p>
      <w:pPr>
        <w:spacing w:after="0" w:line="1" w:lineRule="exact"/>
        <w:rPr>
          <w:rFonts w:ascii="Arial" w:cs="Arial" w:eastAsia="Arial" w:hAnsi="Arial"/>
          <w:sz w:val="20"/>
          <w:szCs w:val="20"/>
          <w:color w:val="auto"/>
          <w:vertAlign w:val="superscript"/>
        </w:rPr>
      </w:pPr>
    </w:p>
    <w:p>
      <w:pPr>
        <w:ind w:left="180" w:right="16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non-regulated energy marketing incentive compensation costs related to the February 2021 winter weather event and are included in operating and maintenance expense on the consolidated statements of comprehensive income.</w:t>
      </w:r>
    </w:p>
    <w:p>
      <w:pPr>
        <w:ind w:left="180" w:right="200" w:hanging="172"/>
        <w:spacing w:after="0" w:line="213" w:lineRule="auto"/>
        <w:tabs>
          <w:tab w:leader="none" w:pos="17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costs associated with executive transition including inducement bonuses, severance agreements and other transition expenses and are included in operating and maintenance expense on the consolidated statements of comprehensive income.</w:t>
      </w:r>
    </w:p>
    <w:p>
      <w:pPr>
        <w:ind w:left="180" w:right="12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severance costs incurred associated with certain voluntary severance programs at the Evergy Companies and are included in operating and maintenance expense on the consolidated statements of comprehensive income.</w:t>
      </w:r>
    </w:p>
    <w:p>
      <w:pPr>
        <w:ind w:left="180" w:right="760" w:hanging="172"/>
        <w:spacing w:after="0" w:line="225"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advisor expenses incurred associated with strategic planning and are included in operating and maintenance expense on the consolidated statements of comprehensive income.</w:t>
      </w:r>
    </w:p>
    <w:p>
      <w:pPr>
        <w:ind w:left="160" w:hanging="152"/>
        <w:spacing w:after="0" w:line="197" w:lineRule="auto"/>
        <w:tabs>
          <w:tab w:leader="none" w:pos="16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an income tax effect calculated at a statutory rate of approximately 22% in 2021 and 26% in 2020, with the exception of certain non-deductible items.</w:t>
      </w:r>
    </w:p>
    <w:p>
      <w:pPr>
        <w:ind w:left="180" w:right="400" w:hanging="172"/>
        <w:spacing w:after="0" w:line="234"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the revaluation of Evergy Kansas Central's, Evergy Metro's and Evergy Missouri West's deferred income tax assets and liabilities from the Kansas corporate income tax rate change and are included in income tax expense on the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Wolf Creek's most recent refueling outage began in March 2021 and the unit returned to service in May 2021. Wolf Creek's next refueling outage is planned to begin in the third quarter of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10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11 to the consolidated financial statements for information regarding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30"/>
              <w:spacing w:after="0" w:line="202" w:lineRule="exact"/>
              <w:rPr>
                <w:sz w:val="20"/>
                <w:szCs w:val="20"/>
                <w:color w:val="auto"/>
              </w:rPr>
            </w:pPr>
            <w:r>
              <w:rPr>
                <w:rFonts w:ascii="Arial" w:cs="Arial" w:eastAsia="Arial" w:hAnsi="Arial"/>
                <w:sz w:val="18"/>
                <w:szCs w:val="18"/>
                <w:b w:val="1"/>
                <w:bCs w:val="1"/>
                <w:color w:val="auto"/>
              </w:rPr>
              <w:t>Three Months Ended</w:t>
            </w:r>
          </w:p>
        </w:tc>
        <w:tc>
          <w:tcPr>
            <w:tcW w:w="9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20"/>
              <w:spacing w:after="0" w:line="202" w:lineRule="exact"/>
              <w:rPr>
                <w:sz w:val="20"/>
                <w:szCs w:val="20"/>
                <w:color w:val="auto"/>
              </w:rPr>
            </w:pPr>
            <w:r>
              <w:rPr>
                <w:rFonts w:ascii="Arial" w:cs="Arial" w:eastAsia="Arial" w:hAnsi="Arial"/>
                <w:sz w:val="18"/>
                <w:szCs w:val="18"/>
                <w:b w:val="1"/>
                <w:bCs w:val="1"/>
                <w:color w:val="auto"/>
              </w:rPr>
              <w:t>Year to Date</w:t>
            </w: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September 30</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September 30</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1,616.5</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98.9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1,517.6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4,464.6</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645.6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355.8</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316.2</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1,275.0</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442.5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216.8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265.2</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32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304.6</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800.6</w:t>
            </w:r>
          </w:p>
        </w:tc>
        <w:tc>
          <w:tcPr>
            <w:tcW w:w="2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218.0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669.5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96.2</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91.0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289.0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521.7</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1,213.7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222.8</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11.9</w:t>
            </w:r>
          </w:p>
        </w:tc>
        <w:tc>
          <w:tcPr>
            <w:tcW w:w="32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33.5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94.8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176"/>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Equity in earnings of equity method investees, net of</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452.5</w:t>
            </w:r>
          </w:p>
        </w:tc>
        <w:tc>
          <w:tcPr>
            <w:tcW w:w="2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85.0</w:t>
            </w:r>
          </w:p>
        </w:tc>
        <w:tc>
          <w:tcPr>
            <w:tcW w:w="32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367.5</w:t>
            </w:r>
          </w:p>
        </w:tc>
        <w:tc>
          <w:tcPr>
            <w:tcW w:w="3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835.4</w:t>
            </w:r>
          </w:p>
        </w:tc>
        <w:tc>
          <w:tcPr>
            <w:tcW w:w="26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259.4</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attributable to noncontrolling</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449.4</w:t>
            </w: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84.9</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364.5</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826.3</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259.0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Utility Gross Margin and MWh Sales</w:t>
      </w:r>
    </w:p>
    <w:p>
      <w:pPr>
        <w:spacing w:after="0" w:line="22"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w:t>
      </w:r>
    </w:p>
    <w:p>
      <w:pPr>
        <w:spacing w:after="0" w:line="18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Management believes that utility gross margin provides a meaningful basis for evaluating the Evergy Companies' operations across periods because utility gross margin excludes the revenue effect of fluctuations in these expenses. Utility gross margin is used internally to measure performance against budget and in reports for management and the Evergy Board. Utility gross margin should be viewed as a supplement to, and not a substitute for, income from operations, which is the most directly comparable financial measure prepared in accordance with GAAP. The Evergy Companies' definition of utility gross margin may differ from similar terms used by other companies.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ind w:left="1"/>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right="80"/>
        <w:spacing w:after="0" w:line="260" w:lineRule="auto"/>
        <w:rPr>
          <w:sz w:val="20"/>
          <w:szCs w:val="20"/>
          <w:color w:val="auto"/>
        </w:rPr>
      </w:pPr>
      <w:r>
        <w:rPr>
          <w:rFonts w:ascii="Arial" w:cs="Arial" w:eastAsia="Arial" w:hAnsi="Arial"/>
          <w:sz w:val="20"/>
          <w:szCs w:val="20"/>
          <w:color w:val="auto"/>
        </w:rPr>
        <w:t>The following tables summarize Evergy's utility gross margin and MWhs sold and provide a reconciliation of utility gross margin to income from operations.</w:t>
      </w:r>
    </w:p>
    <w:p>
      <w:pPr>
        <w:spacing w:after="0" w:line="201"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5,135</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322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525.0</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5,146</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232</w:t>
            </w:r>
          </w:p>
        </w:tc>
        <w:tc>
          <w:tcPr>
            <w:tcW w:w="840" w:type="dxa"/>
            <w:vAlign w:val="bottom"/>
          </w:tcPr>
          <w:p>
            <w:pPr>
              <w:jc w:val="right"/>
              <w:spacing w:after="0"/>
              <w:rPr>
                <w:sz w:val="20"/>
                <w:szCs w:val="20"/>
                <w:color w:val="auto"/>
              </w:rPr>
            </w:pPr>
            <w:r>
              <w:rPr>
                <w:rFonts w:ascii="Arial" w:cs="Arial" w:eastAsia="Arial" w:hAnsi="Arial"/>
                <w:sz w:val="18"/>
                <w:szCs w:val="18"/>
                <w:color w:val="auto"/>
              </w:rPr>
              <w:t>4,914</w:t>
            </w: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166.0</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2,293</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32</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1,377.6</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65.4</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12,606</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572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5,883</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2,376</w:t>
            </w:r>
          </w:p>
        </w:tc>
        <w:tc>
          <w:tcPr>
            <w:tcW w:w="840" w:type="dxa"/>
            <w:vAlign w:val="bottom"/>
          </w:tcPr>
          <w:p>
            <w:pPr>
              <w:jc w:val="right"/>
              <w:spacing w:after="0"/>
              <w:rPr>
                <w:sz w:val="20"/>
                <w:szCs w:val="20"/>
                <w:color w:val="auto"/>
              </w:rPr>
            </w:pPr>
            <w:r>
              <w:rPr>
                <w:rFonts w:ascii="Arial" w:cs="Arial" w:eastAsia="Arial" w:hAnsi="Arial"/>
                <w:sz w:val="18"/>
                <w:szCs w:val="18"/>
                <w:color w:val="auto"/>
              </w:rPr>
              <w:t>3,507</w:t>
            </w: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43.6</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1,616.5</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18,489</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2,948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15,541</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1,187.1</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51.8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1,135.3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600.7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79.0</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521.7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980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hanging="161"/>
        <w:spacing w:after="0"/>
        <w:tabs>
          <w:tab w:leader="none" w:pos="16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215"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800" w:type="dxa"/>
            <w:vAlign w:val="bottom"/>
            <w:tcBorders>
              <w:top w:val="single" w:sz="8" w:color="auto"/>
            </w:tcBorders>
            <w:gridSpan w:val="5"/>
          </w:tcPr>
          <w:p>
            <w:pPr>
              <w:jc w:val="center"/>
              <w:ind w:right="9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1,533.9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12,556</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442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12,114</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1,293.5</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1,272.9</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13,538</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564</w:t>
            </w:r>
          </w:p>
        </w:tc>
        <w:tc>
          <w:tcPr>
            <w:tcW w:w="840" w:type="dxa"/>
            <w:vAlign w:val="bottom"/>
          </w:tcPr>
          <w:p>
            <w:pPr>
              <w:jc w:val="right"/>
              <w:spacing w:after="0"/>
              <w:rPr>
                <w:sz w:val="20"/>
                <w:szCs w:val="20"/>
                <w:color w:val="auto"/>
              </w:rPr>
            </w:pPr>
            <w:r>
              <w:rPr>
                <w:rFonts w:ascii="Arial" w:cs="Arial" w:eastAsia="Arial" w:hAnsi="Arial"/>
                <w:sz w:val="18"/>
                <w:szCs w:val="18"/>
                <w:color w:val="auto"/>
              </w:rPr>
              <w:t>12,974</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6,424</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w:t>
            </w: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3,303.1</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32,616</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1,258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31,358</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662.5</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466.7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195.8</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13,087</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2,845</w:t>
            </w:r>
          </w:p>
        </w:tc>
        <w:tc>
          <w:tcPr>
            <w:tcW w:w="840" w:type="dxa"/>
            <w:vAlign w:val="bottom"/>
          </w:tcPr>
          <w:p>
            <w:pPr>
              <w:jc w:val="right"/>
              <w:spacing w:after="0"/>
              <w:rPr>
                <w:sz w:val="20"/>
                <w:szCs w:val="20"/>
                <w:color w:val="auto"/>
              </w:rPr>
            </w:pPr>
            <w:r>
              <w:rPr>
                <w:rFonts w:ascii="Arial" w:cs="Arial" w:eastAsia="Arial" w:hAnsi="Arial"/>
                <w:sz w:val="18"/>
                <w:szCs w:val="18"/>
                <w:color w:val="auto"/>
              </w:rPr>
              <w:t>10,242</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266.7</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232.3</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112.0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4,464.6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645.6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45,703</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4,103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41,600</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(1,275.0)</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(442.5)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(832.5)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1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2,972.8</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184.1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2,788.7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64.9</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(669.5)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1,213.7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222.8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990.9</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980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hanging="161"/>
        <w:spacing w:after="0"/>
        <w:tabs>
          <w:tab w:leader="none" w:pos="161"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42" w:lineRule="exact"/>
        <w:rPr>
          <w:rFonts w:ascii="Arial" w:cs="Arial" w:eastAsia="Arial" w:hAnsi="Arial"/>
          <w:sz w:val="19"/>
          <w:szCs w:val="19"/>
          <w:color w:val="auto"/>
          <w:vertAlign w:val="superscript"/>
        </w:rPr>
      </w:pPr>
    </w:p>
    <w:p>
      <w:pPr>
        <w:ind w:left="5541"/>
        <w:spacing w:after="0"/>
        <w:rPr>
          <w:rFonts w:ascii="Arial" w:cs="Arial" w:eastAsia="Arial" w:hAnsi="Arial"/>
          <w:sz w:val="19"/>
          <w:szCs w:val="19"/>
          <w:color w:val="auto"/>
          <w:vertAlign w:val="superscript"/>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Evergy's utility gross margin increased $51.8 million for the three months ended September 30, 2021, compared to the same period in 2020, driven by:</w:t>
      </w:r>
    </w:p>
    <w:p>
      <w:pPr>
        <w:spacing w:after="0" w:line="69" w:lineRule="exact"/>
        <w:rPr>
          <w:sz w:val="20"/>
          <w:szCs w:val="20"/>
          <w:color w:val="auto"/>
        </w:rPr>
      </w:pPr>
    </w:p>
    <w:p>
      <w:pPr>
        <w:ind w:left="660" w:right="50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$41.3 million increase primarily due to higher retail sales driven by warmer weather (cooling degree days increased by 22%), partially offset by a decrease in weather-normalized residential demand;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$10.0 million increase related to TDC riders in 2021, primarily at Evergy Kansas Central; and</w:t>
      </w:r>
    </w:p>
    <w:p>
      <w:pPr>
        <w:spacing w:after="0" w:line="107" w:lineRule="exact"/>
        <w:rPr>
          <w:rFonts w:ascii="Arial" w:cs="Arial" w:eastAsia="Arial" w:hAnsi="Arial"/>
          <w:sz w:val="20"/>
          <w:szCs w:val="20"/>
          <w:color w:val="auto"/>
        </w:rPr>
      </w:pPr>
    </w:p>
    <w:p>
      <w:pPr>
        <w:ind w:left="660" w:right="26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$9.6 million increase in transmission revenue due to updated transmission costs reflected in Evergy Kansas Central's FERC TFR effective in January 2021; partially offset by</w:t>
      </w:r>
    </w:p>
    <w:p>
      <w:pPr>
        <w:spacing w:after="0" w:line="68"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$9.1 million decrease in revenues at Evergy Kansas Central and Evergy Metro due to rate reductions beginning January 1, 2021 in Kansas to reflect their exemption from Kansas corporate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Evergy's utility gross margin increased $184.1 million year to date September 30, 2021, compared to the same period in 2020, driven by:</w:t>
      </w:r>
    </w:p>
    <w:p>
      <w:pPr>
        <w:spacing w:after="0" w:line="131" w:lineRule="exact"/>
        <w:rPr>
          <w:sz w:val="20"/>
          <w:szCs w:val="20"/>
          <w:color w:val="auto"/>
        </w:rPr>
      </w:pPr>
    </w:p>
    <w:p>
      <w:pPr>
        <w:ind w:left="660" w:right="20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$95.0 million of non-regulated energy marketing margins recognized at Evergy Kansas Central related to the February 2021 winter weather event;</w:t>
      </w:r>
    </w:p>
    <w:p>
      <w:pPr>
        <w:spacing w:after="0" w:line="68" w:lineRule="exact"/>
        <w:rPr>
          <w:rFonts w:ascii="Arial" w:cs="Arial" w:eastAsia="Arial" w:hAnsi="Arial"/>
          <w:sz w:val="20"/>
          <w:szCs w:val="20"/>
          <w:color w:val="auto"/>
        </w:rPr>
      </w:pPr>
    </w:p>
    <w:p>
      <w:pPr>
        <w:ind w:left="660" w:right="26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$72.4 million increase primarily due to higher retail sales driven by favorable weather (heating degree days increased by 5% and cooling degree days increased by 14%);</w:t>
      </w:r>
    </w:p>
    <w:p>
      <w:pPr>
        <w:spacing w:after="0" w:line="68"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$28.2 million increase in transmission revenue primarily due to updated transmission costs reflected in Evergy Kansas Central's FERC TFR effective in January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$10.1 million increase related to TDC riders in 2021, primarily at Evergy Kansas Central;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$1.6 million net increase due to other impacts from the February 2021 winter weather event driven by:</w:t>
      </w:r>
    </w:p>
    <w:p>
      <w:pPr>
        <w:spacing w:after="0" w:line="107" w:lineRule="exact"/>
        <w:rPr>
          <w:rFonts w:ascii="Arial" w:cs="Arial" w:eastAsia="Arial" w:hAnsi="Arial"/>
          <w:sz w:val="20"/>
          <w:szCs w:val="20"/>
          <w:color w:val="auto"/>
        </w:rPr>
      </w:pPr>
    </w:p>
    <w:p>
      <w:pPr>
        <w:ind w:left="1300" w:right="240" w:hanging="320"/>
        <w:spacing w:after="0" w:line="287" w:lineRule="auto"/>
        <w:tabs>
          <w:tab w:leader="none" w:pos="1289" w:val="left"/>
        </w:tabs>
        <w:numPr>
          <w:ilvl w:val="1"/>
          <w:numId w:val="16"/>
        </w:numPr>
        <w:rPr>
          <w:rFonts w:ascii="Arial" w:cs="Arial" w:eastAsia="Arial" w:hAnsi="Arial"/>
          <w:sz w:val="19"/>
          <w:szCs w:val="19"/>
          <w:color w:val="auto"/>
        </w:rPr>
      </w:pPr>
      <w:r>
        <w:rPr>
          <w:rFonts w:ascii="Arial" w:cs="Arial" w:eastAsia="Arial" w:hAnsi="Arial"/>
          <w:sz w:val="19"/>
          <w:szCs w:val="19"/>
          <w:color w:val="auto"/>
        </w:rPr>
        <w:t>a $33.9 million increase at Evergy Kansas Central driven by higher utility gross margin at its non-regulated 8% ownership share of JEC due to higher wholesale sales prices and MWhs sold in February 2021; partially offset by</w:t>
      </w:r>
    </w:p>
    <w:p>
      <w:pPr>
        <w:spacing w:after="0" w:line="44" w:lineRule="exact"/>
        <w:rPr>
          <w:rFonts w:ascii="Arial" w:cs="Arial" w:eastAsia="Arial" w:hAnsi="Arial"/>
          <w:sz w:val="19"/>
          <w:szCs w:val="19"/>
          <w:color w:val="auto"/>
        </w:rPr>
      </w:pPr>
    </w:p>
    <w:p>
      <w:pPr>
        <w:jc w:val="both"/>
        <w:ind w:left="1300" w:right="320" w:hanging="320"/>
        <w:spacing w:after="0" w:line="269" w:lineRule="auto"/>
        <w:tabs>
          <w:tab w:leader="none" w:pos="1289" w:val="left"/>
        </w:tabs>
        <w:numPr>
          <w:ilvl w:val="1"/>
          <w:numId w:val="16"/>
        </w:numPr>
        <w:rPr>
          <w:rFonts w:ascii="Arial" w:cs="Arial" w:eastAsia="Arial" w:hAnsi="Arial"/>
          <w:sz w:val="19"/>
          <w:szCs w:val="19"/>
          <w:color w:val="auto"/>
        </w:rPr>
      </w:pPr>
      <w:r>
        <w:rPr>
          <w:rFonts w:ascii="Arial" w:cs="Arial" w:eastAsia="Arial" w:hAnsi="Arial"/>
          <w:sz w:val="19"/>
          <w:szCs w:val="19"/>
          <w:color w:val="auto"/>
        </w:rPr>
        <w:t>a $20.9 million decrease at Evergy Missouri West driven by $14.7 million of increased fuel and purchased power costs in February 2021 that are not currently recoverable from customers through its fuel recovery mechanism and a $6.2 million decrease related to a special requirements contract with an industrial customer; and</w:t>
      </w:r>
    </w:p>
    <w:p>
      <w:pPr>
        <w:spacing w:after="0" w:line="61" w:lineRule="exact"/>
        <w:rPr>
          <w:rFonts w:ascii="Arial" w:cs="Arial" w:eastAsia="Arial" w:hAnsi="Arial"/>
          <w:sz w:val="19"/>
          <w:szCs w:val="19"/>
          <w:color w:val="auto"/>
        </w:rPr>
      </w:pPr>
    </w:p>
    <w:p>
      <w:pPr>
        <w:ind w:left="1300" w:right="20" w:hanging="320"/>
        <w:spacing w:after="0" w:line="250" w:lineRule="auto"/>
        <w:tabs>
          <w:tab w:leader="none" w:pos="1289" w:val="left"/>
        </w:tabs>
        <w:numPr>
          <w:ilvl w:val="1"/>
          <w:numId w:val="16"/>
        </w:numPr>
        <w:rPr>
          <w:rFonts w:ascii="Arial" w:cs="Arial" w:eastAsia="Arial" w:hAnsi="Arial"/>
          <w:sz w:val="20"/>
          <w:szCs w:val="20"/>
          <w:color w:val="auto"/>
        </w:rPr>
      </w:pPr>
      <w:r>
        <w:rPr>
          <w:rFonts w:ascii="Arial" w:cs="Arial" w:eastAsia="Arial" w:hAnsi="Arial"/>
          <w:sz w:val="20"/>
          <w:szCs w:val="20"/>
          <w:color w:val="auto"/>
        </w:rPr>
        <w:t>an $11.4 million decrease at Evergy Metro primarily driven by jurisdictional allocation differences currently present between its fuel recovery mechanisms in Missouri and Kansas regarding its refund to customers for the net increase in wholesale revenues in February 2021; partially offset by</w:t>
      </w:r>
    </w:p>
    <w:p>
      <w:pPr>
        <w:spacing w:after="0" w:line="77"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$23.2 million decrease in revenues at Evergy Kansas Central and Evergy Metro due to rate reductions beginning January 1, 2021 in Kansas to reflect their exemption from Kansas corporate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Evergy's operating and maintenance expense decreased $39.4 million for the three months ended September 30, 2021, compared to the same period in 2020, primarily driven by:</w:t>
      </w:r>
    </w:p>
    <w:p>
      <w:pPr>
        <w:spacing w:after="0" w:line="83" w:lineRule="exact"/>
        <w:rPr>
          <w:sz w:val="20"/>
          <w:szCs w:val="20"/>
          <w:color w:val="auto"/>
        </w:rPr>
      </w:pPr>
    </w:p>
    <w:p>
      <w:pPr>
        <w:ind w:left="660" w:right="260" w:hanging="328"/>
        <w:spacing w:after="0" w:line="291"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$28.7 million decrease in voluntary severance expenses due to a $28.3 million decrease at Evergy Kansas Central, Evergy Metro and Evergy Missouri West related to Evergy voluntary exit programs in 2020 and a $0.4 million decrease in voluntary severance expenses incurred at Evergy Kansas Central and Evergy Metro related to Wolf Creek voluntary exit programs in 2020;</w:t>
      </w:r>
    </w:p>
    <w:p>
      <w:pPr>
        <w:spacing w:after="0" w:line="43" w:lineRule="exact"/>
        <w:rPr>
          <w:rFonts w:ascii="Arial" w:cs="Arial" w:eastAsia="Arial" w:hAnsi="Arial"/>
          <w:sz w:val="18"/>
          <w:szCs w:val="18"/>
          <w:color w:val="auto"/>
        </w:rPr>
      </w:pPr>
    </w:p>
    <w:p>
      <w:pPr>
        <w:ind w:left="640" w:hanging="308"/>
        <w:spacing w:after="0"/>
        <w:tabs>
          <w:tab w:leader="none" w:pos="6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 $8.5 million decrease in advisor expenses incurred in the third quarter of 2021 associated with strategic planning; and</w:t>
      </w:r>
    </w:p>
    <w:p>
      <w:pPr>
        <w:spacing w:after="0" w:line="119" w:lineRule="exact"/>
        <w:rPr>
          <w:rFonts w:ascii="Arial" w:cs="Arial" w:eastAsia="Arial" w:hAnsi="Arial"/>
          <w:sz w:val="19"/>
          <w:szCs w:val="19"/>
          <w:color w:val="auto"/>
        </w:rPr>
      </w:pPr>
    </w:p>
    <w:p>
      <w:pPr>
        <w:ind w:left="660" w:hanging="328"/>
        <w:spacing w:after="0" w:line="316"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$3.0 million decrease in various transmission and distribution operating and maintenance expenses primarily due to lower labor and contractor costs primarily driven by a higher mix of transmission capital projects in the third quarter of 2021; partially offset by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right="46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$3.3 million of costs associated with executive transition in the third quarter of 2021, including severance agreements and other transition expenses; and</w:t>
      </w:r>
    </w:p>
    <w:p>
      <w:pPr>
        <w:spacing w:after="0" w:line="68" w:lineRule="exact"/>
        <w:rPr>
          <w:rFonts w:ascii="Arial" w:cs="Arial" w:eastAsia="Arial" w:hAnsi="Arial"/>
          <w:sz w:val="20"/>
          <w:szCs w:val="20"/>
          <w:color w:val="auto"/>
        </w:rPr>
      </w:pPr>
    </w:p>
    <w:p>
      <w:pPr>
        <w:ind w:left="660" w:right="4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$1.9 million of costs at Evergy Kansas Central related to non-regulated energy marketing margins recognized related to the February 2021 winter weather event.</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Evergy's operating and maintenance expense decreased $64.9 million year to date September 30, 2021, compared to the same period in 2020, primarily driven by:</w:t>
      </w:r>
    </w:p>
    <w:p>
      <w:pPr>
        <w:spacing w:after="0" w:line="69" w:lineRule="exact"/>
        <w:rPr>
          <w:sz w:val="20"/>
          <w:szCs w:val="20"/>
          <w:color w:val="auto"/>
        </w:rPr>
      </w:pPr>
    </w:p>
    <w:p>
      <w:pPr>
        <w:ind w:left="660" w:right="240" w:hanging="328"/>
        <w:spacing w:after="0" w:line="291"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$52.5 million decrease in voluntary severance expenses due to a $45.5 million decrease at Evergy Kansas Central, Evergy Metro and Evergy Missouri West related to Evergy voluntary exit programs in 2020 and a $7.0 million decrease in voluntary severance expenses incurred at Evergy Kansas Central and Evergy Metro related to Wolf Creek voluntary exit programs in 2020;</w:t>
      </w:r>
    </w:p>
    <w:p>
      <w:pPr>
        <w:spacing w:after="0" w:line="43" w:lineRule="exact"/>
        <w:rPr>
          <w:rFonts w:ascii="Arial" w:cs="Arial" w:eastAsia="Arial" w:hAnsi="Arial"/>
          <w:sz w:val="18"/>
          <w:szCs w:val="18"/>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$17.7 million decrease in advisor expenses incurred in 2021 associated with strategic planning;</w:t>
      </w:r>
    </w:p>
    <w:p>
      <w:pPr>
        <w:spacing w:after="0" w:line="107" w:lineRule="exact"/>
        <w:rPr>
          <w:rFonts w:ascii="Arial" w:cs="Arial" w:eastAsia="Arial" w:hAnsi="Arial"/>
          <w:sz w:val="20"/>
          <w:szCs w:val="20"/>
          <w:color w:val="auto"/>
        </w:rPr>
      </w:pPr>
    </w:p>
    <w:p>
      <w:pPr>
        <w:ind w:left="660" w:right="22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$10.4 million decrease in various transmission and distribution operating and maintenance expenses primarily due to lower labor and contractor costs primarily driven by a higher mix of transmission capital projects in 2021; and</w:t>
      </w:r>
    </w:p>
    <w:p>
      <w:pPr>
        <w:spacing w:after="0" w:line="68" w:lineRule="exact"/>
        <w:rPr>
          <w:rFonts w:ascii="Arial" w:cs="Arial" w:eastAsia="Arial" w:hAnsi="Arial"/>
          <w:sz w:val="20"/>
          <w:szCs w:val="20"/>
          <w:color w:val="auto"/>
        </w:rPr>
      </w:pPr>
    </w:p>
    <w:p>
      <w:pPr>
        <w:ind w:left="660" w:right="60" w:hanging="328"/>
        <w:spacing w:after="0" w:line="25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$7.9 million decrease in credit loss expense at Evergy Kansas Central, Evergy Metro and Evergy Missouri West primarily due to increases made to the allowance for credit losses in 2020 related to the economic slowdown resulting from the COVID-19 pandemic and a lower level of write-offs in 2021; partially offset by</w:t>
      </w:r>
    </w:p>
    <w:p>
      <w:pPr>
        <w:spacing w:after="0" w:line="77"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$10.6 million of costs associated with executive transition in 2021, including inducement bonuses, severance agreements and other transition expenses;</w:t>
      </w:r>
    </w:p>
    <w:p>
      <w:pPr>
        <w:spacing w:after="0" w:line="68"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$6.6 million increase in plant operating and maintenance expense at fossil-fuel generating units primarily due to an $8.0 million increase at Evergy Kansas Central primarily driven by a major maintenance outage at JEC in 2021;</w:t>
      </w:r>
    </w:p>
    <w:p>
      <w:pPr>
        <w:spacing w:after="0" w:line="68" w:lineRule="exact"/>
        <w:rPr>
          <w:rFonts w:ascii="Arial" w:cs="Arial" w:eastAsia="Arial" w:hAnsi="Arial"/>
          <w:sz w:val="20"/>
          <w:szCs w:val="20"/>
          <w:color w:val="auto"/>
        </w:rPr>
      </w:pPr>
    </w:p>
    <w:p>
      <w:pPr>
        <w:ind w:left="660" w:right="26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$5.9 million of costs at Evergy Kansas Central related to non-regulated energy marketing margins recognized during the February 2021 winter weather event; and</w:t>
      </w:r>
    </w:p>
    <w:p>
      <w:pPr>
        <w:spacing w:after="0" w:line="68" w:lineRule="exact"/>
        <w:rPr>
          <w:rFonts w:ascii="Arial" w:cs="Arial" w:eastAsia="Arial" w:hAnsi="Arial"/>
          <w:sz w:val="20"/>
          <w:szCs w:val="20"/>
          <w:color w:val="auto"/>
        </w:rPr>
      </w:pPr>
    </w:p>
    <w:p>
      <w:pPr>
        <w:ind w:left="660" w:right="560" w:hanging="328"/>
        <w:spacing w:after="0" w:line="287" w:lineRule="auto"/>
        <w:tabs>
          <w:tab w:leader="none" w:pos="648"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$2.7 million increase in property insurance expense due to a lower annual refund of nuclear insurance premiums received by Evergy Kansas Central and Evergy Metro in 2021 related to their ownership interests in Wolf Creek.</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ind w:right="60"/>
        <w:spacing w:after="0" w:line="365" w:lineRule="auto"/>
        <w:rPr>
          <w:sz w:val="20"/>
          <w:szCs w:val="20"/>
          <w:color w:val="auto"/>
        </w:rPr>
      </w:pPr>
      <w:r>
        <w:rPr>
          <w:rFonts w:ascii="Arial" w:cs="Arial" w:eastAsia="Arial" w:hAnsi="Arial"/>
          <w:sz w:val="16"/>
          <w:szCs w:val="16"/>
          <w:color w:val="auto"/>
        </w:rPr>
        <w:t>Evergy's depreciation and amortization increased $7.0 million for the three months ended September 30, 2021 and $11.4 million year to date September 30, 2021, compared to the same periods in 2020; primarily driven by higher capital additions at Evergy Kansas Central in 2021.</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Other Than Income Tax</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Evergy's taxes other than income tax increased $5.2 million for the three months ended September 30, 2021 and $14.8 million year to date September 30, 2021, compared to the same periods in 2020; driven by an increase in property taxes in Missouri and Kansas primarily due to higher assessed property tax values.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Evergy's other expense, net decreased $11.9 million for the three months ended September 30, 2021, compared to the same period in 2020, primarily driven by:</w:t>
      </w:r>
    </w:p>
    <w:p>
      <w:pPr>
        <w:spacing w:after="0" w:line="83" w:lineRule="exact"/>
        <w:rPr>
          <w:sz w:val="20"/>
          <w:szCs w:val="20"/>
          <w:color w:val="auto"/>
        </w:rPr>
      </w:pPr>
    </w:p>
    <w:p>
      <w:pPr>
        <w:ind w:left="660" w:right="10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$7.1 million decrease due to higher investment earnings primarily driven by a $5.2 million realized gain from the sale of an equity investment in the third quarter of 2021;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0"/>
        </w:numPr>
        <w:rPr>
          <w:rFonts w:ascii="Arial" w:cs="Arial" w:eastAsia="Arial" w:hAnsi="Arial"/>
          <w:sz w:val="20"/>
          <w:szCs w:val="20"/>
          <w:color w:val="auto"/>
        </w:rPr>
      </w:pPr>
      <w:r>
        <w:rPr>
          <w:rFonts w:ascii="Arial" w:cs="Arial" w:eastAsia="Arial" w:hAnsi="Arial"/>
          <w:sz w:val="20"/>
          <w:szCs w:val="20"/>
          <w:color w:val="auto"/>
        </w:rPr>
        <w:t>$3.0 million of other income recorded in 2021 related to a contract termination fee.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1" w:name="page62"/>
    <w:bookmarkEnd w:id="6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Evergy's other expense, net decreased $33.5 million year to date September 30, 2021, compared to the same period in 2020, primarily driven by:</w:t>
      </w:r>
    </w:p>
    <w:p>
      <w:pPr>
        <w:spacing w:after="0" w:line="69" w:lineRule="exact"/>
        <w:rPr>
          <w:sz w:val="20"/>
          <w:szCs w:val="20"/>
          <w:color w:val="auto"/>
        </w:rPr>
      </w:pPr>
    </w:p>
    <w:p>
      <w:pPr>
        <w:ind w:left="660" w:hanging="328"/>
        <w:spacing w:after="0" w:line="316" w:lineRule="auto"/>
        <w:tabs>
          <w:tab w:leader="none" w:pos="6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$14.8 million decrease due to higher investment earnings primarily driven by a $5.2 million realized gain from the sale of an equity investment in the third quarter of 2021 and a $10.5 million increase in unrealized gains from equity investments in 2021;</w:t>
      </w:r>
    </w:p>
    <w:p>
      <w:pPr>
        <w:spacing w:after="0" w:line="21" w:lineRule="exact"/>
        <w:rPr>
          <w:rFonts w:ascii="Arial" w:cs="Arial" w:eastAsia="Arial" w:hAnsi="Arial"/>
          <w:sz w:val="18"/>
          <w:szCs w:val="18"/>
          <w:color w:val="auto"/>
        </w:rPr>
      </w:pPr>
    </w:p>
    <w:p>
      <w:pPr>
        <w:ind w:left="660" w:right="200" w:hanging="328"/>
        <w:spacing w:after="0" w:line="25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$10.9 million decrease due to higher Evergy Kansas Central and Evergy Metro equity AFUDC primarily driven by higher construction work in progress balances at Evergy Kansas Central and Evergy Metro and a lower short-term debt balance at Evergy Metro in 2021;</w:t>
      </w:r>
    </w:p>
    <w:p>
      <w:pPr>
        <w:spacing w:after="0" w:line="77"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$6.1 million of other income recorded in 2021 related to contract termination fees;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$1.6 million decrease due to recording higher Evergy Kansas Central corporate-owned life insurance (COLI) benefits in 2021.</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Evergy's interest expense decreased $9.1 million year to date September 30, 2021, compared to the same period in 2020, primarily driven by:</w:t>
      </w:r>
    </w:p>
    <w:p>
      <w:pPr>
        <w:spacing w:after="0" w:line="138" w:lineRule="exact"/>
        <w:rPr>
          <w:sz w:val="20"/>
          <w:szCs w:val="20"/>
          <w:color w:val="auto"/>
        </w:rPr>
      </w:pPr>
    </w:p>
    <w:p>
      <w:pPr>
        <w:ind w:left="660" w:right="16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 $8.8 million decrease primarily due to lower weighted-average interest rates on short-term borrowings at Evergy Kansas Central and Evergy Metro and lower commercial paper balances at Evergy Metro in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 $8.4 million decrease due to the redemption of Evergy's $350.0 million of 4.85% Senior Notes in April 2021; and</w:t>
      </w:r>
    </w:p>
    <w:p>
      <w:pPr>
        <w:spacing w:after="0" w:line="107" w:lineRule="exact"/>
        <w:rPr>
          <w:rFonts w:ascii="Arial" w:cs="Arial" w:eastAsia="Arial" w:hAnsi="Arial"/>
          <w:sz w:val="20"/>
          <w:szCs w:val="20"/>
          <w:color w:val="auto"/>
        </w:rPr>
      </w:pPr>
    </w:p>
    <w:p>
      <w:pPr>
        <w:ind w:left="660" w:right="80" w:hanging="328"/>
        <w:spacing w:after="0" w:line="25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$2.1 million net decrease due to the redemption of Evergy Kansas Central's $250.0 million of 5.10% FMBs in May 2020, which decreased interest expense by $6.8 million, partially offset by a $4.7 million increase due to the issuance of Evergy Kansas Central's $500.0 million of 3.45% FMBs in April 2020; partially offset by</w:t>
      </w:r>
    </w:p>
    <w:p>
      <w:pPr>
        <w:spacing w:after="0" w:line="77" w:lineRule="exact"/>
        <w:rPr>
          <w:rFonts w:ascii="Arial" w:cs="Arial" w:eastAsia="Arial" w:hAnsi="Arial"/>
          <w:sz w:val="20"/>
          <w:szCs w:val="20"/>
          <w:color w:val="auto"/>
        </w:rPr>
      </w:pPr>
    </w:p>
    <w:p>
      <w:pPr>
        <w:ind w:left="660" w:right="36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$6.6 million increase due to the issuance in a private placement of Evergy Missouri West's $500.0 million of Series A, B and C Senior Notes in April 2021;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$3.6 million increase due to the issuance of Evergy Metro's $400.0 million of 2.25% Mortgage Bonds in May 2020.</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Evergy's income tax expense increased $7.2 million for the three months ended September 30,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$21.8 million increase due to higher Evergy Kansas Central and Evergy Metro pre-tax income in the third quarter of 2021;</w:t>
      </w:r>
    </w:p>
    <w:p>
      <w:pPr>
        <w:spacing w:after="0" w:line="119" w:lineRule="exact"/>
        <w:rPr>
          <w:rFonts w:ascii="Arial" w:cs="Arial" w:eastAsia="Arial" w:hAnsi="Arial"/>
          <w:sz w:val="19"/>
          <w:szCs w:val="19"/>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$5.0 million increase due to lower wind and other income tax credits in the third quarter of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$1.3 million increase due to higher non-deductible officer compensation in 2021; partially offset by</w:t>
      </w:r>
    </w:p>
    <w:p>
      <w:pPr>
        <w:spacing w:after="0" w:line="107"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$15.3 million decrease as a result of the state of Kansas exempting certain public utilities, including Evergy Kansas Central and Evergy Metro, from Kansas corporate income tax beginning in January 2021; and</w:t>
      </w:r>
    </w:p>
    <w:p>
      <w:pPr>
        <w:spacing w:after="0" w:line="68" w:lineRule="exact"/>
        <w:rPr>
          <w:rFonts w:ascii="Arial" w:cs="Arial" w:eastAsia="Arial" w:hAnsi="Arial"/>
          <w:sz w:val="20"/>
          <w:szCs w:val="20"/>
          <w:color w:val="auto"/>
        </w:rPr>
      </w:pPr>
    </w:p>
    <w:p>
      <w:pPr>
        <w:ind w:left="660" w:right="56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 $8.3 million decrease due to flow-through items primarily driven by higher amortization of excess deferred income taxes at Evergy Kansas Central.</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Evergy's income tax expense increased $6.0 million year to date September 30, 2021, compared to the same period in 2020, primarily driven by:</w:t>
      </w:r>
    </w:p>
    <w:p>
      <w:pPr>
        <w:spacing w:after="0" w:line="69"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$69.6 million increase due to higher Evergy Kansas Central and Evergy Metro pre-tax income in 2021;</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$2.5 million increase due to higher non-deductible officer compensation in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$2.5 million increase due to lower wind and other income tax credits in 2021; partially offset by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2" w:name="page63"/>
    <w:bookmarkEnd w:id="6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right="34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$34.2 million decrease as a result of the state of Kansas exempting certain public utilities, including Evergy Kansas Central and Evergy Metro, from Kansas corporate income tax beginning in January 2021;</w:t>
      </w:r>
    </w:p>
    <w:p>
      <w:pPr>
        <w:spacing w:after="0" w:line="68" w:lineRule="exact"/>
        <w:rPr>
          <w:rFonts w:ascii="Arial" w:cs="Arial" w:eastAsia="Arial" w:hAnsi="Arial"/>
          <w:sz w:val="20"/>
          <w:szCs w:val="20"/>
          <w:color w:val="auto"/>
        </w:rPr>
      </w:pPr>
    </w:p>
    <w:p>
      <w:pPr>
        <w:ind w:left="660" w:right="58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$22.3 million decrease due to flow-through items primarily driven by higher amortization of excess deferred income taxes at Evergy Kansas Central; and</w:t>
      </w:r>
    </w:p>
    <w:p>
      <w:pPr>
        <w:spacing w:after="0" w:line="68" w:lineRule="exact"/>
        <w:rPr>
          <w:rFonts w:ascii="Arial" w:cs="Arial" w:eastAsia="Arial" w:hAnsi="Arial"/>
          <w:sz w:val="20"/>
          <w:szCs w:val="20"/>
          <w:color w:val="auto"/>
        </w:rPr>
      </w:pPr>
    </w:p>
    <w:p>
      <w:pPr>
        <w:ind w:left="660" w:right="240" w:hanging="328"/>
        <w:spacing w:after="0" w:line="260" w:lineRule="auto"/>
        <w:tabs>
          <w:tab w:leader="none" w:pos="64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$13.8 million decrease related to the revaluation of deferred income tax assets and liabilities in the second quarter of 2020 due to the change in the Kansas corporate income tax rate.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22"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Evergy relies primarily upon cash from operations, short-term borrowings,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2020 Form 10-K for more information on Evergy's sources and uses of cash.</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of September 30, 2021, Evergy had $1.9 billion of available borrowing capacity under its master credit facility. The available borrowing capacity under the master credit facility consisted of $410.3 million for Evergy, Inc., $513.9 million for Evergy Kansas Central, $350.0 million for Evergy Metro and $604.5 million for Evergy Missouri West. The Evergy Companies' borrowing capacity under the master credit facility also supports their issuance of commercial paper. See Note 7 to the consolidated financial statements for more information regarding the master credit facility. Along with cash flows from operations and receivable sales facilities, Evergy generally uses borrowings under its master credit facility and the issuance of commercial paper to meet its day-to-day cash flow requirements. Evergy believes that its existing cash on hand and available borrowing capacity under its master credit facility provide sufficient liquidity for its existing capital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May 2021, Evergy, Inc. established a commercial paper program supported by its borrowing capacity under the master credit facility.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 for information regarding significant debt issuances.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Issuance</w:t>
      </w:r>
    </w:p>
    <w:p>
      <w:pPr>
        <w:spacing w:after="0" w:line="22"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See Note 12 to the consolidated financial statements for information regarding Evergy's securities purchase agreement with an affiliate of Bluescape to purchase Evergy's common stock and a warrant that was completed in April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Shelf Registration Statements and Regulatory Authorizations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ind w:right="180"/>
        <w:spacing w:after="0" w:line="244" w:lineRule="auto"/>
        <w:rPr>
          <w:sz w:val="20"/>
          <w:szCs w:val="20"/>
          <w:color w:val="auto"/>
        </w:rPr>
      </w:pPr>
      <w:r>
        <w:rPr>
          <w:rFonts w:ascii="Arial" w:cs="Arial" w:eastAsia="Arial" w:hAnsi="Arial"/>
          <w:sz w:val="20"/>
          <w:szCs w:val="20"/>
          <w:color w:val="auto"/>
        </w:rPr>
        <w:t>In September 2021, Evergy filed an automatic shelf registration statement providing for the sale of unlimited amounts of securities with the SEC, which expires in September 2024.</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In September 2021, Evergy Kansas Central filed an automatic shelf registration statement providing for the sale of unlimited amounts of unsecured debt and first mortgage bonds (FMBs) with the SEC, which expires in September 2024.</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22"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In September 2021, Evergy Metro filed an automatic shelf registration statement providing for the sale of unlimited amounts of notes and mortgage bonds with the SEC, which expires in September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22"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Evergy requires significant capital investments and expects to need cash for utility construction programs designed to improve and expand facilities related to providing electric service, which include, but are not limited to, expenditures to develop new transmission lines and improvements to power plants, transmission and distribution lines and equipment.</w:t>
      </w:r>
    </w:p>
    <w:p>
      <w:pPr>
        <w:spacing w:after="0" w:line="196"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Capital expenditures projected for the next five years, excluding AFUDC and including costs of removal, are detailed in the following table, which updates the projected capital expenditures table disclosed under "Management's Discussion and Analysis - Liquidity and Capital Resources - Capital Requirements - Capital Expenditures" in Evergy's 2020 Form 10-K. This capital expenditure plan is subject to continual review and change.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r>
      <w:tr>
        <w:trPr>
          <w:trHeight w:val="207"/>
        </w:trPr>
        <w:tc>
          <w:tcPr>
            <w:tcW w:w="4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111"/>
              <w:spacing w:after="0"/>
              <w:rPr>
                <w:sz w:val="20"/>
                <w:szCs w:val="20"/>
                <w:color w:val="auto"/>
              </w:rPr>
            </w:pPr>
            <w:r>
              <w:rPr>
                <w:rFonts w:ascii="Arial" w:cs="Arial" w:eastAsia="Arial" w:hAnsi="Arial"/>
                <w:sz w:val="16"/>
                <w:szCs w:val="16"/>
                <w:color w:val="auto"/>
                <w:w w:val="96"/>
              </w:rPr>
              <w:t>(millions)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Generating facilities - new renewable generation</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750.0</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Generating facilities - other</w:t>
            </w:r>
          </w:p>
        </w:tc>
        <w:tc>
          <w:tcPr>
            <w:tcW w:w="126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346.0</w:t>
            </w:r>
          </w:p>
        </w:tc>
        <w:tc>
          <w:tcPr>
            <w:tcW w:w="32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326.0</w:t>
            </w:r>
          </w:p>
        </w:tc>
        <w:tc>
          <w:tcPr>
            <w:tcW w:w="24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285.0</w:t>
            </w:r>
          </w:p>
        </w:tc>
        <w:tc>
          <w:tcPr>
            <w:tcW w:w="32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236.0</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facilities</w:t>
            </w: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643.0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650.0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617.0</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649.0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601.0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Distribution facilities</w:t>
            </w:r>
          </w:p>
        </w:tc>
        <w:tc>
          <w:tcPr>
            <w:tcW w:w="126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667.0</w:t>
            </w:r>
          </w:p>
        </w:tc>
        <w:tc>
          <w:tcPr>
            <w:tcW w:w="32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726.0</w:t>
            </w:r>
          </w:p>
        </w:tc>
        <w:tc>
          <w:tcPr>
            <w:tcW w:w="24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571.0</w:t>
            </w:r>
          </w:p>
        </w:tc>
        <w:tc>
          <w:tcPr>
            <w:tcW w:w="32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528.0</w:t>
            </w:r>
          </w:p>
        </w:tc>
        <w:tc>
          <w:tcPr>
            <w:tcW w:w="32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574.0</w:t>
            </w:r>
          </w:p>
        </w:tc>
      </w:tr>
      <w:tr>
        <w:trPr>
          <w:trHeight w:val="229"/>
        </w:trPr>
        <w:tc>
          <w:tcPr>
            <w:tcW w:w="4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facilities</w:t>
            </w:r>
          </w:p>
        </w:tc>
        <w:tc>
          <w:tcPr>
            <w:tcW w:w="1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297.0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314.0</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267.0</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228.0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256.0</w:t>
            </w:r>
          </w:p>
        </w:tc>
      </w:tr>
      <w:tr>
        <w:trPr>
          <w:trHeight w:val="230"/>
        </w:trPr>
        <w:tc>
          <w:tcPr>
            <w:tcW w:w="4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capital expenditures</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1,953.0</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1,993.0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2,055.0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2,417.0</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2" w:lineRule="exact"/>
        <w:rPr>
          <w:sz w:val="20"/>
          <w:szCs w:val="20"/>
          <w:color w:val="auto"/>
        </w:rPr>
      </w:pPr>
    </w:p>
    <w:p>
      <w:pPr>
        <w:ind w:right="340"/>
        <w:spacing w:after="0" w:line="241" w:lineRule="auto"/>
        <w:rPr>
          <w:sz w:val="20"/>
          <w:szCs w:val="20"/>
          <w:color w:val="auto"/>
        </w:rPr>
      </w:pPr>
      <w:r>
        <w:rPr>
          <w:rFonts w:ascii="Arial" w:cs="Arial" w:eastAsia="Arial" w:hAnsi="Arial"/>
          <w:sz w:val="20"/>
          <w:szCs w:val="20"/>
          <w:color w:val="auto"/>
        </w:rPr>
        <w:t>Year to date September 30, 2021, Evergy made pension contributions of $41.7 million. Evergy expects to make additional pension contributions of $68.2 million in 2021 to satisfy ERISA funding requirements and KCC and MPSC rate orders, of which $11.1 million is expected to be paid by Evergy Kansas Central and $57.1 million is expected to be paid by Evergy Metro. Also in 2021, Evergy expects to make additional post-retirement benefit contributions of $3.7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2"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color w:val="auto"/>
        </w:rPr>
        <w:t>As of September 30, 2021, Evergy was in compliance with all debt covenants under the master credit facility and certain debt instruments that contain restrictions that require the maintenance of certain capitalization and leverage ratios.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2"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auto"/>
        </w:rPr>
        <w:t>Evergy's off-balance sheet arrangements were reported in the Evergy Companies' combined 2020 Form 10-K. See Note 8 to the consolidated financial statements for information regarding Evergy's agreement to unconditionally guarantee certain series of Evergy Missouri West long-term debt in April 2021.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6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8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6"/>
        </w:trPr>
        <w:tc>
          <w:tcPr>
            <w:tcW w:w="60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1,421.7</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2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(1,349.1)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(1,029.9)</w:t>
            </w:r>
          </w:p>
        </w:tc>
      </w:tr>
      <w:tr>
        <w:trPr>
          <w:trHeight w:val="237"/>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(used in) Financing Activities</w:t>
            </w:r>
          </w:p>
        </w:tc>
        <w:tc>
          <w:tcPr>
            <w:tcW w:w="2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6"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Evergy's cash flows from operating activities decreased $385.7 million year to date September 30,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$371.8 million of cash payments for net fuel and purchased power costs during the February 2021 winter weather event;</w:t>
      </w:r>
    </w:p>
    <w:p>
      <w:pPr>
        <w:spacing w:after="0" w:line="119" w:lineRule="exact"/>
        <w:rPr>
          <w:rFonts w:ascii="Arial" w:cs="Arial" w:eastAsia="Arial" w:hAnsi="Arial"/>
          <w:sz w:val="19"/>
          <w:szCs w:val="19"/>
          <w:color w:val="auto"/>
        </w:rPr>
      </w:pPr>
    </w:p>
    <w:p>
      <w:pPr>
        <w:ind w:left="660" w:right="660" w:hanging="328"/>
        <w:spacing w:after="0" w:line="25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$97.4 million increase in cash payments in 2021 due to the timing of payments made to taxing authorities for property tax payments as well as various suppliers and other service providers for goods and services purchased in the ordinary course of business; and</w:t>
      </w:r>
    </w:p>
    <w:p>
      <w:pPr>
        <w:spacing w:after="0" w:line="77"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$34.8 million in payments made for a Wolf Creek refueling outage in 2021; partially offset by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$124.5 million increase in cash receipts for retail electric sales in 2021 primarily driven by favorable weather; and</w:t>
      </w:r>
    </w:p>
    <w:p>
      <w:pPr>
        <w:spacing w:after="0" w:line="107" w:lineRule="exact"/>
        <w:rPr>
          <w:rFonts w:ascii="Arial" w:cs="Arial" w:eastAsia="Arial" w:hAnsi="Arial"/>
          <w:sz w:val="20"/>
          <w:szCs w:val="20"/>
          <w:color w:val="auto"/>
        </w:rPr>
      </w:pPr>
    </w:p>
    <w:p>
      <w:pPr>
        <w:ind w:left="660" w:right="24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$89.2 million of cash receipts related to non-regulated energy marketing margins earned during the February 2021 winter weather event.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16"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Evergy's cash flows used in investing activities increased $319.2 million year to date September 30, 2021, compared to the same period in 2020, primarily driven by:</w:t>
      </w:r>
    </w:p>
    <w:p>
      <w:pPr>
        <w:spacing w:after="0" w:line="83" w:lineRule="exact"/>
        <w:rPr>
          <w:sz w:val="20"/>
          <w:szCs w:val="20"/>
          <w:color w:val="auto"/>
        </w:rPr>
      </w:pPr>
    </w:p>
    <w:p>
      <w:pPr>
        <w:ind w:left="660" w:hanging="328"/>
        <w:spacing w:after="0" w:line="246"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$336.6 million increase in additions to property, plant and equipment due to increases at Evergy Kansas Central, Evergy Metro and Evergy Missouri West of $111.2 million, $89.5 million and $134.9 million, respectively, primarily due to increased spending for a variety of capital projects including transmission and distribution projects related to grid resiliency and other infrastructure improvements; partially offset by</w:t>
      </w:r>
    </w:p>
    <w:p>
      <w:pPr>
        <w:spacing w:after="0" w:line="83" w:lineRule="exact"/>
        <w:rPr>
          <w:rFonts w:ascii="Arial" w:cs="Arial" w:eastAsia="Arial" w:hAnsi="Arial"/>
          <w:sz w:val="20"/>
          <w:szCs w:val="20"/>
          <w:color w:val="auto"/>
        </w:rPr>
      </w:pPr>
    </w:p>
    <w:p>
      <w:pPr>
        <w:ind w:left="660" w:right="70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 increase of $15.7 million in proceeds from COLI investments at Evergy Kansas Central due to a higher number of policy settlements in 2021.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(used in) Financing Activities</w:t>
      </w:r>
    </w:p>
    <w:p>
      <w:pPr>
        <w:spacing w:after="0" w:line="16"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Evergy's cash flows from financing activities increased $246.9 million year to date September 30,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$663.5 million increase in short-term debt borrowings primarily driven by:</w:t>
      </w:r>
    </w:p>
    <w:p>
      <w:pPr>
        <w:spacing w:after="0" w:line="107" w:lineRule="exact"/>
        <w:rPr>
          <w:rFonts w:ascii="Arial" w:cs="Arial" w:eastAsia="Arial" w:hAnsi="Arial"/>
          <w:sz w:val="20"/>
          <w:szCs w:val="20"/>
          <w:color w:val="auto"/>
        </w:rPr>
      </w:pPr>
    </w:p>
    <w:p>
      <w:pPr>
        <w:ind w:left="1300" w:right="440" w:hanging="320"/>
        <w:spacing w:after="0" w:line="287" w:lineRule="auto"/>
        <w:tabs>
          <w:tab w:leader="none" w:pos="1289" w:val="left"/>
        </w:tabs>
        <w:numPr>
          <w:ilvl w:val="1"/>
          <w:numId w:val="28"/>
        </w:numPr>
        <w:rPr>
          <w:rFonts w:ascii="Arial" w:cs="Arial" w:eastAsia="Arial" w:hAnsi="Arial"/>
          <w:sz w:val="19"/>
          <w:szCs w:val="19"/>
          <w:color w:val="auto"/>
        </w:rPr>
      </w:pPr>
      <w:r>
        <w:rPr>
          <w:rFonts w:ascii="Arial" w:cs="Arial" w:eastAsia="Arial" w:hAnsi="Arial"/>
          <w:sz w:val="19"/>
          <w:szCs w:val="19"/>
          <w:color w:val="auto"/>
        </w:rPr>
        <w:t>a $433.2 million increase at Evergy Kansas Central primarily due to an increase in cash capital expenditures in 2021 of $111.2 million and the repayment of $249.2 million of outstanding commercial paper in 2020; and</w:t>
      </w:r>
    </w:p>
    <w:p>
      <w:pPr>
        <w:spacing w:after="0" w:line="44" w:lineRule="exact"/>
        <w:rPr>
          <w:rFonts w:ascii="Arial" w:cs="Arial" w:eastAsia="Arial" w:hAnsi="Arial"/>
          <w:sz w:val="19"/>
          <w:szCs w:val="19"/>
          <w:color w:val="auto"/>
        </w:rPr>
      </w:pPr>
    </w:p>
    <w:p>
      <w:pPr>
        <w:ind w:left="1300" w:right="500" w:hanging="320"/>
        <w:spacing w:after="0" w:line="260" w:lineRule="auto"/>
        <w:tabs>
          <w:tab w:leader="none" w:pos="1289"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$122.9 million increase at Evergy Missouri West primarily due to an increase in cash capital expenditures in 2021 of $134.9 million; and</w:t>
      </w:r>
    </w:p>
    <w:p>
      <w:pPr>
        <w:spacing w:after="0" w:line="68" w:lineRule="exact"/>
        <w:rPr>
          <w:rFonts w:ascii="Arial" w:cs="Arial" w:eastAsia="Arial" w:hAnsi="Arial"/>
          <w:sz w:val="20"/>
          <w:szCs w:val="20"/>
          <w:color w:val="auto"/>
        </w:rPr>
      </w:pPr>
    </w:p>
    <w:p>
      <w:pPr>
        <w:ind w:left="660" w:right="66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$112.5 million of Evergy common stock issued in April 2021 pursuant to a securities purchase agreement with an affiliate of Bluescape; partially offset by</w:t>
      </w:r>
    </w:p>
    <w:p>
      <w:pPr>
        <w:spacing w:after="0" w:line="68" w:lineRule="exact"/>
        <w:rPr>
          <w:rFonts w:ascii="Arial" w:cs="Arial" w:eastAsia="Arial" w:hAnsi="Arial"/>
          <w:sz w:val="20"/>
          <w:szCs w:val="20"/>
          <w:color w:val="auto"/>
        </w:rPr>
      </w:pPr>
    </w:p>
    <w:p>
      <w:pPr>
        <w:ind w:left="660" w:right="80" w:hanging="328"/>
        <w:spacing w:after="0" w:line="269" w:lineRule="auto"/>
        <w:tabs>
          <w:tab w:leader="none" w:pos="648"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$392.0 million decrease in proceeds from long-term debt, net due to Evergy Kansas Central's issuance of $500.0 million of 3.45% FMBs in April 2020 and Evergy Metro's issuance of $400.0 million of 2.25% Mortgage Bonds in May 2020; partially offset by Evergy Missouri West's issuance of $500.0 million of Series A, B and C Senior Notes in April 2021;</w:t>
      </w:r>
    </w:p>
    <w:p>
      <w:pPr>
        <w:spacing w:after="0" w:line="61" w:lineRule="exact"/>
        <w:rPr>
          <w:rFonts w:ascii="Arial" w:cs="Arial" w:eastAsia="Arial" w:hAnsi="Arial"/>
          <w:sz w:val="19"/>
          <w:szCs w:val="19"/>
          <w:color w:val="auto"/>
        </w:rPr>
      </w:pPr>
    </w:p>
    <w:p>
      <w:pPr>
        <w:ind w:left="660" w:right="120" w:hanging="328"/>
        <w:spacing w:after="0" w:line="287" w:lineRule="auto"/>
        <w:tabs>
          <w:tab w:leader="none" w:pos="648"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$100.0 million increase in retirements of long-term debt, net due to Evergy's repayment of $350.0 of 4.85% Senior Notes in April 2021; partially offset by Evergy Kansas Central's repayment of $250.0 million of 5.10% FMBs in May 2020; and</w:t>
      </w:r>
    </w:p>
    <w:p>
      <w:pPr>
        <w:spacing w:after="0" w:line="44" w:lineRule="exact"/>
        <w:rPr>
          <w:rFonts w:ascii="Arial" w:cs="Arial" w:eastAsia="Arial" w:hAnsi="Arial"/>
          <w:sz w:val="19"/>
          <w:szCs w:val="19"/>
          <w:color w:val="auto"/>
        </w:rPr>
      </w:pPr>
    </w:p>
    <w:p>
      <w:pPr>
        <w:ind w:left="660" w:right="40" w:hanging="328"/>
        <w:spacing w:after="0" w:line="260" w:lineRule="auto"/>
        <w:tabs>
          <w:tab w:leader="none" w:pos="648"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$9.6 million increase in the repayment of borrowings against cash surrender value of corporate-owned life insurance primarily due to a higher number of policy settlements in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5" w:name="page66"/>
    <w:bookmarkEnd w:id="6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EVERGY KANSAS CENTRAL,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0"/>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2,277.4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412.9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543.7</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213.8</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216.8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19.0</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387.9</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376.3</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349.1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153.2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8.1</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23"/>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626.7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150.3</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120.2</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45.7</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(103.5)</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149.2</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7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461.4</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270.7</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190.7</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270.3</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Utility Gross Margin and MWh Sales</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following table summarizes Evergy Kansas Central's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6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3"/>
              </w:rPr>
              <w:t>Change</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2020</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657.3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29.8</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5,259</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149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536.8</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25.8</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511.0</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5,467</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201</w:t>
            </w:r>
          </w:p>
        </w:tc>
        <w:tc>
          <w:tcPr>
            <w:tcW w:w="960" w:type="dxa"/>
            <w:vAlign w:val="bottom"/>
          </w:tcPr>
          <w:p>
            <w:pPr>
              <w:jc w:val="right"/>
              <w:spacing w:after="0"/>
              <w:rPr>
                <w:sz w:val="20"/>
                <w:szCs w:val="20"/>
                <w:color w:val="auto"/>
              </w:rPr>
            </w:pPr>
            <w:r>
              <w:rPr>
                <w:rFonts w:ascii="Arial" w:cs="Arial" w:eastAsia="Arial" w:hAnsi="Arial"/>
                <w:sz w:val="18"/>
                <w:szCs w:val="18"/>
                <w:color w:val="auto"/>
              </w:rPr>
              <w:t>5,266</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293.0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4,106</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195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w:t>
            </w:r>
          </w:p>
        </w:tc>
      </w:tr>
      <w:tr>
        <w:trPr>
          <w:trHeight w:val="23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(0.4)</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3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30</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1,500.0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63.6</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1,436.4</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14,862</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544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14,318</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402.7</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234.6</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168.1</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7,906</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2,131</w:t>
            </w:r>
          </w:p>
        </w:tc>
        <w:tc>
          <w:tcPr>
            <w:tcW w:w="960" w:type="dxa"/>
            <w:vAlign w:val="bottom"/>
          </w:tcPr>
          <w:p>
            <w:pPr>
              <w:jc w:val="right"/>
              <w:spacing w:after="0"/>
              <w:rPr>
                <w:sz w:val="20"/>
                <w:szCs w:val="20"/>
                <w:color w:val="auto"/>
              </w:rPr>
            </w:pPr>
            <w:r>
              <w:rPr>
                <w:rFonts w:ascii="Arial" w:cs="Arial" w:eastAsia="Arial" w:hAnsi="Arial"/>
                <w:sz w:val="18"/>
                <w:szCs w:val="18"/>
                <w:color w:val="auto"/>
              </w:rPr>
              <w:t>5,775</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241.5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133.2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88.4</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2,277.4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412.9</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1,864.5</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22,768</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2,675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20,093</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(543.7)</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(213.8)</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(329.9)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(216.8)</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(19.0)</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1,516.9</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b w:val="1"/>
                <w:bCs w:val="1"/>
                <w:color w:val="auto"/>
              </w:rPr>
              <w:t>180.1</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9"/>
              </w:rPr>
              <w:t>1,336.8</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(387.9)</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(349.1)</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(339.0)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(153.2)</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(8.1)</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626.7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150.3</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476.4</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pacing w:after="0" w:line="71" w:lineRule="exact"/>
        <w:rPr>
          <w:sz w:val="20"/>
          <w:szCs w:val="20"/>
          <w:color w:val="auto"/>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47"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6" w:name="page67"/>
    <w:bookmarkEnd w:id="6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Evergy Kansas Central's utility gross margin increased $180.1 million year to date September 30, 2021, compared to the same period in 2020, driven by:</w:t>
      </w:r>
    </w:p>
    <w:p>
      <w:pPr>
        <w:spacing w:after="0" w:line="69"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$95.0 million of non-regulated energy marketing margins recognized during the February 2021 winter weather event;</w:t>
      </w:r>
    </w:p>
    <w:p>
      <w:pPr>
        <w:spacing w:after="0" w:line="107" w:lineRule="exact"/>
        <w:rPr>
          <w:rFonts w:ascii="Arial" w:cs="Arial" w:eastAsia="Arial" w:hAnsi="Arial"/>
          <w:sz w:val="20"/>
          <w:szCs w:val="20"/>
          <w:color w:val="auto"/>
        </w:rPr>
      </w:pPr>
    </w:p>
    <w:p>
      <w:pPr>
        <w:ind w:left="660" w:right="100" w:hanging="328"/>
        <w:spacing w:after="0" w:line="25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$33.9 million increase due to other impacts from the February 2021 winter weather event driven by higher utility gross margin at Evergy Kansas Central's non-regulated 8% ownership share of JEC due to higher wholesale sales prices and MWhs sold in February 2021;</w:t>
      </w:r>
    </w:p>
    <w:p>
      <w:pPr>
        <w:spacing w:after="0" w:line="77" w:lineRule="exact"/>
        <w:rPr>
          <w:rFonts w:ascii="Arial" w:cs="Arial" w:eastAsia="Arial" w:hAnsi="Arial"/>
          <w:sz w:val="20"/>
          <w:szCs w:val="20"/>
          <w:color w:val="auto"/>
        </w:rPr>
      </w:pPr>
    </w:p>
    <w:p>
      <w:pPr>
        <w:ind w:left="660" w:right="100" w:hanging="328"/>
        <w:spacing w:after="0" w:line="25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$27.1 million increase primarily due to higher retail sales driven by favorable weather (heating degree days increased by 8% and cooling degree days increased by 5%) and an increase in weather-normalized commercial and industrial demand partially offset by a decrease in weather-normalized residential demand;</w:t>
      </w:r>
    </w:p>
    <w:p>
      <w:pPr>
        <w:spacing w:after="0" w:line="7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$26.4 million increase in transmission revenue primarily due to updated transmission costs reflected in Evergy Kansas Central's FERC TFR effective in January 2021;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$14.3 million increase related to Evergy Kansas Central's TDC rider in 2021; partially offset by</w:t>
      </w:r>
    </w:p>
    <w:p>
      <w:pPr>
        <w:spacing w:after="0" w:line="107"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$16.6 million decrease in revenues due to rate reductions beginning January 1, 2021 in Kansas to reflect the exemption of Evergy Kansas Central from Kansas corporate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Evergy Kansas Central's operating and maintenance expense increased $11.6 million year to date September 30, 2021, compared to the same period in 2020, primarily driven by:</w:t>
      </w:r>
    </w:p>
    <w:p>
      <w:pPr>
        <w:spacing w:after="0" w:line="83" w:lineRule="exact"/>
        <w:rPr>
          <w:sz w:val="20"/>
          <w:szCs w:val="20"/>
          <w:color w:val="auto"/>
        </w:rPr>
      </w:pPr>
    </w:p>
    <w:p>
      <w:pPr>
        <w:ind w:left="660" w:right="40" w:hanging="328"/>
        <w:spacing w:after="0" w:line="25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$15.7 million increase in various administrative and general operating and maintenance expenses primarily driven by an increase in costs billed for common use assets from Evergy Metro in 2021 primarily related to software assets placed into service in the third quarter of 2020;</w:t>
      </w:r>
    </w:p>
    <w:p>
      <w:pPr>
        <w:spacing w:after="0" w:line="77" w:lineRule="exact"/>
        <w:rPr>
          <w:rFonts w:ascii="Arial" w:cs="Arial" w:eastAsia="Arial" w:hAnsi="Arial"/>
          <w:sz w:val="20"/>
          <w:szCs w:val="20"/>
          <w:color w:val="auto"/>
        </w:rPr>
      </w:pPr>
    </w:p>
    <w:p>
      <w:pPr>
        <w:ind w:left="660" w:right="58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 $8.0 million increase in plant operating and maintenance expense at fossil-fuel generating units primarily driven by a major maintenance outage at JEC in 2021;</w:t>
      </w:r>
    </w:p>
    <w:p>
      <w:pPr>
        <w:spacing w:after="0" w:line="68" w:lineRule="exact"/>
        <w:rPr>
          <w:rFonts w:ascii="Arial" w:cs="Arial" w:eastAsia="Arial" w:hAnsi="Arial"/>
          <w:sz w:val="20"/>
          <w:szCs w:val="20"/>
          <w:color w:val="auto"/>
        </w:rPr>
      </w:pPr>
    </w:p>
    <w:p>
      <w:pPr>
        <w:ind w:left="660" w:right="32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$7.3 million of costs associated with executive transition in 2021, including inducement bonuses, severance agreements and other transition expenses;</w:t>
      </w:r>
    </w:p>
    <w:p>
      <w:pPr>
        <w:spacing w:after="0" w:line="68" w:lineRule="exact"/>
        <w:rPr>
          <w:rFonts w:ascii="Arial" w:cs="Arial" w:eastAsia="Arial" w:hAnsi="Arial"/>
          <w:sz w:val="20"/>
          <w:szCs w:val="20"/>
          <w:color w:val="auto"/>
        </w:rPr>
      </w:pPr>
    </w:p>
    <w:p>
      <w:pPr>
        <w:ind w:left="660" w:right="16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$5.9 million of costs related to non-regulated energy marketing margins recognized during the February 2021 winter weather event; and</w:t>
      </w:r>
    </w:p>
    <w:p>
      <w:pPr>
        <w:spacing w:after="0" w:line="68" w:lineRule="exact"/>
        <w:rPr>
          <w:rFonts w:ascii="Arial" w:cs="Arial" w:eastAsia="Arial" w:hAnsi="Arial"/>
          <w:sz w:val="20"/>
          <w:szCs w:val="20"/>
          <w:color w:val="auto"/>
        </w:rPr>
      </w:pPr>
    </w:p>
    <w:p>
      <w:pPr>
        <w:ind w:left="660" w:right="600" w:hanging="328"/>
        <w:spacing w:after="0" w:line="287" w:lineRule="auto"/>
        <w:tabs>
          <w:tab w:leader="none" w:pos="648"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$1.4 million increase in property insurance expense due to a lower annual refund of nuclear insurance premiums received by Evergy Kansas Central in 2021 related to its ownership interest in Wolf Creek; partially offset by</w:t>
      </w:r>
    </w:p>
    <w:p>
      <w:pPr>
        <w:spacing w:after="0" w:line="44" w:lineRule="exact"/>
        <w:rPr>
          <w:rFonts w:ascii="Arial" w:cs="Arial" w:eastAsia="Arial" w:hAnsi="Arial"/>
          <w:sz w:val="19"/>
          <w:szCs w:val="19"/>
          <w:color w:val="auto"/>
        </w:rPr>
      </w:pPr>
    </w:p>
    <w:p>
      <w:pPr>
        <w:ind w:left="660" w:right="180" w:hanging="328"/>
        <w:spacing w:after="0" w:line="369" w:lineRule="auto"/>
        <w:tabs>
          <w:tab w:leader="none" w:pos="648"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$25.6 million decrease in voluntary severance expenses due to a $22.1 million decrease related to Evergy voluntary exit programs in 2020 and a $3.5 million decrease in voluntary severance expenses related to Wolf Creek voluntary exit programs in 2020; and</w:t>
      </w:r>
    </w:p>
    <w:p>
      <w:pPr>
        <w:spacing w:after="0" w:line="1" w:lineRule="exact"/>
        <w:rPr>
          <w:rFonts w:ascii="Arial" w:cs="Arial" w:eastAsia="Arial" w:hAnsi="Arial"/>
          <w:sz w:val="16"/>
          <w:szCs w:val="16"/>
          <w:color w:val="auto"/>
        </w:rPr>
      </w:pPr>
    </w:p>
    <w:p>
      <w:pPr>
        <w:ind w:left="660" w:right="6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$3.7 million decrease in credit loss expense primarily due to increases made to the allowance for credit losses in 2020 related to the economic slowdown resulting from the COVID-19 pandemic and a lower level of write-offs in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Depreciation and Amortization</w:t>
      </w:r>
    </w:p>
    <w:p>
      <w:pPr>
        <w:spacing w:after="0" w:line="22"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Evergy Kansas Central's depreciation and amortization expense increased $10.1 million year to date September 30, 2021, compared to the same period in 2020, primarily driven by higher capital additions in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Income (Expense), Net</w:t>
      </w:r>
    </w:p>
    <w:p>
      <w:pPr>
        <w:spacing w:after="0" w:line="22"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Evergy Kansas Central's other expense, net decreased $9.8 million year to date September 30,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$5.8 million decrease due to higher equity AFUDC primarily driven by higher construction work in progress balances in 2021;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$2.8 million of other income recorded in 2021 related to contract termination fees;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$1.6 million decrease due to recording higher COLI benefits in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Interest Expense</w:t>
      </w:r>
    </w:p>
    <w:p>
      <w:pPr>
        <w:spacing w:after="0" w:line="22" w:lineRule="exact"/>
        <w:rPr>
          <w:sz w:val="20"/>
          <w:szCs w:val="20"/>
          <w:color w:val="auto"/>
        </w:rPr>
      </w:pPr>
    </w:p>
    <w:p>
      <w:pPr>
        <w:ind w:right="480"/>
        <w:spacing w:after="0" w:line="244" w:lineRule="auto"/>
        <w:rPr>
          <w:sz w:val="20"/>
          <w:szCs w:val="20"/>
          <w:color w:val="auto"/>
        </w:rPr>
      </w:pPr>
      <w:r>
        <w:rPr>
          <w:rFonts w:ascii="Arial" w:cs="Arial" w:eastAsia="Arial" w:hAnsi="Arial"/>
          <w:sz w:val="20"/>
          <w:szCs w:val="20"/>
          <w:color w:val="auto"/>
        </w:rPr>
        <w:t>Evergy Kansas Cental's interest expense decreased $7.5 million year to date September 30,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$5.3 million decrease primarily due to lower weighted-average interest rates on short-term borrowings in 2021; and</w:t>
      </w:r>
    </w:p>
    <w:p>
      <w:pPr>
        <w:spacing w:after="0" w:line="107" w:lineRule="exact"/>
        <w:rPr>
          <w:rFonts w:ascii="Arial" w:cs="Arial" w:eastAsia="Arial" w:hAnsi="Arial"/>
          <w:sz w:val="20"/>
          <w:szCs w:val="20"/>
          <w:color w:val="auto"/>
        </w:rPr>
      </w:pPr>
    </w:p>
    <w:p>
      <w:pPr>
        <w:ind w:left="660" w:right="100" w:hanging="328"/>
        <w:spacing w:after="0" w:line="250" w:lineRule="auto"/>
        <w:tabs>
          <w:tab w:leader="none" w:pos="648"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$2.1 million net decrease due to the redemption of Evergy Kansas Central's $250.0 million of 5.10% FMBs in May 2020, which decreased interest expense by $6.8 million, partially offset by a $4.7 million increase due to the issuance of Evergy Kansas Central's $500.0 million of 3.45% FMBs in April 2020.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 Kansas Central's income tax expense decreased $103.5 million year to date September 30, 2021, compared to the same period in 2020, primarily driven by:</w:t>
      </w:r>
    </w:p>
    <w:p>
      <w:pPr>
        <w:spacing w:after="0" w:line="83" w:lineRule="exact"/>
        <w:rPr>
          <w:sz w:val="20"/>
          <w:szCs w:val="20"/>
          <w:color w:val="auto"/>
        </w:rPr>
      </w:pPr>
    </w:p>
    <w:p>
      <w:pPr>
        <w:ind w:left="660" w:right="140" w:hanging="328"/>
        <w:spacing w:after="0" w:line="26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$109.0 million decrease related to the revaluation of deferred income tax assets and liabilities in the second quarter of 2020 due to the change in the Kansas corporate income tax rate;</w:t>
      </w:r>
    </w:p>
    <w:p>
      <w:pPr>
        <w:spacing w:after="0" w:line="68"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$19.3 million decrease as a result of the state of Kansas exempting certain public utilities, including Evergy Kansas Central, from Kansas corporate income tax beginning in January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$17.6 million decrease due to flow-through items primarily driven by higher amortization of excess deferred income taxes; and</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$2.8 million decrease due to higher wind and other income tax credits in 2021; partially offset by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$44.4 million increase due to higher pre-tax income in 2021.</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EVERGY METRO,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87"/>
              </w:rPr>
              <w:t>Change</w:t>
            </w: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0"/>
        </w:trPr>
        <w:tc>
          <w:tcPr>
            <w:tcW w:w="8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6"/>
                <w:szCs w:val="16"/>
                <w:color w:val="auto"/>
                <w:w w:val="99"/>
              </w:rPr>
              <w:t>(millions)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1,526.7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198.4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489.3</w:t>
            </w:r>
          </w:p>
        </w:tc>
        <w:tc>
          <w:tcPr>
            <w:tcW w:w="24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183.3</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262.1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(43.6)</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238.3</w:t>
            </w:r>
          </w:p>
        </w:tc>
        <w:tc>
          <w:tcPr>
            <w:tcW w:w="2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97.2</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4.8</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439.8</w:t>
            </w:r>
          </w:p>
        </w:tc>
        <w:tc>
          <w:tcPr>
            <w:tcW w:w="24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59.2</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380.6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83.2</w:t>
            </w:r>
          </w:p>
        </w:tc>
        <w:tc>
          <w:tcPr>
            <w:tcW w:w="2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43.7</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38.6</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27.1</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Utility Gross Margin and MWh Sales</w:t>
      </w:r>
    </w:p>
    <w:p>
      <w:pPr>
        <w:spacing w:after="0" w:line="2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The following table summarizes Evergy Metro's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1"/>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(21.6)</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4,412</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542.5</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(15.6)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558.1</w:t>
            </w:r>
          </w:p>
        </w:tc>
        <w:tc>
          <w:tcPr>
            <w:tcW w:w="24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5,572</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212</w:t>
            </w:r>
          </w:p>
        </w:tc>
        <w:tc>
          <w:tcPr>
            <w:tcW w:w="960" w:type="dxa"/>
            <w:vAlign w:val="bottom"/>
          </w:tcPr>
          <w:p>
            <w:pPr>
              <w:jc w:val="right"/>
              <w:spacing w:after="0"/>
              <w:rPr>
                <w:sz w:val="20"/>
                <w:szCs w:val="20"/>
                <w:color w:val="auto"/>
              </w:rPr>
            </w:pPr>
            <w:r>
              <w:rPr>
                <w:rFonts w:ascii="Arial" w:cs="Arial" w:eastAsia="Arial" w:hAnsi="Arial"/>
                <w:sz w:val="18"/>
                <w:szCs w:val="18"/>
                <w:color w:val="auto"/>
              </w:rPr>
              <w:t>5,360</w:t>
            </w: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1,249</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1,192.7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(46.1)</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11,286</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344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237.3</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220.6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4,958</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1,268</w:t>
            </w:r>
          </w:p>
        </w:tc>
        <w:tc>
          <w:tcPr>
            <w:tcW w:w="960" w:type="dxa"/>
            <w:vAlign w:val="bottom"/>
          </w:tcPr>
          <w:p>
            <w:pPr>
              <w:jc w:val="right"/>
              <w:spacing w:after="0"/>
              <w:rPr>
                <w:sz w:val="20"/>
                <w:szCs w:val="20"/>
                <w:color w:val="auto"/>
              </w:rPr>
            </w:pPr>
            <w:r>
              <w:rPr>
                <w:rFonts w:ascii="Arial" w:cs="Arial" w:eastAsia="Arial" w:hAnsi="Arial"/>
                <w:sz w:val="18"/>
                <w:szCs w:val="18"/>
                <w:color w:val="auto"/>
              </w:rPr>
              <w:t>3,690</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83.9</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21.5</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1,526.7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198.4</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16,244</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1,612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14,632</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(489.3)</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(183.3)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(306.0)</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1,037.4</w:t>
            </w: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15.1</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1,022.3</w:t>
            </w:r>
          </w:p>
        </w:tc>
        <w:tc>
          <w:tcPr>
            <w:tcW w:w="3740" w:type="dxa"/>
            <w:vAlign w:val="bottom"/>
            <w:tcBorders>
              <w:top w:val="single" w:sz="8" w:color="CCEEFF"/>
            </w:tcBorders>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(262.1)</w:t>
            </w:r>
          </w:p>
        </w:tc>
        <w:tc>
          <w:tcPr>
            <w:tcW w:w="48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43.6</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(305.7)</w:t>
            </w:r>
          </w:p>
        </w:tc>
        <w:tc>
          <w:tcPr>
            <w:tcW w:w="374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(238.3)</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740" w:type="dxa"/>
            <w:vAlign w:val="bottom"/>
            <w:shd w:val="clear" w:color="auto" w:fill="CCEEFF"/>
          </w:tcPr>
          <w:p>
            <w:pPr>
              <w:spacing w:after="0"/>
              <w:rPr>
                <w:sz w:val="19"/>
                <w:szCs w:val="19"/>
                <w:color w:val="auto"/>
              </w:rPr>
            </w:pPr>
          </w:p>
        </w:tc>
      </w:tr>
      <w:tr>
        <w:trPr>
          <w:trHeight w:val="229"/>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(97.2)</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3740" w:type="dxa"/>
            <w:vAlign w:val="bottom"/>
            <w:tcBorders>
              <w:bottom w:val="single" w:sz="8" w:color="CCEEFF"/>
            </w:tcBorders>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439.8</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59.2</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380.6</w:t>
            </w:r>
          </w:p>
        </w:tc>
        <w:tc>
          <w:tcPr>
            <w:tcW w:w="3740" w:type="dxa"/>
            <w:vAlign w:val="bottom"/>
            <w:tcBorders>
              <w:bottom w:val="single" w:sz="8" w:color="auto"/>
            </w:tcBorders>
            <w:shd w:val="clear" w:color="auto" w:fill="CCEEFF"/>
          </w:tcPr>
          <w:p>
            <w:pPr>
              <w:spacing w:after="0"/>
              <w:rPr>
                <w:sz w:val="20"/>
                <w:szCs w:val="20"/>
                <w:color w:val="auto"/>
              </w:rPr>
            </w:pPr>
          </w:p>
        </w:tc>
      </w:tr>
    </w:tbl>
    <w:p>
      <w:pPr>
        <w:spacing w:after="0" w:line="84" w:lineRule="exact"/>
        <w:rPr>
          <w:sz w:val="20"/>
          <w:szCs w:val="20"/>
          <w:color w:val="auto"/>
        </w:rPr>
      </w:pPr>
    </w:p>
    <w:p>
      <w:pPr>
        <w:ind w:left="160" w:hanging="152"/>
        <w:spacing w:after="0"/>
        <w:tabs>
          <w:tab w:leader="none" w:pos="16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19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Evergy Metro's utility gross margin increased $15.1 million year to date September 30, 2021, compared to the same period in 2020, driven by:</w:t>
      </w:r>
    </w:p>
    <w:p>
      <w:pPr>
        <w:spacing w:after="0" w:line="69" w:lineRule="exact"/>
        <w:rPr>
          <w:sz w:val="20"/>
          <w:szCs w:val="20"/>
          <w:color w:val="auto"/>
        </w:rPr>
      </w:pPr>
    </w:p>
    <w:p>
      <w:pPr>
        <w:ind w:left="660" w:right="280" w:hanging="328"/>
        <w:spacing w:after="0" w:line="25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$33.1 million increase primarily due to higher retail sales driven by favorable weather (heating degree days increased by 2% and cooling degree days increased by 22%), partially offset by a decrease in weather-normalized residential and industrial demand; partially offset by</w:t>
      </w:r>
    </w:p>
    <w:p>
      <w:pPr>
        <w:spacing w:after="0" w:line="77" w:lineRule="exact"/>
        <w:rPr>
          <w:rFonts w:ascii="Arial" w:cs="Arial" w:eastAsia="Arial" w:hAnsi="Arial"/>
          <w:sz w:val="20"/>
          <w:szCs w:val="20"/>
          <w:color w:val="auto"/>
        </w:rPr>
      </w:pPr>
    </w:p>
    <w:p>
      <w:pPr>
        <w:ind w:left="660" w:right="220" w:hanging="328"/>
        <w:spacing w:after="0" w:line="25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 $11.4 million decrease due to impacts from the February 2021 winter weather event primarily driven by jurisdictional allocation differences currently present between Evergy Metro's fuel recovery mechanisms in Missouri and Kansas regarding its refund to customers for the net increase in wholesale revenues in February 2021; and</w:t>
      </w:r>
    </w:p>
    <w:p>
      <w:pPr>
        <w:spacing w:after="0" w:line="77" w:lineRule="exact"/>
        <w:rPr>
          <w:rFonts w:ascii="Arial" w:cs="Arial" w:eastAsia="Arial" w:hAnsi="Arial"/>
          <w:sz w:val="20"/>
          <w:szCs w:val="20"/>
          <w:color w:val="auto"/>
        </w:rPr>
      </w:pPr>
    </w:p>
    <w:p>
      <w:pPr>
        <w:ind w:left="660" w:right="100" w:hanging="328"/>
        <w:spacing w:after="0" w:line="26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$6.6 million decrease in revenues due to a rate reduction beginning January 1, 2021 in Kansas to reflect Evergy Metro's exemption from Kansas corporate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 Metro's operating and maintenance expense decreased $43.6 million year to date September 30, 2021, compared to the same period in 2020, primarily driven by:</w:t>
      </w:r>
    </w:p>
    <w:p>
      <w:pPr>
        <w:spacing w:after="0" w:line="83" w:lineRule="exact"/>
        <w:rPr>
          <w:sz w:val="20"/>
          <w:szCs w:val="20"/>
          <w:color w:val="auto"/>
        </w:rPr>
      </w:pPr>
    </w:p>
    <w:p>
      <w:pPr>
        <w:ind w:left="660" w:right="180" w:hanging="328"/>
        <w:spacing w:after="0" w:line="369" w:lineRule="auto"/>
        <w:tabs>
          <w:tab w:leader="none" w:pos="64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$19.8 million decrease in voluntary severance expenses due to a $16.3 million decrease related to Evergy voluntary exit programs in 2020 and a $3.5 million decrease in voluntary severance expenses related to Wolf Creek voluntary exit programs in 2020;</w:t>
      </w:r>
    </w:p>
    <w:p>
      <w:pPr>
        <w:spacing w:after="0" w:line="1" w:lineRule="exact"/>
        <w:rPr>
          <w:rFonts w:ascii="Arial" w:cs="Arial" w:eastAsia="Arial" w:hAnsi="Arial"/>
          <w:sz w:val="16"/>
          <w:szCs w:val="16"/>
          <w:color w:val="auto"/>
        </w:rPr>
      </w:pPr>
    </w:p>
    <w:p>
      <w:pPr>
        <w:ind w:left="660" w:right="80" w:hanging="328"/>
        <w:spacing w:after="0" w:line="25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$15.6 million decrease in various administrative and general operating and maintenance expenses primarily driven by an increase in costs billed for common use assets to Evergy Kansas Central in 2021 primarily related to software assets placed into service in the third quarter of 2020; and</w:t>
      </w:r>
    </w:p>
    <w:p>
      <w:pPr>
        <w:spacing w:after="0" w:line="77" w:lineRule="exact"/>
        <w:rPr>
          <w:rFonts w:ascii="Arial" w:cs="Arial" w:eastAsia="Arial" w:hAnsi="Arial"/>
          <w:sz w:val="20"/>
          <w:szCs w:val="20"/>
          <w:color w:val="auto"/>
        </w:rPr>
      </w:pPr>
    </w:p>
    <w:p>
      <w:pPr>
        <w:ind w:left="660" w:right="60" w:hanging="328"/>
        <w:spacing w:after="0" w:line="316"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$2.7 million decrease in credit loss expense primarily due to increases made to the allowance for credit losses in 2020 related to the economic slowdown resulting from the COVID-19 pandemic and a lower level of write-offs in 2021; partially offset by</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right="30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$2.5 million of costs associated with executive transition in 2021, including inducement bonuses, severance agreements and other transition expenses; and</w:t>
      </w:r>
    </w:p>
    <w:p>
      <w:pPr>
        <w:spacing w:after="0" w:line="68"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$1.3 million increase in property insurance expense due to a lower annual refund of nuclear insurance premiums received in 2021 by Evergy Metro related to its ownership interest in Wolf Creek.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Other Expense, Net</w:t>
      </w:r>
    </w:p>
    <w:p>
      <w:pPr>
        <w:spacing w:after="0" w:line="2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Evergy Metro's other expense, net decreased $4.2 million year to date September 30, 2021, compared to the same period in 2020, primarily driven by a $4.6 million increase in equity AFUDC primarily due to lower short-term debt and higher construction work in progress balances in 2021.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Income Tax Expense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 Metro's income tax expense increased $38.6 million year to date September 30, 2021, compared to the same period in 2020, primarily driven by:</w:t>
      </w:r>
    </w:p>
    <w:p>
      <w:pPr>
        <w:spacing w:after="0" w:line="83" w:lineRule="exact"/>
        <w:rPr>
          <w:sz w:val="20"/>
          <w:szCs w:val="20"/>
          <w:color w:val="auto"/>
        </w:rPr>
      </w:pPr>
    </w:p>
    <w:p>
      <w:pPr>
        <w:ind w:left="660" w:right="280" w:hanging="328"/>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$32.2 million increase related to the revaluation of deferred income tax assets and liabilities in the second quarter of 2020 due to the change in the Kansas corporate income tax rate;</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$16.8 million increase due to higher pre-tax income in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$4.2 million increase due to lower wind and other income tax credits in 2021; partially offset by</w:t>
      </w:r>
    </w:p>
    <w:p>
      <w:pPr>
        <w:spacing w:after="0" w:line="107"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$13.7 million decrease as a result of the state of Kansas exempting certain public utilities, including Evergy Metro, from Kansas corporate income tax beginning in January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2020 Form 10-K and therefore are not represented here.</w:t>
      </w:r>
    </w:p>
    <w:p>
      <w:pPr>
        <w:spacing w:after="0" w:line="186" w:lineRule="exact"/>
        <w:rPr>
          <w:sz w:val="20"/>
          <w:szCs w:val="20"/>
          <w:color w:val="auto"/>
        </w:rPr>
      </w:pPr>
    </w:p>
    <w:p>
      <w:pPr>
        <w:jc w:val="both"/>
        <w:ind w:right="160"/>
        <w:spacing w:after="0" w:line="291" w:lineRule="auto"/>
        <w:rPr>
          <w:sz w:val="20"/>
          <w:szCs w:val="20"/>
          <w:color w:val="auto"/>
        </w:rPr>
      </w:pPr>
      <w:r>
        <w:rPr>
          <w:rFonts w:ascii="Arial" w:cs="Arial" w:eastAsia="Arial" w:hAnsi="Arial"/>
          <w:sz w:val="18"/>
          <w:szCs w:val="18"/>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2020 Form 10-K.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September 30, 2021,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0" w:name="page71"/>
    <w:bookmarkEnd w:id="7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There has been no change in Evergy Kansas Central’s internal control over financial reporting (as defined in Rules 13a-15(f) and 15d-15(f) of the Exchange Act) that occurred during the quarterly period ended September 30, 2021,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300"/>
        <w:spacing w:after="0" w:line="231"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September 30, 2021,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jc w:val="both"/>
        <w:ind w:right="18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The Evergy Companies are parties to various lawsuits and regulatory proceedings in the ordinary course of their respective businesses. For information regarding material lawsuits and proceedings, see Notes </w:t>
      </w:r>
      <w:hyperlink w:anchor="page32">
        <w:r>
          <w:rPr>
            <w:rFonts w:ascii="Arial" w:cs="Arial" w:eastAsia="Arial" w:hAnsi="Arial"/>
            <w:sz w:val="20"/>
            <w:szCs w:val="20"/>
            <w:color w:val="auto"/>
          </w:rPr>
          <w:t xml:space="preserve">4 </w:t>
        </w:r>
      </w:hyperlink>
      <w:r>
        <w:rPr>
          <w:rFonts w:ascii="Arial" w:cs="Arial" w:eastAsia="Arial" w:hAnsi="Arial"/>
          <w:sz w:val="20"/>
          <w:szCs w:val="20"/>
          <w:color w:val="auto"/>
        </w:rPr>
        <w:t>and 10 to the consolidated financial statements. Such information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2020 Form 10-K for each of Evergy, Evergy Kansas Central and Evergy Metro, as well as Quarterly Reports on Form 10-Q and from time to time in Current Reports on Form 8-K filed by Evergy, Evergy Kansas Central and Evergy Metro. Except as set forth below, there have been no material changes with regards to those risk factors.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1" w:name="page72"/>
    <w:bookmarkEnd w:id="7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b w:val="1"/>
          <w:bCs w:val="1"/>
          <w:color w:val="auto"/>
        </w:rPr>
        <w:t>Failure to attract and retain an appropriately qualified workforce or to maintain satisfactory collective bargaining agreements could negatively impact the Evergy Companies' business and operations and adversely impact the Evergy Companies' results of operations, financial position and cash flows.</w:t>
      </w:r>
    </w:p>
    <w:p>
      <w:pPr>
        <w:spacing w:after="0" w:line="183"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The Evergy Companies' workforce includes professional, managerial and technical employees. Failure to attract and retain qualified talent, or successfully transition retirements with adequate replacements could impede the Evergy Companies' strategy and/or adversely impact the Evergy Companies' ability to execute on their strategy. For example, certain skills, such as those related to construction, maintenance and repair of transmission and distribution systems are in high demand and have a limited supply. Evergy competes for qualified employees with these skills on a national level.</w:t>
      </w:r>
    </w:p>
    <w:p>
      <w:pPr>
        <w:spacing w:after="0" w:line="211"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color w:val="auto"/>
        </w:rPr>
        <w:t>In addition, federal COVID-19 vaccination and testing mandates could result in employee or contractor labor disruptions, and complying with any mandates and managing any related labor disruptions could have a significant adverse impact on the Evergy Companies' results of operations, financial position and cash flows.</w:t>
      </w:r>
    </w:p>
    <w:p>
      <w:pPr>
        <w:spacing w:after="0" w:line="2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significant portion of the Evergy Companies' workforce is represented by five local unions of the International Brotherhood of Electrical Workers (IBEW) and one local union of the United Government Security Officers of America (UGSOA). The collective bargaining agreements with the five IBEW locals all expired in 2021 and are currently being renegotiated. The collective bargaining agreement with the UGSOA expires in 2022. A failure to successfully negotiate these collective bargaining agreements could result in labor disruptions and have a significant adverse impact on the Evergy Companies' results of operations, financial position and cash flows.</w:t>
      </w:r>
    </w:p>
    <w:p>
      <w:pPr>
        <w:spacing w:after="0" w:line="18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Evergy Companies' strategic plan includes enhanced technology and transmission and distribution investments and a reduction in reliance on coal-fired generation. The Evergy Companies will need to attract and retain personnel that are qualified to implement the Evergy Companies' strategy and may need to retrain or reskill certain employees to support the Evergy Companies' long-term objectives. A failure to attract and retain qualified employees, retrain or reskill existing employees and maintain satisfactory collective bargaining agreements could have a significant adverse impact on the results of operations, financial position and cash flows of the Evergy Companies.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16" w:lineRule="exact"/>
        <w:rPr>
          <w:sz w:val="20"/>
          <w:szCs w:val="20"/>
          <w:color w:val="auto"/>
        </w:rPr>
      </w:pPr>
    </w:p>
    <w:p>
      <w:pPr>
        <w:jc w:val="both"/>
        <w:ind w:right="120"/>
        <w:spacing w:after="0" w:line="256" w:lineRule="auto"/>
        <w:rPr>
          <w:sz w:val="20"/>
          <w:szCs w:val="20"/>
          <w:color w:val="auto"/>
        </w:rPr>
      </w:pPr>
      <w:r>
        <w:rPr>
          <w:rFonts w:ascii="Arial" w:cs="Arial" w:eastAsia="Arial" w:hAnsi="Arial"/>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www.evergy.com. Such reports are accessible at no charge and are made available as soon as reasonably practical after such material is filed with or furnished to the SEC.</w:t>
      </w:r>
    </w:p>
    <w:p>
      <w:pPr>
        <w:spacing w:after="0" w:line="182" w:lineRule="exact"/>
        <w:rPr>
          <w:sz w:val="20"/>
          <w:szCs w:val="20"/>
          <w:color w:val="auto"/>
        </w:rPr>
      </w:pPr>
    </w:p>
    <w:p>
      <w:pPr>
        <w:ind w:right="740"/>
        <w:spacing w:after="0" w:line="250" w:lineRule="auto"/>
        <w:rPr>
          <w:sz w:val="20"/>
          <w:szCs w:val="20"/>
          <w:color w:val="auto"/>
        </w:rPr>
      </w:pPr>
      <w:r>
        <w:rPr>
          <w:rFonts w:ascii="Arial" w:cs="Arial" w:eastAsia="Arial" w:hAnsi="Arial"/>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www.evergy.com, to communicate with investors. It is possible that the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20" w:type="dxa"/>
            <w:vAlign w:val="bottom"/>
            <w:gridSpan w:val="5"/>
          </w:tcPr>
          <w:p>
            <w:pPr>
              <w:spacing w:after="0"/>
              <w:rPr>
                <w:sz w:val="20"/>
                <w:szCs w:val="20"/>
                <w:color w:val="auto"/>
              </w:rPr>
            </w:pPr>
            <w:r>
              <w:rPr>
                <w:rFonts w:ascii="Arial" w:cs="Arial" w:eastAsia="Arial" w:hAnsi="Arial"/>
                <w:sz w:val="20"/>
                <w:szCs w:val="20"/>
                <w:b w:val="1"/>
                <w:bCs w:val="1"/>
                <w:color w:val="auto"/>
              </w:rPr>
              <w:t>ITEM 6. EXHIBITS</w:t>
            </w: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20"/>
                <w:szCs w:val="20"/>
                <w:color w:val="auto"/>
                <w:w w:val="96"/>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8"/>
            <w:vMerge w:val="restart"/>
          </w:tcPr>
          <w:p>
            <w:pPr>
              <w:ind w:left="100"/>
              <w:spacing w:after="0"/>
              <w:rPr>
                <w:sz w:val="20"/>
                <w:szCs w:val="20"/>
                <w:color w:val="auto"/>
              </w:rPr>
            </w:pPr>
            <w:r>
              <w:rPr>
                <w:rFonts w:ascii="Arial" w:cs="Arial" w:eastAsia="Arial" w:hAnsi="Arial"/>
                <w:sz w:val="20"/>
                <w:szCs w:val="20"/>
                <w:color w:val="auto"/>
              </w:rPr>
              <w:t>Description of Document</w:t>
            </w:r>
          </w:p>
        </w:tc>
        <w:tc>
          <w:tcPr>
            <w:tcW w:w="1980" w:type="dxa"/>
            <w:vAlign w:val="bottom"/>
            <w:gridSpan w:val="3"/>
            <w:vMerge w:val="restart"/>
          </w:tcPr>
          <w:p>
            <w:pPr>
              <w:ind w:left="940"/>
              <w:spacing w:after="0"/>
              <w:rPr>
                <w:sz w:val="20"/>
                <w:szCs w:val="20"/>
                <w:color w:val="auto"/>
              </w:rPr>
            </w:pPr>
            <w:r>
              <w:rPr>
                <w:rFonts w:ascii="Arial" w:cs="Arial" w:eastAsia="Arial" w:hAnsi="Arial"/>
                <w:sz w:val="20"/>
                <w:szCs w:val="20"/>
                <w:color w:val="auto"/>
              </w:rPr>
              <w:t>Registrant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Arial" w:cs="Arial" w:eastAsia="Arial" w:hAnsi="Arial"/>
                <w:sz w:val="20"/>
                <w:szCs w:val="20"/>
                <w:color w:val="auto"/>
                <w:w w:val="89"/>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gridSpan w:val="18"/>
            <w:vMerge w:val="continue"/>
          </w:tcPr>
          <w:p>
            <w:pPr>
              <w:spacing w:after="0"/>
              <w:rPr>
                <w:sz w:val="17"/>
                <w:szCs w:val="17"/>
                <w:color w:val="auto"/>
              </w:rPr>
            </w:pPr>
          </w:p>
        </w:tc>
        <w:tc>
          <w:tcPr>
            <w:tcW w:w="19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0"/>
          </w:tcPr>
          <w:p>
            <w:pPr>
              <w:spacing w:after="0"/>
              <w:rPr>
                <w:rFonts w:ascii="Arial" w:cs="Arial" w:eastAsia="Arial" w:hAnsi="Arial"/>
                <w:sz w:val="20"/>
                <w:szCs w:val="20"/>
                <w:color w:val="0000FF"/>
                <w:w w:val="97"/>
              </w:rPr>
            </w:pPr>
            <w:hyperlink r:id="rId113">
              <w:r>
                <w:rPr>
                  <w:rFonts w:ascii="Arial" w:cs="Arial" w:eastAsia="Arial" w:hAnsi="Arial"/>
                  <w:sz w:val="20"/>
                  <w:szCs w:val="20"/>
                  <w:color w:val="0000FF"/>
                  <w:w w:val="97"/>
                </w:rPr>
                <w:t>Amended and Restated Credit Agreement dated as of August 31, 2021, by and</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20" w:type="dxa"/>
            <w:vAlign w:val="bottom"/>
            <w:tcBorders>
              <w:top w:val="single" w:sz="8" w:color="0000FF"/>
            </w:tcBorders>
            <w:gridSpan w:val="11"/>
          </w:tcPr>
          <w:p>
            <w:pPr>
              <w:spacing w:after="0" w:line="162" w:lineRule="exact"/>
              <w:rPr>
                <w:rFonts w:ascii="Arial" w:cs="Arial" w:eastAsia="Arial" w:hAnsi="Arial"/>
                <w:sz w:val="18"/>
                <w:szCs w:val="18"/>
                <w:color w:val="0000FF"/>
              </w:rPr>
            </w:pPr>
            <w:hyperlink r:id="rId113">
              <w:r>
                <w:rPr>
                  <w:rFonts w:ascii="Arial" w:cs="Arial" w:eastAsia="Arial" w:hAnsi="Arial"/>
                  <w:sz w:val="18"/>
                  <w:szCs w:val="18"/>
                  <w:color w:val="0000FF"/>
                </w:rPr>
                <w:t>among Evergy, Inc., Evergy Missouri West, Inc. (formerly KCP&amp;L Greater</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3"/>
          </w:tcPr>
          <w:p>
            <w:pPr>
              <w:ind w:left="160"/>
              <w:spacing w:after="0" w:line="162" w:lineRule="exact"/>
              <w:rPr>
                <w:sz w:val="20"/>
                <w:szCs w:val="20"/>
                <w:color w:val="auto"/>
              </w:rPr>
            </w:pPr>
            <w:r>
              <w:rPr>
                <w:rFonts w:ascii="Arial" w:cs="Arial" w:eastAsia="Arial" w:hAnsi="Arial"/>
                <w:sz w:val="18"/>
                <w:szCs w:val="18"/>
                <w:color w:val="auto"/>
                <w:w w:val="97"/>
              </w:rPr>
              <w:t>Evergy Kansas Central</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980" w:type="dxa"/>
            <w:vAlign w:val="bottom"/>
            <w:tcBorders>
              <w:top w:val="single" w:sz="8" w:color="0000FF"/>
            </w:tcBorders>
            <w:gridSpan w:val="8"/>
          </w:tcPr>
          <w:p>
            <w:pPr>
              <w:spacing w:after="0" w:line="176" w:lineRule="exact"/>
              <w:rPr>
                <w:rFonts w:ascii="Arial" w:cs="Arial" w:eastAsia="Arial" w:hAnsi="Arial"/>
                <w:sz w:val="20"/>
                <w:szCs w:val="20"/>
                <w:color w:val="0000FF"/>
                <w:w w:val="92"/>
              </w:rPr>
            </w:pPr>
            <w:hyperlink r:id="rId113">
              <w:r>
                <w:rPr>
                  <w:rFonts w:ascii="Arial" w:cs="Arial" w:eastAsia="Arial" w:hAnsi="Arial"/>
                  <w:sz w:val="20"/>
                  <w:szCs w:val="20"/>
                  <w:color w:val="0000FF"/>
                  <w:w w:val="92"/>
                </w:rPr>
                <w:t>Missouri Operations Company), Evergy Metro, Inc. (formerly Kansas City</w:t>
              </w:r>
            </w:hyperlink>
          </w:p>
        </w:tc>
        <w:tc>
          <w:tcPr>
            <w:tcW w:w="880" w:type="dxa"/>
            <w:vAlign w:val="bottom"/>
            <w:gridSpan w:val="12"/>
          </w:tcPr>
          <w:p>
            <w:pPr>
              <w:spacing w:after="0" w:line="176" w:lineRule="exact"/>
              <w:rPr>
                <w:rFonts w:ascii="Arial" w:cs="Arial" w:eastAsia="Arial" w:hAnsi="Arial"/>
                <w:sz w:val="20"/>
                <w:szCs w:val="20"/>
                <w:color w:val="0000FF"/>
              </w:rPr>
            </w:pPr>
            <w:hyperlink r:id="rId113">
              <w:r>
                <w:rPr>
                  <w:rFonts w:ascii="Arial" w:cs="Arial" w:eastAsia="Arial" w:hAnsi="Arial"/>
                  <w:sz w:val="20"/>
                  <w:szCs w:val="20"/>
                  <w:color w:val="0000FF"/>
                </w:rPr>
                <w:t>Power &amp;</w:t>
              </w:r>
            </w:hyperlink>
          </w:p>
        </w:tc>
        <w:tc>
          <w:tcPr>
            <w:tcW w:w="1980" w:type="dxa"/>
            <w:vAlign w:val="bottom"/>
            <w:gridSpan w:val="3"/>
          </w:tcPr>
          <w:p>
            <w:pPr>
              <w:ind w:left="160"/>
              <w:spacing w:after="0" w:line="176" w:lineRule="exact"/>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00" w:type="dxa"/>
            <w:vAlign w:val="bottom"/>
            <w:tcBorders>
              <w:top w:val="single" w:sz="8" w:color="0000FF"/>
            </w:tcBorders>
            <w:gridSpan w:val="19"/>
          </w:tcPr>
          <w:p>
            <w:pPr>
              <w:spacing w:after="0" w:line="169" w:lineRule="exact"/>
              <w:rPr>
                <w:rFonts w:ascii="Arial" w:cs="Arial" w:eastAsia="Arial" w:hAnsi="Arial"/>
                <w:sz w:val="19"/>
                <w:szCs w:val="19"/>
                <w:color w:val="0000FF"/>
                <w:w w:val="99"/>
              </w:rPr>
            </w:pPr>
            <w:hyperlink r:id="rId113">
              <w:r>
                <w:rPr>
                  <w:rFonts w:ascii="Arial" w:cs="Arial" w:eastAsia="Arial" w:hAnsi="Arial"/>
                  <w:sz w:val="19"/>
                  <w:szCs w:val="19"/>
                  <w:color w:val="0000FF"/>
                  <w:w w:val="99"/>
                </w:rPr>
                <w:t>Light Company), Evergy Kansas Central, Inc. (formerly Westar Energy, Inc.), as</w:t>
              </w:r>
            </w:hyperlink>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80" w:type="dxa"/>
            <w:vAlign w:val="bottom"/>
            <w:tcBorders>
              <w:top w:val="single" w:sz="8" w:color="0000FF"/>
            </w:tcBorders>
            <w:gridSpan w:val="13"/>
          </w:tcPr>
          <w:p>
            <w:pPr>
              <w:spacing w:after="0" w:line="169" w:lineRule="exact"/>
              <w:rPr>
                <w:rFonts w:ascii="Arial" w:cs="Arial" w:eastAsia="Arial" w:hAnsi="Arial"/>
                <w:sz w:val="19"/>
                <w:szCs w:val="19"/>
                <w:color w:val="0000FF"/>
                <w:w w:val="97"/>
              </w:rPr>
            </w:pPr>
            <w:hyperlink r:id="rId113">
              <w:r>
                <w:rPr>
                  <w:rFonts w:ascii="Arial" w:cs="Arial" w:eastAsia="Arial" w:hAnsi="Arial"/>
                  <w:sz w:val="19"/>
                  <w:szCs w:val="19"/>
                  <w:color w:val="0000FF"/>
                  <w:w w:val="97"/>
                </w:rPr>
                <w:t>Borrowers, the lenders referred to therein, as Lenders, and Wells Fargo Bank,</w:t>
              </w:r>
            </w:hyperlink>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140" w:type="dxa"/>
            <w:vAlign w:val="bottom"/>
            <w:tcBorders>
              <w:top w:val="single" w:sz="8" w:color="0000FF"/>
              <w:bottom w:val="single" w:sz="8" w:color="0000FF"/>
            </w:tcBorders>
            <w:gridSpan w:val="9"/>
          </w:tcPr>
          <w:p>
            <w:pPr>
              <w:spacing w:after="0" w:line="169" w:lineRule="exact"/>
              <w:rPr>
                <w:rFonts w:ascii="Arial" w:cs="Arial" w:eastAsia="Arial" w:hAnsi="Arial"/>
                <w:sz w:val="19"/>
                <w:szCs w:val="19"/>
                <w:color w:val="0000FF"/>
                <w:w w:val="95"/>
              </w:rPr>
            </w:pPr>
            <w:hyperlink r:id="rId113">
              <w:r>
                <w:rPr>
                  <w:rFonts w:ascii="Arial" w:cs="Arial" w:eastAsia="Arial" w:hAnsi="Arial"/>
                  <w:sz w:val="19"/>
                  <w:szCs w:val="19"/>
                  <w:color w:val="0000FF"/>
                  <w:w w:val="95"/>
                </w:rPr>
                <w:t>National Association, as Administrative Agent, Swingline Lender and Issuing</w:t>
              </w:r>
            </w:hyperlink>
          </w:p>
        </w:tc>
        <w:tc>
          <w:tcPr>
            <w:tcW w:w="20" w:type="dxa"/>
            <w:vAlign w:val="bottom"/>
            <w:tcBorders>
              <w:bottom w:val="single" w:sz="8" w:color="0000FF"/>
            </w:tcBorders>
          </w:tcPr>
          <w:p>
            <w:pPr>
              <w:spacing w:after="0"/>
              <w:rPr>
                <w:sz w:val="14"/>
                <w:szCs w:val="14"/>
                <w:color w:val="auto"/>
              </w:rPr>
            </w:pPr>
          </w:p>
        </w:tc>
        <w:tc>
          <w:tcPr>
            <w:tcW w:w="700" w:type="dxa"/>
            <w:vAlign w:val="bottom"/>
            <w:gridSpan w:val="10"/>
            <w:vMerge w:val="restart"/>
          </w:tcPr>
          <w:p>
            <w:pPr>
              <w:ind w:left="100"/>
              <w:spacing w:after="0"/>
              <w:rPr>
                <w:rFonts w:ascii="Arial" w:cs="Arial" w:eastAsia="Arial" w:hAnsi="Arial"/>
                <w:sz w:val="20"/>
                <w:szCs w:val="20"/>
                <w:color w:val="0000FF"/>
              </w:rPr>
            </w:pPr>
            <w:hyperlink r:id="rId113">
              <w:r>
                <w:rPr>
                  <w:rFonts w:ascii="Arial" w:cs="Arial" w:eastAsia="Arial" w:hAnsi="Arial"/>
                  <w:sz w:val="20"/>
                  <w:szCs w:val="20"/>
                  <w:color w:val="0000FF"/>
                </w:rPr>
                <w:t>N.A.</w:t>
              </w:r>
            </w:hyperlink>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160" w:type="dxa"/>
            <w:vAlign w:val="bottom"/>
            <w:gridSpan w:val="10"/>
          </w:tcPr>
          <w:p>
            <w:pPr>
              <w:spacing w:after="0" w:line="169" w:lineRule="exact"/>
              <w:rPr>
                <w:rFonts w:ascii="Arial" w:cs="Arial" w:eastAsia="Arial" w:hAnsi="Arial"/>
                <w:sz w:val="19"/>
                <w:szCs w:val="19"/>
                <w:color w:val="0000FF"/>
                <w:w w:val="97"/>
              </w:rPr>
            </w:pPr>
            <w:hyperlink r:id="rId113">
              <w:r>
                <w:rPr>
                  <w:rFonts w:ascii="Arial" w:cs="Arial" w:eastAsia="Arial" w:hAnsi="Arial"/>
                  <w:sz w:val="19"/>
                  <w:szCs w:val="19"/>
                  <w:color w:val="0000FF"/>
                  <w:w w:val="97"/>
                </w:rPr>
                <w:t>Lender, Bank of America, N.A., Citibank, N.A., MUFG Bank, Ltd., TD Bank,</w:t>
              </w:r>
            </w:hyperlink>
          </w:p>
        </w:tc>
        <w:tc>
          <w:tcPr>
            <w:tcW w:w="700" w:type="dxa"/>
            <w:vAlign w:val="bottom"/>
            <w:gridSpan w:val="10"/>
            <w:vMerge w:val="continue"/>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40" w:type="dxa"/>
            <w:vAlign w:val="bottom"/>
            <w:tcBorders>
              <w:top w:val="single" w:sz="8" w:color="0000FF"/>
              <w:bottom w:val="single" w:sz="8" w:color="0000FF"/>
            </w:tcBorders>
            <w:gridSpan w:val="16"/>
          </w:tcPr>
          <w:p>
            <w:pPr>
              <w:spacing w:after="0" w:line="169" w:lineRule="exact"/>
              <w:rPr>
                <w:rFonts w:ascii="Arial" w:cs="Arial" w:eastAsia="Arial" w:hAnsi="Arial"/>
                <w:sz w:val="19"/>
                <w:szCs w:val="19"/>
                <w:color w:val="0000FF"/>
                <w:w w:val="93"/>
              </w:rPr>
            </w:pPr>
            <w:hyperlink r:id="rId113">
              <w:r>
                <w:rPr>
                  <w:rFonts w:ascii="Arial" w:cs="Arial" w:eastAsia="Arial" w:hAnsi="Arial"/>
                  <w:sz w:val="19"/>
                  <w:szCs w:val="19"/>
                  <w:color w:val="0000FF"/>
                  <w:w w:val="93"/>
                </w:rPr>
                <w:t>and U.S. Bank National Association as Co-Syndication Agents and Issuing Lenders,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80" w:type="dxa"/>
            <w:vAlign w:val="bottom"/>
            <w:gridSpan w:val="18"/>
          </w:tcPr>
          <w:p>
            <w:pPr>
              <w:spacing w:after="0" w:line="169" w:lineRule="exact"/>
              <w:rPr>
                <w:rFonts w:ascii="Arial" w:cs="Arial" w:eastAsia="Arial" w:hAnsi="Arial"/>
                <w:sz w:val="19"/>
                <w:szCs w:val="19"/>
                <w:color w:val="0000FF"/>
                <w:w w:val="97"/>
              </w:rPr>
            </w:pPr>
            <w:hyperlink r:id="rId113">
              <w:r>
                <w:rPr>
                  <w:rFonts w:ascii="Arial" w:cs="Arial" w:eastAsia="Arial" w:hAnsi="Arial"/>
                  <w:sz w:val="19"/>
                  <w:szCs w:val="19"/>
                  <w:color w:val="0000FF"/>
                  <w:w w:val="97"/>
                </w:rPr>
                <w:t>Wells Fargo Securities, LLC, as Sustainability Structuring Agent, and Wells Fargo</w:t>
              </w:r>
            </w:hyperlink>
          </w:p>
        </w:tc>
        <w:tc>
          <w:tcPr>
            <w:tcW w:w="18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5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Securities, LLC, Citigroup Global Markets Inc., BOFA Securities, Inc., MUFG</w:t>
              </w:r>
            </w:hyperlink>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60" w:type="dxa"/>
            <w:vAlign w:val="bottom"/>
            <w:tcBorders>
              <w:top w:val="single" w:sz="8" w:color="0000FF"/>
            </w:tcBorders>
            <w:gridSpan w:val="12"/>
          </w:tcPr>
          <w:p>
            <w:pPr>
              <w:spacing w:after="0" w:line="176" w:lineRule="exact"/>
              <w:rPr>
                <w:rFonts w:ascii="Arial" w:cs="Arial" w:eastAsia="Arial" w:hAnsi="Arial"/>
                <w:sz w:val="20"/>
                <w:szCs w:val="20"/>
                <w:color w:val="0000FF"/>
                <w:w w:val="92"/>
              </w:rPr>
            </w:pPr>
            <w:hyperlink r:id="rId113">
              <w:r>
                <w:rPr>
                  <w:rFonts w:ascii="Arial" w:cs="Arial" w:eastAsia="Arial" w:hAnsi="Arial"/>
                  <w:sz w:val="20"/>
                  <w:szCs w:val="20"/>
                  <w:color w:val="0000FF"/>
                  <w:w w:val="92"/>
                </w:rPr>
                <w:t>Bank, Ltd., TD Securities (USA) LLC and U.S. Bank National Association as</w:t>
              </w:r>
            </w:hyperlink>
          </w:p>
        </w:tc>
        <w:tc>
          <w:tcPr>
            <w:tcW w:w="600" w:type="dxa"/>
            <w:vAlign w:val="bottom"/>
            <w:gridSpan w:val="8"/>
          </w:tcPr>
          <w:p>
            <w:pPr>
              <w:spacing w:after="0" w:line="176" w:lineRule="exact"/>
              <w:rPr>
                <w:rFonts w:ascii="Arial" w:cs="Arial" w:eastAsia="Arial" w:hAnsi="Arial"/>
                <w:sz w:val="20"/>
                <w:szCs w:val="20"/>
                <w:color w:val="0000FF"/>
              </w:rPr>
            </w:pPr>
            <w:hyperlink r:id="rId113">
              <w:r>
                <w:rPr>
                  <w:rFonts w:ascii="Arial" w:cs="Arial" w:eastAsia="Arial" w:hAnsi="Arial"/>
                  <w:sz w:val="20"/>
                  <w:szCs w:val="20"/>
                  <w:color w:val="0000FF"/>
                </w:rPr>
                <w:t>Joint</w:t>
              </w:r>
            </w:hyperlink>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0" w:type="dxa"/>
            <w:vAlign w:val="bottom"/>
            <w:tcBorders>
              <w:top w:val="single" w:sz="8" w:color="0000FF"/>
              <w:bottom w:val="single" w:sz="8" w:color="0000FF"/>
            </w:tcBorders>
            <w:gridSpan w:val="15"/>
          </w:tcPr>
          <w:p>
            <w:pPr>
              <w:spacing w:after="0" w:line="169" w:lineRule="exact"/>
              <w:rPr>
                <w:rFonts w:ascii="Arial" w:cs="Arial" w:eastAsia="Arial" w:hAnsi="Arial"/>
                <w:sz w:val="19"/>
                <w:szCs w:val="19"/>
                <w:color w:val="0000FF"/>
                <w:w w:val="94"/>
              </w:rPr>
            </w:pPr>
            <w:hyperlink r:id="rId113">
              <w:r>
                <w:rPr>
                  <w:rFonts w:ascii="Arial" w:cs="Arial" w:eastAsia="Arial" w:hAnsi="Arial"/>
                  <w:sz w:val="19"/>
                  <w:szCs w:val="19"/>
                  <w:color w:val="0000FF"/>
                  <w:w w:val="94"/>
                </w:rPr>
                <w:t>Lead Arrangers and Joint Bookrunners. (Exhibit 10.1 to Evergy's Current Report on</w:t>
              </w:r>
            </w:hyperlink>
          </w:p>
        </w:tc>
        <w:tc>
          <w:tcPr>
            <w:tcW w:w="60" w:type="dxa"/>
            <w:vAlign w:val="bottom"/>
            <w:tcBorders>
              <w:bottom w:val="single" w:sz="8" w:color="0000FF"/>
            </w:tcBorders>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60" w:type="dxa"/>
            <w:vAlign w:val="bottom"/>
            <w:gridSpan w:val="17"/>
          </w:tcPr>
          <w:p>
            <w:pPr>
              <w:spacing w:after="0" w:line="169" w:lineRule="exact"/>
              <w:rPr>
                <w:rFonts w:ascii="Arial" w:cs="Arial" w:eastAsia="Arial" w:hAnsi="Arial"/>
                <w:sz w:val="19"/>
                <w:szCs w:val="19"/>
                <w:color w:val="0000FF"/>
              </w:rPr>
            </w:pPr>
            <w:hyperlink r:id="rId113">
              <w:r>
                <w:rPr>
                  <w:rFonts w:ascii="Arial" w:cs="Arial" w:eastAsia="Arial" w:hAnsi="Arial"/>
                  <w:sz w:val="19"/>
                  <w:szCs w:val="19"/>
                  <w:color w:val="0000FF"/>
                </w:rPr>
                <w:t>Form 8-K filed on August 31, 2021).</w:t>
              </w:r>
            </w:hyperlink>
          </w:p>
        </w:tc>
        <w:tc>
          <w:tcPr>
            <w:tcW w:w="200" w:type="dxa"/>
            <w:vAlign w:val="bottom"/>
            <w:gridSpan w:val="3"/>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13"/>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6"/>
          </w:tcPr>
          <w:p>
            <w:pPr>
              <w:spacing w:after="0"/>
              <w:rPr>
                <w:rFonts w:ascii="Arial" w:cs="Arial" w:eastAsia="Arial" w:hAnsi="Arial"/>
                <w:sz w:val="20"/>
                <w:szCs w:val="20"/>
                <w:color w:val="0000FF"/>
                <w:w w:val="91"/>
              </w:rPr>
            </w:pPr>
            <w:hyperlink w:anchor="page77">
              <w:r>
                <w:rPr>
                  <w:rFonts w:ascii="Arial" w:cs="Arial" w:eastAsia="Arial" w:hAnsi="Arial"/>
                  <w:sz w:val="20"/>
                  <w:szCs w:val="20"/>
                  <w:color w:val="0000FF"/>
                  <w:w w:val="91"/>
                </w:rPr>
                <w:t>Rule 13a-14(a)/15d-14(a) Certification of David A. Campbell.</w:t>
              </w:r>
            </w:hyperlink>
          </w:p>
        </w:tc>
        <w:tc>
          <w:tcPr>
            <w:tcW w:w="1920" w:type="dxa"/>
            <w:vAlign w:val="bottom"/>
            <w:gridSpan w:val="14"/>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0"/>
          </w:tcPr>
          <w:p>
            <w:pPr>
              <w:spacing w:after="0"/>
              <w:rPr>
                <w:rFonts w:ascii="Arial" w:cs="Arial" w:eastAsia="Arial" w:hAnsi="Arial"/>
                <w:sz w:val="20"/>
                <w:szCs w:val="20"/>
                <w:color w:val="0000FF"/>
              </w:rPr>
            </w:pPr>
            <w:hyperlink w:anchor="page78">
              <w:r>
                <w:rPr>
                  <w:rFonts w:ascii="Arial" w:cs="Arial" w:eastAsia="Arial" w:hAnsi="Arial"/>
                  <w:sz w:val="20"/>
                  <w:szCs w:val="20"/>
                  <w:color w:val="0000FF"/>
                </w:rPr>
                <w:t>Rule 13a-14(a)/15d-14(a) Certification of Kirkland B. Andrews.</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91"/>
              </w:rPr>
            </w:pPr>
            <w:hyperlink w:anchor="page79">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tcPr>
          <w:p>
            <w:pPr>
              <w:spacing w:after="0"/>
              <w:rPr>
                <w:sz w:val="24"/>
                <w:szCs w:val="24"/>
                <w:color w:val="auto"/>
              </w:rPr>
            </w:pPr>
          </w:p>
        </w:tc>
        <w:tc>
          <w:tcPr>
            <w:tcW w:w="1780" w:type="dxa"/>
            <w:vAlign w:val="bottom"/>
            <w:gridSpan w:val="13"/>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0"/>
          </w:tcPr>
          <w:p>
            <w:pPr>
              <w:spacing w:after="0"/>
              <w:rPr>
                <w:rFonts w:ascii="Arial" w:cs="Arial" w:eastAsia="Arial" w:hAnsi="Arial"/>
                <w:sz w:val="20"/>
                <w:szCs w:val="20"/>
                <w:color w:val="0000FF"/>
              </w:rPr>
            </w:pPr>
            <w:hyperlink w:anchor="page80">
              <w:r>
                <w:rPr>
                  <w:rFonts w:ascii="Arial" w:cs="Arial" w:eastAsia="Arial" w:hAnsi="Arial"/>
                  <w:sz w:val="20"/>
                  <w:szCs w:val="20"/>
                  <w:color w:val="0000FF"/>
                </w:rPr>
                <w:t>Rule 13a-14(a)/15d-14(a) Certification of Kirkland B. Andrews.</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91"/>
              </w:rPr>
            </w:pPr>
            <w:hyperlink w:anchor="page81">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tcPr>
          <w:p>
            <w:pPr>
              <w:spacing w:after="0"/>
              <w:rPr>
                <w:sz w:val="24"/>
                <w:szCs w:val="24"/>
                <w:color w:val="auto"/>
              </w:rPr>
            </w:pPr>
          </w:p>
        </w:tc>
        <w:tc>
          <w:tcPr>
            <w:tcW w:w="1780" w:type="dxa"/>
            <w:vAlign w:val="bottom"/>
            <w:gridSpan w:val="13"/>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0"/>
          </w:tcPr>
          <w:p>
            <w:pPr>
              <w:spacing w:after="0"/>
              <w:rPr>
                <w:rFonts w:ascii="Arial" w:cs="Arial" w:eastAsia="Arial" w:hAnsi="Arial"/>
                <w:sz w:val="20"/>
                <w:szCs w:val="20"/>
                <w:color w:val="0000FF"/>
              </w:rPr>
            </w:pPr>
            <w:hyperlink w:anchor="page82">
              <w:r>
                <w:rPr>
                  <w:rFonts w:ascii="Arial" w:cs="Arial" w:eastAsia="Arial" w:hAnsi="Arial"/>
                  <w:sz w:val="20"/>
                  <w:szCs w:val="20"/>
                  <w:color w:val="0000FF"/>
                </w:rPr>
                <w:t>Rule 13a-14(a)/15d-14(a) Certification of Kirkland B. Andrews.</w:t>
              </w:r>
            </w:hyperlink>
          </w:p>
        </w:tc>
        <w:tc>
          <w:tcPr>
            <w:tcW w:w="1980" w:type="dxa"/>
            <w:vAlign w:val="bottom"/>
            <w:gridSpan w:val="3"/>
          </w:tcPr>
          <w:p>
            <w:pPr>
              <w:ind w:left="16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top w:val="single" w:sz="8" w:color="0000FF"/>
              <w:bottom w:val="single" w:sz="8" w:color="0000FF"/>
            </w:tcBorders>
            <w:gridSpan w:val="2"/>
          </w:tcPr>
          <w:p>
            <w:pPr>
              <w:spacing w:after="0"/>
              <w:rPr>
                <w:rFonts w:ascii="Arial" w:cs="Arial" w:eastAsia="Arial" w:hAnsi="Arial"/>
                <w:sz w:val="20"/>
                <w:szCs w:val="20"/>
                <w:color w:val="0000FF"/>
                <w:w w:val="91"/>
              </w:rPr>
            </w:pPr>
            <w:hyperlink w:anchor="page83">
              <w:r>
                <w:rPr>
                  <w:rFonts w:ascii="Arial" w:cs="Arial" w:eastAsia="Arial" w:hAnsi="Arial"/>
                  <w:sz w:val="20"/>
                  <w:szCs w:val="20"/>
                  <w:color w:val="0000FF"/>
                  <w:w w:val="91"/>
                </w:rPr>
                <w:t>Section 1350 Certifications.</w:t>
              </w:r>
            </w:hyperlink>
          </w:p>
        </w:tc>
        <w:tc>
          <w:tcPr>
            <w:tcW w:w="2840" w:type="dxa"/>
            <w:vAlign w:val="bottom"/>
            <w:tcBorders>
              <w:top w:val="single" w:sz="8" w:color="0000FF"/>
            </w:tcBorders>
            <w:gridSpan w:val="5"/>
          </w:tcPr>
          <w:p>
            <w:pPr>
              <w:spacing w:after="0"/>
              <w:rPr>
                <w:sz w:val="24"/>
                <w:szCs w:val="24"/>
                <w:color w:val="auto"/>
              </w:rPr>
            </w:pPr>
          </w:p>
        </w:tc>
        <w:tc>
          <w:tcPr>
            <w:tcW w:w="1780" w:type="dxa"/>
            <w:vAlign w:val="bottom"/>
            <w:gridSpan w:val="13"/>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0000FF"/>
            </w:tcBorders>
            <w:gridSpan w:val="2"/>
          </w:tcPr>
          <w:p>
            <w:pPr>
              <w:spacing w:after="0"/>
              <w:rPr>
                <w:rFonts w:ascii="Arial" w:cs="Arial" w:eastAsia="Arial" w:hAnsi="Arial"/>
                <w:sz w:val="20"/>
                <w:szCs w:val="20"/>
                <w:color w:val="0000FF"/>
                <w:w w:val="91"/>
              </w:rPr>
            </w:pPr>
            <w:hyperlink w:anchor="page84">
              <w:r>
                <w:rPr>
                  <w:rFonts w:ascii="Arial" w:cs="Arial" w:eastAsia="Arial" w:hAnsi="Arial"/>
                  <w:sz w:val="20"/>
                  <w:szCs w:val="20"/>
                  <w:color w:val="0000FF"/>
                  <w:w w:val="91"/>
                </w:rPr>
                <w:t>Section 1350 Certifications.</w:t>
              </w:r>
            </w:hyperlink>
          </w:p>
        </w:tc>
        <w:tc>
          <w:tcPr>
            <w:tcW w:w="4620" w:type="dxa"/>
            <w:vAlign w:val="bottom"/>
            <w:gridSpan w:val="18"/>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tcPr>
          <w:p>
            <w:pPr>
              <w:spacing w:after="0"/>
              <w:rPr>
                <w:rFonts w:ascii="Arial" w:cs="Arial" w:eastAsia="Arial" w:hAnsi="Arial"/>
                <w:sz w:val="20"/>
                <w:szCs w:val="20"/>
                <w:color w:val="0000FF"/>
                <w:w w:val="90"/>
              </w:rPr>
            </w:pPr>
            <w:hyperlink w:anchor="page85">
              <w:r>
                <w:rPr>
                  <w:rFonts w:ascii="Arial" w:cs="Arial" w:eastAsia="Arial" w:hAnsi="Arial"/>
                  <w:sz w:val="20"/>
                  <w:szCs w:val="20"/>
                  <w:color w:val="0000FF"/>
                  <w:w w:val="90"/>
                </w:rPr>
                <w:t>Section 1350 Certifications.</w:t>
              </w:r>
            </w:hyperlink>
          </w:p>
        </w:tc>
        <w:tc>
          <w:tcPr>
            <w:tcW w:w="4640" w:type="dxa"/>
            <w:vAlign w:val="bottom"/>
            <w:gridSpan w:val="19"/>
          </w:tcPr>
          <w:p>
            <w:pPr>
              <w:spacing w:after="0"/>
              <w:rPr>
                <w:sz w:val="24"/>
                <w:szCs w:val="24"/>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362"/>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101.INS</w:t>
            </w: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860" w:type="dxa"/>
            <w:vAlign w:val="bottom"/>
            <w:gridSpan w:val="20"/>
          </w:tcPr>
          <w:p>
            <w:pPr>
              <w:spacing w:after="0"/>
              <w:rPr>
                <w:sz w:val="20"/>
                <w:szCs w:val="20"/>
                <w:color w:val="auto"/>
              </w:rPr>
            </w:pPr>
            <w:r>
              <w:rPr>
                <w:rFonts w:ascii="Arial" w:cs="Arial" w:eastAsia="Arial" w:hAnsi="Arial"/>
                <w:sz w:val="20"/>
                <w:szCs w:val="20"/>
                <w:color w:val="auto"/>
              </w:rPr>
              <w:t>XBRL Instance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80"/>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0"/>
          </w:tcPr>
          <w:p>
            <w:pPr>
              <w:spacing w:after="0"/>
              <w:rPr>
                <w:sz w:val="20"/>
                <w:szCs w:val="20"/>
                <w:color w:val="auto"/>
              </w:rPr>
            </w:pPr>
            <w:r>
              <w:rPr>
                <w:rFonts w:ascii="Arial" w:cs="Arial" w:eastAsia="Arial" w:hAnsi="Arial"/>
                <w:sz w:val="20"/>
                <w:szCs w:val="20"/>
                <w:color w:val="auto"/>
              </w:rPr>
              <w:t>Inline XBRL Taxonomy Extension Schema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0"/>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0"/>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101.LAB</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0"/>
          </w:tcPr>
          <w:p>
            <w:pPr>
              <w:spacing w:after="0"/>
              <w:rPr>
                <w:sz w:val="20"/>
                <w:szCs w:val="20"/>
                <w:color w:val="auto"/>
              </w:rPr>
            </w:pPr>
            <w:r>
              <w:rPr>
                <w:rFonts w:ascii="Arial" w:cs="Arial" w:eastAsia="Arial" w:hAnsi="Arial"/>
                <w:sz w:val="20"/>
                <w:szCs w:val="20"/>
                <w:color w:val="auto"/>
              </w:rPr>
              <w:t>Inline XBRL Taxonomy Extension Labels Linkbase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r>
        <w:trPr>
          <w:trHeight w:val="27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101.PRE</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60" w:type="dxa"/>
            <w:vAlign w:val="bottom"/>
            <w:gridSpan w:val="20"/>
          </w:tcPr>
          <w:p>
            <w:pPr>
              <w:spacing w:after="0"/>
              <w:rPr>
                <w:sz w:val="20"/>
                <w:szCs w:val="20"/>
                <w:color w:val="auto"/>
              </w:rPr>
            </w:pPr>
            <w:r>
              <w:rPr>
                <w:rFonts w:ascii="Arial" w:cs="Arial" w:eastAsia="Arial" w:hAnsi="Arial"/>
                <w:sz w:val="20"/>
                <w:szCs w:val="20"/>
                <w:color w:val="auto"/>
              </w:rPr>
              <w:t>Inline XBRL Taxonomy Extension Presentation Linkbase Document.</w:t>
            </w: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w:t>
            </w:r>
          </w:p>
        </w:tc>
        <w:tc>
          <w:tcPr>
            <w:tcW w:w="0" w:type="dxa"/>
            <w:vAlign w:val="bottom"/>
          </w:tcPr>
          <w:p>
            <w:pPr>
              <w:spacing w:after="0"/>
              <w:rPr>
                <w:sz w:val="1"/>
                <w:szCs w:val="1"/>
                <w:color w:val="auto"/>
              </w:rPr>
            </w:pPr>
          </w:p>
        </w:tc>
      </w:tr>
      <w:tr>
        <w:trPr>
          <w:trHeight w:val="189"/>
        </w:trPr>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ind w:left="160"/>
              <w:spacing w:after="0" w:line="189" w:lineRule="exact"/>
              <w:rPr>
                <w:sz w:val="20"/>
                <w:szCs w:val="20"/>
                <w:color w:val="auto"/>
              </w:rPr>
            </w:pPr>
            <w:r>
              <w:rPr>
                <w:rFonts w:ascii="Arial" w:cs="Arial" w:eastAsia="Arial" w:hAnsi="Arial"/>
                <w:sz w:val="20"/>
                <w:szCs w:val="20"/>
                <w:color w:val="auto"/>
                <w:w w:val="87"/>
              </w:rPr>
              <w:t>Evergy Kansas Central</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3"/>
          </w:tcPr>
          <w:p>
            <w:pPr>
              <w:ind w:left="160"/>
              <w:spacing w:after="0"/>
              <w:rPr>
                <w:sz w:val="20"/>
                <w:szCs w:val="20"/>
                <w:color w:val="auto"/>
              </w:rPr>
            </w:pPr>
            <w:r>
              <w:rPr>
                <w:rFonts w:ascii="Arial" w:cs="Arial" w:eastAsia="Arial" w:hAnsi="Arial"/>
                <w:sz w:val="20"/>
                <w:szCs w:val="20"/>
                <w:color w:val="auto"/>
              </w:rPr>
              <w:t>Evergy Metro</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9" w:right="9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spacing w:after="0"/>
              <w:rPr>
                <w:rFonts w:ascii="Arial" w:cs="Arial" w:eastAsia="Arial" w:hAnsi="Arial"/>
                <w:sz w:val="20"/>
                <w:szCs w:val="20"/>
                <w:color w:val="0000FF"/>
              </w:rPr>
            </w:pPr>
            <w:hyperlink w:anchor="page2">
              <w:r>
                <w:rPr>
                  <w:rFonts w:ascii="Arial" w:cs="Arial" w:eastAsia="Arial" w:hAnsi="Arial"/>
                  <w:sz w:val="20"/>
                  <w:szCs w:val="20"/>
                  <w:color w:val="0000FF"/>
                </w:rPr>
                <w:t>Table of Contents</w:t>
              </w:r>
            </w:hyperlink>
          </w:p>
        </w:tc>
        <w:tc>
          <w:tcPr>
            <w:tcW w:w="69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871"/>
        </w:trPr>
        <w:tc>
          <w:tcPr>
            <w:tcW w:w="1420" w:type="dxa"/>
            <w:vAlign w:val="bottom"/>
            <w:tcBorders>
              <w:top w:val="single" w:sz="8" w:color="0000FF"/>
            </w:tcBorders>
          </w:tcPr>
          <w:p>
            <w:pPr>
              <w:ind w:left="20"/>
              <w:spacing w:after="0"/>
              <w:rPr>
                <w:sz w:val="20"/>
                <w:szCs w:val="20"/>
                <w:color w:val="auto"/>
              </w:rPr>
            </w:pPr>
            <w:r>
              <w:rPr>
                <w:rFonts w:ascii="Arial" w:cs="Arial" w:eastAsia="Arial" w:hAnsi="Arial"/>
                <w:sz w:val="20"/>
                <w:szCs w:val="20"/>
                <w:color w:val="auto"/>
              </w:rPr>
              <w:t>104</w:t>
            </w:r>
          </w:p>
        </w:tc>
        <w:tc>
          <w:tcPr>
            <w:tcW w:w="200" w:type="dxa"/>
            <w:vAlign w:val="bottom"/>
          </w:tcPr>
          <w:p>
            <w:pPr>
              <w:spacing w:after="0"/>
              <w:rPr>
                <w:sz w:val="24"/>
                <w:szCs w:val="24"/>
                <w:color w:val="auto"/>
              </w:rPr>
            </w:pPr>
          </w:p>
        </w:tc>
        <w:tc>
          <w:tcPr>
            <w:tcW w:w="6920" w:type="dxa"/>
            <w:vAlign w:val="bottom"/>
          </w:tcPr>
          <w:p>
            <w:pPr>
              <w:ind w:left="200"/>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bl>
    <w:p>
      <w:pPr>
        <w:spacing w:after="0" w:line="165" w:lineRule="exact"/>
        <w:rPr>
          <w:sz w:val="20"/>
          <w:szCs w:val="20"/>
          <w:color w:val="auto"/>
        </w:rPr>
      </w:pPr>
    </w:p>
    <w:p>
      <w:pPr>
        <w:ind w:right="60" w:firstLine="8"/>
        <w:spacing w:after="0" w:line="250" w:lineRule="auto"/>
        <w:tabs>
          <w:tab w:leader="none" w:pos="148" w:val="left"/>
        </w:tabs>
        <w:numPr>
          <w:ilvl w:val="0"/>
          <w:numId w:val="41"/>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8" w:lineRule="exact"/>
        <w:rPr>
          <w:sz w:val="20"/>
          <w:szCs w:val="20"/>
          <w:color w:val="auto"/>
        </w:rPr>
      </w:pPr>
    </w:p>
    <w:p>
      <w:pPr>
        <w:jc w:val="both"/>
        <w:ind w:firstLine="8"/>
        <w:spacing w:after="0" w:line="250" w:lineRule="auto"/>
        <w:tabs>
          <w:tab w:leader="none" w:pos="247" w:val="left"/>
        </w:tabs>
        <w:numPr>
          <w:ilvl w:val="0"/>
          <w:numId w:val="42"/>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18" w:lineRule="exact"/>
        <w:rPr>
          <w:rFonts w:ascii="Arial" w:cs="Arial" w:eastAsia="Arial" w:hAnsi="Arial"/>
          <w:sz w:val="20"/>
          <w:szCs w:val="20"/>
          <w:color w:val="auto"/>
        </w:rPr>
      </w:pPr>
    </w:p>
    <w:p>
      <w:pPr>
        <w:ind w:right="560" w:firstLine="8"/>
        <w:spacing w:after="0" w:line="260" w:lineRule="auto"/>
        <w:tabs>
          <w:tab w:leader="none" w:pos="346"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9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109" w:lineRule="exact"/>
        <w:rPr>
          <w:sz w:val="20"/>
          <w:szCs w:val="20"/>
          <w:color w:val="auto"/>
        </w:rPr>
      </w:pPr>
    </w:p>
    <w:p>
      <w:pPr>
        <w:ind w:right="420"/>
        <w:spacing w:after="0" w:line="316"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75" w:name="page76"/>
    <w:bookmarkEnd w:id="7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180" w:type="dxa"/>
            <w:vAlign w:val="bottom"/>
            <w:gridSpan w:val="3"/>
          </w:tcPr>
          <w:p>
            <w:pPr>
              <w:ind w:left="840"/>
              <w:spacing w:after="0"/>
              <w:rPr>
                <w:sz w:val="20"/>
                <w:szCs w:val="20"/>
                <w:color w:val="auto"/>
              </w:rPr>
            </w:pPr>
            <w:r>
              <w:rPr>
                <w:rFonts w:ascii="Arial" w:cs="Arial" w:eastAsia="Arial" w:hAnsi="Arial"/>
                <w:sz w:val="20"/>
                <w:szCs w:val="20"/>
                <w:b w:val="1"/>
                <w:bCs w:val="1"/>
                <w:color w:val="auto"/>
              </w:rPr>
              <w:t>EVERGY, INC.</w:t>
            </w:r>
          </w:p>
        </w:tc>
      </w:tr>
      <w:tr>
        <w:trPr>
          <w:trHeight w:val="442"/>
        </w:trPr>
        <w:tc>
          <w:tcPr>
            <w:tcW w:w="700" w:type="dxa"/>
            <w:vAlign w:val="bottom"/>
          </w:tcPr>
          <w:p>
            <w:pPr>
              <w:spacing w:after="0"/>
              <w:rPr>
                <w:sz w:val="20"/>
                <w:szCs w:val="20"/>
                <w:color w:val="auto"/>
              </w:rPr>
            </w:pPr>
            <w:r>
              <w:rPr>
                <w:rFonts w:ascii="Arial" w:cs="Arial" w:eastAsia="Arial" w:hAnsi="Arial"/>
                <w:sz w:val="20"/>
                <w:szCs w:val="20"/>
                <w:color w:val="auto"/>
              </w:rPr>
              <w:t>Dated:</w:t>
            </w:r>
          </w:p>
        </w:tc>
        <w:tc>
          <w:tcPr>
            <w:tcW w:w="2500" w:type="dxa"/>
            <w:vAlign w:val="bottom"/>
          </w:tcPr>
          <w:p>
            <w:pPr>
              <w:ind w:left="180"/>
              <w:spacing w:after="0"/>
              <w:rPr>
                <w:sz w:val="20"/>
                <w:szCs w:val="20"/>
                <w:color w:val="auto"/>
              </w:rPr>
            </w:pPr>
            <w:r>
              <w:rPr>
                <w:rFonts w:ascii="Arial" w:cs="Arial" w:eastAsia="Arial" w:hAnsi="Arial"/>
                <w:sz w:val="20"/>
                <w:szCs w:val="20"/>
                <w:color w:val="auto"/>
              </w:rPr>
              <w:t>November 2, 2021</w:t>
            </w:r>
          </w:p>
        </w:tc>
        <w:tc>
          <w:tcPr>
            <w:tcW w:w="5180" w:type="dxa"/>
            <w:vAlign w:val="bottom"/>
            <w:gridSpan w:val="3"/>
          </w:tcPr>
          <w:p>
            <w:pPr>
              <w:ind w:left="840"/>
              <w:spacing w:after="0"/>
              <w:rPr>
                <w:sz w:val="20"/>
                <w:szCs w:val="20"/>
                <w:color w:val="auto"/>
              </w:rPr>
            </w:pPr>
            <w:r>
              <w:rPr>
                <w:rFonts w:ascii="Arial" w:cs="Arial" w:eastAsia="Arial" w:hAnsi="Arial"/>
                <w:sz w:val="20"/>
                <w:szCs w:val="20"/>
                <w:color w:val="auto"/>
              </w:rPr>
              <w:t>By: /s/ Kirkland B. Andrews</w:t>
            </w:r>
          </w:p>
        </w:tc>
      </w:tr>
      <w:tr>
        <w:trPr>
          <w:trHeight w:val="20"/>
        </w:trPr>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0"/>
        </w:trPr>
        <w:tc>
          <w:tcPr>
            <w:tcW w:w="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180" w:type="dxa"/>
            <w:vAlign w:val="bottom"/>
            <w:gridSpan w:val="3"/>
          </w:tcPr>
          <w:p>
            <w:pPr>
              <w:ind w:left="840"/>
              <w:spacing w:after="0"/>
              <w:rPr>
                <w:sz w:val="20"/>
                <w:szCs w:val="20"/>
                <w:color w:val="auto"/>
              </w:rPr>
            </w:pPr>
            <w:r>
              <w:rPr>
                <w:rFonts w:ascii="Arial" w:cs="Arial" w:eastAsia="Arial" w:hAnsi="Arial"/>
                <w:sz w:val="20"/>
                <w:szCs w:val="20"/>
                <w:color w:val="auto"/>
              </w:rPr>
              <w:t>(Kirkland B. Andrews)</w:t>
            </w:r>
          </w:p>
        </w:tc>
      </w:tr>
      <w:tr>
        <w:trPr>
          <w:trHeight w:val="250"/>
        </w:trPr>
        <w:tc>
          <w:tcPr>
            <w:tcW w:w="7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180" w:type="dxa"/>
            <w:vAlign w:val="bottom"/>
            <w:gridSpan w:val="3"/>
          </w:tcPr>
          <w:p>
            <w:pPr>
              <w:ind w:left="840"/>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220" w:type="dxa"/>
            <w:vAlign w:val="bottom"/>
          </w:tcPr>
          <w:p>
            <w:pPr>
              <w:spacing w:after="0"/>
              <w:rPr>
                <w:sz w:val="22"/>
                <w:szCs w:val="22"/>
                <w:color w:val="auto"/>
              </w:rPr>
            </w:pPr>
          </w:p>
        </w:tc>
        <w:tc>
          <w:tcPr>
            <w:tcW w:w="5200" w:type="dxa"/>
            <w:vAlign w:val="bottom"/>
            <w:gridSpan w:val="3"/>
          </w:tcPr>
          <w:p>
            <w:pPr>
              <w:ind w:left="840"/>
              <w:spacing w:after="0"/>
              <w:rPr>
                <w:sz w:val="20"/>
                <w:szCs w:val="20"/>
                <w:color w:val="auto"/>
              </w:rPr>
            </w:pPr>
            <w:r>
              <w:rPr>
                <w:rFonts w:ascii="Arial" w:cs="Arial" w:eastAsia="Arial" w:hAnsi="Arial"/>
                <w:sz w:val="20"/>
                <w:szCs w:val="20"/>
                <w:b w:val="1"/>
                <w:bCs w:val="1"/>
                <w:color w:val="auto"/>
              </w:rPr>
              <w:t>EVERGY KANSAS CENTRAL, INC.</w:t>
            </w:r>
          </w:p>
        </w:tc>
      </w:tr>
      <w:tr>
        <w:trPr>
          <w:trHeight w:val="442"/>
        </w:trPr>
        <w:tc>
          <w:tcPr>
            <w:tcW w:w="3220" w:type="dxa"/>
            <w:vAlign w:val="bottom"/>
          </w:tcPr>
          <w:p>
            <w:pPr>
              <w:spacing w:after="0"/>
              <w:rPr>
                <w:sz w:val="20"/>
                <w:szCs w:val="20"/>
                <w:color w:val="auto"/>
              </w:rPr>
            </w:pPr>
            <w:r>
              <w:rPr>
                <w:rFonts w:ascii="Arial" w:cs="Arial" w:eastAsia="Arial" w:hAnsi="Arial"/>
                <w:sz w:val="20"/>
                <w:szCs w:val="20"/>
                <w:color w:val="auto"/>
                <w:w w:val="89"/>
              </w:rPr>
              <w:t>Dated:November 2, 2021</w:t>
            </w:r>
          </w:p>
        </w:tc>
        <w:tc>
          <w:tcPr>
            <w:tcW w:w="5200" w:type="dxa"/>
            <w:vAlign w:val="bottom"/>
            <w:gridSpan w:val="3"/>
          </w:tcPr>
          <w:p>
            <w:pPr>
              <w:ind w:left="840"/>
              <w:spacing w:after="0"/>
              <w:rPr>
                <w:sz w:val="20"/>
                <w:szCs w:val="20"/>
                <w:color w:val="auto"/>
              </w:rPr>
            </w:pPr>
            <w:r>
              <w:rPr>
                <w:rFonts w:ascii="Arial" w:cs="Arial" w:eastAsia="Arial" w:hAnsi="Arial"/>
                <w:sz w:val="20"/>
                <w:szCs w:val="20"/>
                <w:color w:val="auto"/>
              </w:rPr>
              <w:t>By: /s/ Kirkland B. Andrews</w:t>
            </w:r>
          </w:p>
        </w:tc>
      </w:tr>
      <w:tr>
        <w:trPr>
          <w:trHeight w:val="20"/>
        </w:trPr>
        <w:tc>
          <w:tcPr>
            <w:tcW w:w="3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3220" w:type="dxa"/>
            <w:vAlign w:val="bottom"/>
          </w:tcPr>
          <w:p>
            <w:pPr>
              <w:spacing w:after="0"/>
              <w:rPr>
                <w:sz w:val="22"/>
                <w:szCs w:val="22"/>
                <w:color w:val="auto"/>
              </w:rPr>
            </w:pPr>
          </w:p>
        </w:tc>
        <w:tc>
          <w:tcPr>
            <w:tcW w:w="5200" w:type="dxa"/>
            <w:vAlign w:val="bottom"/>
            <w:gridSpan w:val="3"/>
          </w:tcPr>
          <w:p>
            <w:pPr>
              <w:ind w:left="840"/>
              <w:spacing w:after="0"/>
              <w:rPr>
                <w:sz w:val="20"/>
                <w:szCs w:val="20"/>
                <w:color w:val="auto"/>
              </w:rPr>
            </w:pPr>
            <w:r>
              <w:rPr>
                <w:rFonts w:ascii="Arial" w:cs="Arial" w:eastAsia="Arial" w:hAnsi="Arial"/>
                <w:sz w:val="20"/>
                <w:szCs w:val="20"/>
                <w:color w:val="auto"/>
              </w:rPr>
              <w:t>(Kirkland B. Andrews)</w:t>
            </w:r>
          </w:p>
        </w:tc>
      </w:tr>
      <w:tr>
        <w:trPr>
          <w:trHeight w:val="250"/>
        </w:trPr>
        <w:tc>
          <w:tcPr>
            <w:tcW w:w="3220" w:type="dxa"/>
            <w:vAlign w:val="bottom"/>
          </w:tcPr>
          <w:p>
            <w:pPr>
              <w:spacing w:after="0"/>
              <w:rPr>
                <w:sz w:val="21"/>
                <w:szCs w:val="21"/>
                <w:color w:val="auto"/>
              </w:rPr>
            </w:pPr>
          </w:p>
        </w:tc>
        <w:tc>
          <w:tcPr>
            <w:tcW w:w="5200" w:type="dxa"/>
            <w:vAlign w:val="bottom"/>
            <w:gridSpan w:val="3"/>
          </w:tcPr>
          <w:p>
            <w:pPr>
              <w:ind w:left="84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200" w:type="dxa"/>
            <w:vAlign w:val="bottom"/>
            <w:gridSpan w:val="3"/>
          </w:tcPr>
          <w:p>
            <w:pPr>
              <w:ind w:left="840"/>
              <w:spacing w:after="0"/>
              <w:rPr>
                <w:sz w:val="20"/>
                <w:szCs w:val="20"/>
                <w:color w:val="auto"/>
              </w:rPr>
            </w:pPr>
            <w:r>
              <w:rPr>
                <w:rFonts w:ascii="Arial" w:cs="Arial" w:eastAsia="Arial" w:hAnsi="Arial"/>
                <w:sz w:val="20"/>
                <w:szCs w:val="20"/>
                <w:b w:val="1"/>
                <w:bCs w:val="1"/>
                <w:color w:val="auto"/>
              </w:rPr>
              <w:t>EVERGY METRO, INC.</w:t>
            </w:r>
          </w:p>
        </w:tc>
      </w:tr>
      <w:tr>
        <w:trPr>
          <w:trHeight w:val="442"/>
        </w:trPr>
        <w:tc>
          <w:tcPr>
            <w:tcW w:w="720" w:type="dxa"/>
            <w:vAlign w:val="bottom"/>
          </w:tcPr>
          <w:p>
            <w:pPr>
              <w:spacing w:after="0"/>
              <w:rPr>
                <w:sz w:val="20"/>
                <w:szCs w:val="20"/>
                <w:color w:val="auto"/>
              </w:rPr>
            </w:pPr>
            <w:r>
              <w:rPr>
                <w:rFonts w:ascii="Arial" w:cs="Arial" w:eastAsia="Arial" w:hAnsi="Arial"/>
                <w:sz w:val="20"/>
                <w:szCs w:val="20"/>
                <w:color w:val="auto"/>
              </w:rPr>
              <w:t>Dated:</w:t>
            </w:r>
          </w:p>
        </w:tc>
        <w:tc>
          <w:tcPr>
            <w:tcW w:w="2500" w:type="dxa"/>
            <w:vAlign w:val="bottom"/>
          </w:tcPr>
          <w:p>
            <w:pPr>
              <w:ind w:left="180"/>
              <w:spacing w:after="0"/>
              <w:rPr>
                <w:sz w:val="20"/>
                <w:szCs w:val="20"/>
                <w:color w:val="auto"/>
              </w:rPr>
            </w:pPr>
            <w:r>
              <w:rPr>
                <w:rFonts w:ascii="Arial" w:cs="Arial" w:eastAsia="Arial" w:hAnsi="Arial"/>
                <w:sz w:val="20"/>
                <w:szCs w:val="20"/>
                <w:color w:val="auto"/>
              </w:rPr>
              <w:t>November 2, 2021</w:t>
            </w:r>
          </w:p>
        </w:tc>
        <w:tc>
          <w:tcPr>
            <w:tcW w:w="5200" w:type="dxa"/>
            <w:vAlign w:val="bottom"/>
            <w:gridSpan w:val="3"/>
          </w:tcPr>
          <w:p>
            <w:pPr>
              <w:ind w:left="840"/>
              <w:spacing w:after="0"/>
              <w:rPr>
                <w:sz w:val="20"/>
                <w:szCs w:val="20"/>
                <w:color w:val="auto"/>
              </w:rPr>
            </w:pPr>
            <w:r>
              <w:rPr>
                <w:rFonts w:ascii="Arial" w:cs="Arial" w:eastAsia="Arial" w:hAnsi="Arial"/>
                <w:sz w:val="20"/>
                <w:szCs w:val="20"/>
                <w:color w:val="auto"/>
              </w:rPr>
              <w:t>By: /s/ Kirkland B. Andrews</w:t>
            </w:r>
          </w:p>
        </w:tc>
      </w:tr>
      <w:tr>
        <w:trPr>
          <w:trHeight w:val="20"/>
        </w:trPr>
        <w:tc>
          <w:tcPr>
            <w:tcW w:w="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7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5200" w:type="dxa"/>
            <w:vAlign w:val="bottom"/>
            <w:gridSpan w:val="3"/>
          </w:tcPr>
          <w:p>
            <w:pPr>
              <w:ind w:left="840"/>
              <w:spacing w:after="0"/>
              <w:rPr>
                <w:sz w:val="20"/>
                <w:szCs w:val="20"/>
                <w:color w:val="auto"/>
              </w:rPr>
            </w:pPr>
            <w:r>
              <w:rPr>
                <w:rFonts w:ascii="Arial" w:cs="Arial" w:eastAsia="Arial" w:hAnsi="Arial"/>
                <w:sz w:val="20"/>
                <w:szCs w:val="20"/>
                <w:color w:val="auto"/>
              </w:rPr>
              <w:t>(Kirkland B. Andrews)</w:t>
            </w:r>
          </w:p>
        </w:tc>
      </w:tr>
      <w:tr>
        <w:trPr>
          <w:trHeight w:val="250"/>
        </w:trPr>
        <w:tc>
          <w:tcPr>
            <w:tcW w:w="7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5200" w:type="dxa"/>
            <w:vAlign w:val="bottom"/>
            <w:gridSpan w:val="3"/>
          </w:tcPr>
          <w:p>
            <w:pPr>
              <w:ind w:left="84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122" w:right="45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40" w:hanging="644"/>
        <w:spacing w:after="0" w:line="342" w:lineRule="auto"/>
        <w:tabs>
          <w:tab w:leader="none" w:pos="102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700" w:type="dxa"/>
            <w:vAlign w:val="bottom"/>
          </w:tcPr>
          <w:p>
            <w:pPr>
              <w:ind w:left="200"/>
              <w:spacing w:after="0"/>
              <w:rPr>
                <w:sz w:val="20"/>
                <w:szCs w:val="20"/>
                <w:color w:val="auto"/>
              </w:rPr>
            </w:pPr>
            <w:r>
              <w:rPr>
                <w:rFonts w:ascii="Arial" w:cs="Arial" w:eastAsia="Arial" w:hAnsi="Arial"/>
                <w:sz w:val="18"/>
                <w:szCs w:val="18"/>
                <w:color w:val="0038FF"/>
              </w:rPr>
              <w:t>November 2, 2021</w:t>
            </w:r>
          </w:p>
        </w:tc>
        <w:tc>
          <w:tcPr>
            <w:tcW w:w="4900" w:type="dxa"/>
            <w:vAlign w:val="bottom"/>
            <w:gridSpan w:val="3"/>
          </w:tcPr>
          <w:p>
            <w:pPr>
              <w:ind w:left="2160"/>
              <w:spacing w:after="0"/>
              <w:rPr>
                <w:sz w:val="20"/>
                <w:szCs w:val="20"/>
                <w:color w:val="auto"/>
              </w:rPr>
            </w:pPr>
            <w:r>
              <w:rPr>
                <w:rFonts w:ascii="Arial" w:cs="Arial" w:eastAsia="Arial" w:hAnsi="Arial"/>
                <w:sz w:val="18"/>
                <w:szCs w:val="18"/>
                <w:color w:val="auto"/>
              </w:rPr>
              <w:t>/s/ David A. Campbell</w:t>
            </w:r>
          </w:p>
        </w:tc>
      </w:tr>
      <w:tr>
        <w:trPr>
          <w:trHeight w:val="20"/>
        </w:trPr>
        <w:tc>
          <w:tcPr>
            <w:tcW w:w="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900" w:type="dxa"/>
            <w:vAlign w:val="bottom"/>
            <w:gridSpan w:val="3"/>
          </w:tcPr>
          <w:p>
            <w:pPr>
              <w:ind w:left="2160"/>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900" w:type="dxa"/>
            <w:vAlign w:val="bottom"/>
            <w:gridSpan w:val="3"/>
          </w:tcPr>
          <w:p>
            <w:pPr>
              <w:ind w:left="216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0038FF"/>
              </w:rPr>
              <w:t>November 2, 2021</w:t>
            </w:r>
          </w:p>
        </w:tc>
        <w:tc>
          <w:tcPr>
            <w:tcW w:w="2100" w:type="dxa"/>
            <w:vAlign w:val="bottom"/>
            <w:gridSpan w:val="2"/>
          </w:tcPr>
          <w:p>
            <w:pPr>
              <w:spacing w:after="0"/>
              <w:rPr>
                <w:sz w:val="20"/>
                <w:szCs w:val="20"/>
                <w:color w:val="auto"/>
              </w:rPr>
            </w:pPr>
            <w:r>
              <w:rPr>
                <w:rFonts w:ascii="Arial" w:cs="Arial" w:eastAsia="Arial" w:hAnsi="Arial"/>
                <w:sz w:val="18"/>
                <w:szCs w:val="18"/>
                <w:color w:val="auto"/>
              </w:rPr>
              <w:t>/s/Kirkland B. Andrews</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Kirkland B. Andrews</w:t>
            </w:r>
          </w:p>
        </w:tc>
        <w:tc>
          <w:tcPr>
            <w:tcW w:w="400" w:type="dxa"/>
            <w:vAlign w:val="bottom"/>
          </w:tcPr>
          <w:p>
            <w:pPr>
              <w:spacing w:after="0"/>
              <w:rPr>
                <w:sz w:val="17"/>
                <w:szCs w:val="17"/>
                <w:color w:val="auto"/>
              </w:rPr>
            </w:pPr>
          </w:p>
        </w:tc>
      </w:tr>
      <w:tr>
        <w:trPr>
          <w:trHeight w:val="175"/>
        </w:trPr>
        <w:tc>
          <w:tcPr>
            <w:tcW w:w="6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November 2, 2021</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November 2, 2021</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November 2, 2021</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571"/>
        <w:spacing w:after="0" w:line="342" w:lineRule="auto"/>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November 2, 2021</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September 30,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2, 2021</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2, 2021</w:t>
            </w:r>
          </w:p>
        </w:tc>
      </w:tr>
    </w:tbl>
    <w:p>
      <w:pPr>
        <w:sectPr>
          <w:pgSz w:w="11900" w:h="16838" w:orient="portrait"/>
          <w:cols w:equalWidth="0" w:num="1">
            <w:col w:w="11240"/>
          </w:cols>
          <w:pgMar w:left="320" w:top="89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September 30,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2, 2021</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2, 2021</w:t>
            </w:r>
          </w:p>
        </w:tc>
      </w:tr>
    </w:tbl>
    <w:p>
      <w:pPr>
        <w:sectPr>
          <w:pgSz w:w="11900" w:h="16838" w:orient="portrait"/>
          <w:cols w:equalWidth="0" w:num="1">
            <w:col w:w="11240"/>
          </w:cols>
          <w:pgMar w:left="320" w:top="89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September 30,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2, 2021</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November 2, 2021</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lowerLetter"/>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4"/>
    </w:lvl>
    <w:lvl w:ilvl="1">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lvl w:ilvl="1">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lvl w:ilvl="1">
      <w:lvlJc w:val="left"/>
      <w:lvlText w:val="◦"/>
      <w:numFmt w:val="bullet"/>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lvl w:ilvl="1">
      <w:lvlJc w:val="left"/>
      <w:lvlText w:val="(%2)"/>
      <w:numFmt w:val="lowerLetter"/>
      <w:start w:val="1"/>
    </w:lvl>
  </w:abstractNum>
  <w:abstractNum w:abstractNumId="44">
    <w:nsid w:val="32FFF902"/>
    <w:multiLevelType w:val="hybridMultilevel"/>
    <w:lvl w:ilvl="0">
      <w:lvlJc w:val="left"/>
      <w:lvlText w:val="%1."/>
      <w:numFmt w:val="decimal"/>
      <w:start w:val="1"/>
    </w:lvl>
    <w:lvl w:ilvl="1">
      <w:lvlJc w:val="left"/>
      <w:lvlText w:val="(%2)"/>
      <w:numFmt w:val="lowerLetter"/>
      <w:start w:val="1"/>
    </w:lvl>
  </w:abstractNum>
  <w:abstractNum w:abstractNumId="45">
    <w:nsid w:val="684A481A"/>
    <w:multiLevelType w:val="hybridMultilevel"/>
    <w:lvl w:ilvl="0">
      <w:lvlJc w:val="left"/>
      <w:lvlText w:val="%1."/>
      <w:numFmt w:val="decimal"/>
      <w:start w:val="1"/>
    </w:lvl>
    <w:lvl w:ilvl="1">
      <w:lvlJc w:val="left"/>
      <w:lvlText w:val="(%2)"/>
      <w:numFmt w:val="lowerLetter"/>
      <w:start w:val="1"/>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3" Type="http://schemas.openxmlformats.org/officeDocument/2006/relationships/hyperlink" Target="http://www.sec.gov/Archives/edgar/data/1711269/000119312521262088/d17735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2021-11-03T05:29:22Z</dcterms:created>
  <dcterms:modified xsi:type="dcterms:W3CDTF">2021-11-03T05:29:22Z</dcterms:modified>
</cp:coreProperties>
</file>