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2022</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1900" w:type="dxa"/>
            <w:vAlign w:val="bottom"/>
          </w:tcPr>
          <w:p>
            <w:pPr>
              <w:spacing w:after="0"/>
              <w:rPr>
                <w:sz w:val="5"/>
                <w:szCs w:val="5"/>
                <w:color w:val="auto"/>
              </w:rPr>
            </w:pPr>
          </w:p>
        </w:tc>
        <w:tc>
          <w:tcPr>
            <w:tcW w:w="34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restart"/>
          </w:tcPr>
          <w:p>
            <w:pPr>
              <w:spacing w:after="0"/>
              <w:rPr>
                <w:sz w:val="5"/>
                <w:szCs w:val="5"/>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continue"/>
          </w:tcPr>
          <w:p>
            <w:pPr>
              <w:spacing w:after="0"/>
              <w:rPr>
                <w:sz w:val="6"/>
                <w:szCs w:val="6"/>
                <w:color w:val="auto"/>
              </w:rPr>
            </w:pPr>
          </w:p>
        </w:tc>
        <w:tc>
          <w:tcPr>
            <w:tcW w:w="1640" w:type="dxa"/>
            <w:vAlign w:val="bottom"/>
            <w:tcBorders>
              <w:top w:val="single" w:sz="8" w:color="auto"/>
            </w:tcBorders>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2"/>
                <w:szCs w:val="22"/>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2"/>
                <w:szCs w:val="22"/>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6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8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4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40"/>
          </w:cols>
          <w:pgMar w:left="320" w:top="121" w:right="33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April 29, 2022, Evergy, Inc. had 229,478,276 shares of common stock outstanding. On April 29, 2022, Evergy Metro, Inc. and Evergy Kansas Central, Inc. each had one share of common stock outstanding and held by Evergy, Inc.</w:t>
      </w:r>
    </w:p>
    <w:p>
      <w:pPr>
        <w:spacing w:after="0" w:line="155" w:lineRule="exact"/>
        <w:rPr>
          <w:sz w:val="20"/>
          <w:szCs w:val="20"/>
          <w:color w:val="auto"/>
        </w:rPr>
      </w:pPr>
    </w:p>
    <w:p>
      <w:pPr>
        <w:ind w:left="20" w:right="60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2021 Form 10-K for each of Evergy, Evergy Kansas Central and 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2"/>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Cautionary Statements Regarding Certain Forward-Looking Information</w:t>
              </w:r>
            </w:hyperlink>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Glossary of Terms</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 Financial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Statements</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89"/>
              </w:rPr>
            </w:pPr>
            <w:hyperlink w:anchor="page8">
              <w:r>
                <w:rPr>
                  <w:rFonts w:ascii="Arial" w:cs="Arial" w:eastAsia="Arial" w:hAnsi="Arial"/>
                  <w:sz w:val="18"/>
                  <w:szCs w:val="18"/>
                  <w:b w:val="1"/>
                  <w:bCs w:val="1"/>
                  <w:color w:val="0000FF"/>
                  <w:w w:val="89"/>
                </w:rPr>
                <w:t>Evergy, Inc.</w:t>
              </w:r>
            </w:hyperlink>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7"/>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6"/>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Unaudited Consolidated Statements of Changes in Equity</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8"/>
          </w:tcPr>
          <w:p>
            <w:pPr>
              <w:spacing w:after="0"/>
              <w:rPr>
                <w:rFonts w:ascii="Arial" w:cs="Arial" w:eastAsia="Arial" w:hAnsi="Arial"/>
                <w:sz w:val="18"/>
                <w:szCs w:val="18"/>
                <w:b w:val="1"/>
                <w:bCs w:val="1"/>
                <w:color w:val="0000FF"/>
              </w:rPr>
            </w:pPr>
            <w:hyperlink w:anchor="page12">
              <w:r>
                <w:rPr>
                  <w:rFonts w:ascii="Arial" w:cs="Arial" w:eastAsia="Arial" w:hAnsi="Arial"/>
                  <w:sz w:val="18"/>
                  <w:szCs w:val="18"/>
                  <w:b w:val="1"/>
                  <w:bCs w:val="1"/>
                  <w:color w:val="0000FF"/>
                </w:rPr>
                <w:t>Evergy Kansas Central,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rFonts w:ascii="Arial" w:cs="Arial" w:eastAsia="Arial" w:hAnsi="Arial"/>
                <w:sz w:val="18"/>
                <w:szCs w:val="18"/>
                <w:color w:val="0000FF"/>
                <w:w w:val="88"/>
              </w:rPr>
            </w:pPr>
            <w:hyperlink w:anchor="page12">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13</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6"/>
          </w:tcPr>
          <w:p>
            <w:pPr>
              <w:spacing w:after="0"/>
              <w:rPr>
                <w:rFonts w:ascii="Arial" w:cs="Arial" w:eastAsia="Arial" w:hAnsi="Arial"/>
                <w:sz w:val="18"/>
                <w:szCs w:val="18"/>
                <w:color w:val="0000FF"/>
                <w:w w:val="88"/>
              </w:rPr>
            </w:pPr>
            <w:hyperlink w:anchor="page14">
              <w:r>
                <w:rPr>
                  <w:rFonts w:ascii="Arial" w:cs="Arial" w:eastAsia="Arial" w:hAnsi="Arial"/>
                  <w:sz w:val="18"/>
                  <w:szCs w:val="18"/>
                  <w:color w:val="0000FF"/>
                  <w:w w:val="88"/>
                </w:rPr>
                <w:t>Unaudited Consolidated Statements of Income</w:t>
              </w:r>
            </w:hyperlink>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15</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7"/>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Unaudited Consolidated Statements of Cash Flows</w:t>
              </w:r>
            </w:hyperlink>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6"/>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Unaudited Consolidated Statements of Changes in Equity</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8"/>
          </w:tcPr>
          <w:p>
            <w:pPr>
              <w:spacing w:after="0"/>
              <w:rPr>
                <w:rFonts w:ascii="Arial" w:cs="Arial" w:eastAsia="Arial" w:hAnsi="Arial"/>
                <w:sz w:val="18"/>
                <w:szCs w:val="18"/>
                <w:b w:val="1"/>
                <w:bCs w:val="1"/>
                <w:color w:val="0000FF"/>
              </w:rPr>
            </w:pPr>
            <w:hyperlink w:anchor="page17">
              <w:r>
                <w:rPr>
                  <w:rFonts w:ascii="Arial" w:cs="Arial" w:eastAsia="Arial" w:hAnsi="Arial"/>
                  <w:sz w:val="18"/>
                  <w:szCs w:val="18"/>
                  <w:b w:val="1"/>
                  <w:bCs w:val="1"/>
                  <w:color w:val="0000FF"/>
                </w:rPr>
                <w:t>Evergy Metro,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rFonts w:ascii="Arial" w:cs="Arial" w:eastAsia="Arial" w:hAnsi="Arial"/>
                <w:sz w:val="18"/>
                <w:szCs w:val="18"/>
                <w:color w:val="0000FF"/>
                <w:w w:val="88"/>
              </w:rPr>
            </w:pPr>
            <w:hyperlink w:anchor="page17">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2"/>
          </w:tcPr>
          <w:p>
            <w:pPr>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20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7"/>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Unaudited Consolidated Statements of Changes in Equity</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28"/>
          </w:tcPr>
          <w:p>
            <w:pPr>
              <w:spacing w:after="0"/>
              <w:rPr>
                <w:rFonts w:ascii="Arial" w:cs="Arial" w:eastAsia="Arial" w:hAnsi="Arial"/>
                <w:sz w:val="18"/>
                <w:szCs w:val="18"/>
                <w:color w:val="0000FF"/>
                <w:w w:val="94"/>
              </w:rPr>
            </w:pPr>
            <w:hyperlink w:anchor="page22">
              <w:r>
                <w:rPr>
                  <w:rFonts w:ascii="Arial" w:cs="Arial" w:eastAsia="Arial" w:hAnsi="Arial"/>
                  <w:sz w:val="18"/>
                  <w:szCs w:val="18"/>
                  <w:color w:val="0000FF"/>
                  <w:w w:val="94"/>
                </w:rPr>
                <w:t>Combined Notes to Unaudited Consolidated Financial Statements for Evergy, Inc., Evergy Kansas Central,</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22">
              <w:r>
                <w:rPr>
                  <w:rFonts w:ascii="Arial" w:cs="Arial" w:eastAsia="Arial" w:hAnsi="Arial"/>
                  <w:sz w:val="18"/>
                  <w:szCs w:val="18"/>
                  <w:color w:val="0000FF"/>
                </w:rPr>
                <w:t>Inc. and Evergy Metro, Inc.</w:t>
              </w:r>
            </w:hyperlink>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2"/>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Organization and Basis of Presentation</w:t>
              </w:r>
            </w:hyperlink>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rFonts w:ascii="Arial" w:cs="Arial" w:eastAsia="Arial" w:hAnsi="Arial"/>
                <w:sz w:val="18"/>
                <w:szCs w:val="18"/>
                <w:color w:val="0000FF"/>
                <w:w w:val="83"/>
              </w:rPr>
            </w:pPr>
            <w:hyperlink w:anchor="page28">
              <w:r>
                <w:rPr>
                  <w:rFonts w:ascii="Arial" w:cs="Arial" w:eastAsia="Arial" w:hAnsi="Arial"/>
                  <w:sz w:val="18"/>
                  <w:szCs w:val="18"/>
                  <w:color w:val="0000FF"/>
                  <w:w w:val="83"/>
                </w:rPr>
                <w:t>Revenue</w:t>
              </w:r>
            </w:hyperlink>
          </w:p>
        </w:tc>
        <w:tc>
          <w:tcPr>
            <w:tcW w:w="2180" w:type="dxa"/>
            <w:vAlign w:val="bottom"/>
            <w:gridSpan w:val="9"/>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rFonts w:ascii="Arial" w:cs="Arial" w:eastAsia="Arial" w:hAnsi="Arial"/>
                <w:sz w:val="18"/>
                <w:szCs w:val="18"/>
                <w:color w:val="0000FF"/>
                <w:w w:val="83"/>
              </w:rPr>
            </w:pPr>
            <w:hyperlink w:anchor="page29">
              <w:r>
                <w:rPr>
                  <w:rFonts w:ascii="Arial" w:cs="Arial" w:eastAsia="Arial" w:hAnsi="Arial"/>
                  <w:sz w:val="18"/>
                  <w:szCs w:val="18"/>
                  <w:color w:val="0000FF"/>
                  <w:w w:val="83"/>
                </w:rPr>
                <w:t>Receivables</w:t>
              </w:r>
            </w:hyperlink>
          </w:p>
        </w:tc>
        <w:tc>
          <w:tcPr>
            <w:tcW w:w="5780" w:type="dxa"/>
            <w:vAlign w:val="bottom"/>
            <w:gridSpan w:val="1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Rate Matters and Regulation</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3160" w:type="dxa"/>
            <w:vAlign w:val="bottom"/>
            <w:gridSpan w:val="14"/>
          </w:tcPr>
          <w:p>
            <w:pPr>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Pension Plans and Post-Retirement Benefits</w:t>
              </w:r>
            </w:hyperlink>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6640" w:type="dxa"/>
            <w:vAlign w:val="bottom"/>
            <w:gridSpan w:val="1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Short-Term Borrowings and Short-Term Bank Lines of Credit</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1200" w:type="dxa"/>
            <w:vAlign w:val="bottom"/>
            <w:gridSpan w:val="6"/>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Long-Term Debt</w:t>
              </w:r>
            </w:hyperlink>
          </w:p>
        </w:tc>
        <w:tc>
          <w:tcPr>
            <w:tcW w:w="3240" w:type="dxa"/>
            <w:vAlign w:val="bottom"/>
            <w:gridSpan w:val="10"/>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664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Fair Value Measurements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1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Commitments and Contingencies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1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Related Party Transactions and Relationships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324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Taxes</w:t>
              </w:r>
            </w:hyperlink>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6"/>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Management's Discussion and Analysis of Financial Condition and Results of Operations</w:t>
              </w:r>
            </w:hyperlink>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2"/>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Quantitative and Qualitative Disclosures About Market Risk</w:t>
              </w:r>
            </w:hyperlink>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Controls and Procedures</w:t>
              </w:r>
            </w:hyperlink>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18"/>
                <w:szCs w:val="18"/>
                <w:b w:val="1"/>
                <w:bCs w:val="1"/>
                <w:color w:val="0000FF"/>
                <w:w w:val="96"/>
              </w:rPr>
            </w:pPr>
            <w:hyperlink w:anchor="page60">
              <w:r>
                <w:rPr>
                  <w:rFonts w:ascii="Arial" w:cs="Arial" w:eastAsia="Arial" w:hAnsi="Arial"/>
                  <w:sz w:val="18"/>
                  <w:szCs w:val="18"/>
                  <w:b w:val="1"/>
                  <w:bCs w:val="1"/>
                  <w:color w:val="0000FF"/>
                  <w:w w:val="96"/>
                </w:rPr>
                <w:t>Part II - Other Information</w:t>
              </w:r>
            </w:hyperlink>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rFonts w:ascii="Arial" w:cs="Arial" w:eastAsia="Arial" w:hAnsi="Arial"/>
                <w:sz w:val="18"/>
                <w:szCs w:val="18"/>
                <w:color w:val="0000FF"/>
                <w:w w:val="93"/>
              </w:rPr>
            </w:pPr>
            <w:hyperlink w:anchor="page60">
              <w:r>
                <w:rPr>
                  <w:rFonts w:ascii="Arial" w:cs="Arial" w:eastAsia="Arial" w:hAnsi="Arial"/>
                  <w:sz w:val="18"/>
                  <w:szCs w:val="18"/>
                  <w:color w:val="0000FF"/>
                  <w:w w:val="93"/>
                </w:rPr>
                <w:t>Legal Proceedings</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60">
              <w:r>
                <w:rPr>
                  <w:rFonts w:ascii="Arial" w:cs="Arial" w:eastAsia="Arial" w:hAnsi="Arial"/>
                  <w:sz w:val="18"/>
                  <w:szCs w:val="18"/>
                  <w:color w:val="0000FF"/>
                  <w:w w:val="87"/>
                </w:rPr>
                <w:t>Risk Factors</w:t>
              </w:r>
            </w:hyperlink>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Unregistered Sales of Equity Securities and Use of Proceeds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61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gridSpan w:val="14"/>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Defaults Upon Senior Securities</w:t>
              </w:r>
            </w:hyperlink>
          </w:p>
        </w:tc>
        <w:tc>
          <w:tcPr>
            <w:tcW w:w="2040" w:type="dxa"/>
            <w:vAlign w:val="bottom"/>
            <w:gridSpan w:val="8"/>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00" w:type="dxa"/>
            <w:vAlign w:val="bottom"/>
            <w:gridSpan w:val="14"/>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Mine Safety Disclosures</w:t>
              </w:r>
            </w:hyperlink>
          </w:p>
        </w:tc>
        <w:tc>
          <w:tcPr>
            <w:tcW w:w="5780" w:type="dxa"/>
            <w:vAlign w:val="bottom"/>
            <w:gridSpan w:val="1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Other Information</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Exhibits</w:t>
              </w:r>
            </w:hyperlink>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64</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Signatures</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5">
              <w:r>
                <w:rPr>
                  <w:rFonts w:ascii="Arial" w:cs="Arial" w:eastAsia="Arial" w:hAnsi="Arial"/>
                  <w:sz w:val="18"/>
                  <w:szCs w:val="18"/>
                  <w:color w:val="0000FF"/>
                  <w:w w:val="89"/>
                </w:rPr>
                <w:t>66</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4"/>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in wholesale markets; market perception of the energy industry and the Evergy Companies; the impact of the Coronavirus (COVID-19) pandemic on, among other things, sales, results of operations, financial condition,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22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This list of factors is not all-inclusive because it is not possible to predict all factors. You should also carefully consider the information contained in our other filings with the Securities and Exchange Commission (SEC). Additional risks and uncertainties are discussed from time to time in current, quarterly and annual reports filed by the Evergy Companies with the SEC. Each forward-looking statement speaks only as of the date of the particular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statement. The Evergy Companies undertake no obligation to publicly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6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AAO</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Accounting authority order</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ACE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Affordable Clean Energy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 Amendments of 1990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2"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COVID-19</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Coronavirus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7940" w:type="dxa"/>
            <w:vAlign w:val="bottom"/>
            <w:gridSpan w:val="3"/>
          </w:tcPr>
          <w:p>
            <w:pPr>
              <w:ind w:left="200"/>
              <w:spacing w:after="0" w:line="192"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Kilovolt</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54"/>
        </w:trPr>
        <w:tc>
          <w:tcPr>
            <w:tcW w:w="20" w:type="dxa"/>
            <w:vAlign w:val="bottom"/>
          </w:tcPr>
          <w:p>
            <w:pPr>
              <w:spacing w:after="0"/>
              <w:rPr>
                <w:sz w:val="22"/>
                <w:szCs w:val="22"/>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MDNR</w:t>
            </w:r>
          </w:p>
        </w:tc>
        <w:tc>
          <w:tcPr>
            <w:tcW w:w="64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w w:val="89"/>
              </w:rPr>
              <w:t>Missouri Department of Natural Resources</w:t>
            </w:r>
          </w:p>
        </w:tc>
        <w:tc>
          <w:tcPr>
            <w:tcW w:w="840" w:type="dxa"/>
            <w:vAlign w:val="bottom"/>
            <w:tcBorders>
              <w:top w:val="single" w:sz="8" w:color="auto"/>
            </w:tcBorders>
          </w:tcPr>
          <w:p>
            <w:pPr>
              <w:spacing w:after="0"/>
              <w:rPr>
                <w:sz w:val="22"/>
                <w:szCs w:val="22"/>
                <w:color w:val="auto"/>
              </w:rPr>
            </w:pPr>
          </w:p>
        </w:tc>
        <w:tc>
          <w:tcPr>
            <w:tcW w:w="348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MECG</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Midwest Energy Consumers Group</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Term Loan Credit Agreement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4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520" w:type="dxa"/>
            <w:vAlign w:val="bottom"/>
            <w:gridSpan w:val="3"/>
          </w:tcPr>
          <w:p>
            <w:pPr>
              <w:jc w:val="right"/>
              <w:ind w:right="399"/>
              <w:spacing w:after="0"/>
              <w:rPr>
                <w:sz w:val="20"/>
                <w:szCs w:val="20"/>
                <w:color w:val="auto"/>
              </w:rPr>
            </w:pPr>
            <w:r>
              <w:rPr>
                <w:rFonts w:ascii="Arial" w:cs="Arial" w:eastAsia="Arial" w:hAnsi="Arial"/>
                <w:sz w:val="14"/>
                <w:szCs w:val="14"/>
                <w:color w:val="auto"/>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22.2</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$24.4 and $32.9, respectively</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185.2</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221.6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338.0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612.7</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566.7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16.9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425.3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424.1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44.9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76.8</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75.4</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1,722.0</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1,710.3</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21,157.7</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21,002.6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146.0</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147.8</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2,058.0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1,991.1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733.2</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768.7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2,336.6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586.4</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563.4</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5,714.2</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5,659.8</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28,739.9</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28,520.5</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w w:val="97"/>
              </w:rPr>
              <w:t>March 31</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right"/>
              <w:ind w:right="359"/>
              <w:spacing w:after="0"/>
              <w:rPr>
                <w:sz w:val="20"/>
                <w:szCs w:val="20"/>
                <w:color w:val="auto"/>
              </w:rPr>
            </w:pPr>
            <w:r>
              <w:rPr>
                <w:rFonts w:ascii="Arial" w:cs="Arial" w:eastAsia="Arial" w:hAnsi="Arial"/>
                <w:sz w:val="14"/>
                <w:szCs w:val="14"/>
                <w:color w:val="auto"/>
              </w:rPr>
              <w:t>(millions, except share amounts)</w:t>
            </w: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587.3</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1,392.2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1,159.3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338.0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396.1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639.7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248.0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143.3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56.5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19.0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50.2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160.7</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3,391.3</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9,247.1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9,297.9</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1,885.6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1,861.9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182.5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2,651.7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2,705.0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884.3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950.8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309.1</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16,111.1</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16,175.9</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360"/>
              <w:spacing w:after="0" w:line="166"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7,206.4</w:t>
            </w:r>
          </w:p>
        </w:tc>
        <w:tc>
          <w:tcPr>
            <w:tcW w:w="44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7,205.5</w:t>
            </w:r>
          </w:p>
        </w:tc>
        <w:tc>
          <w:tcPr>
            <w:tcW w:w="0" w:type="dxa"/>
            <w:vAlign w:val="bottom"/>
          </w:tcPr>
          <w:p>
            <w:pPr>
              <w:spacing w:after="0"/>
              <w:rPr>
                <w:sz w:val="1"/>
                <w:szCs w:val="1"/>
                <w:color w:val="auto"/>
              </w:rPr>
            </w:pPr>
          </w:p>
        </w:tc>
      </w:tr>
      <w:tr>
        <w:trPr>
          <w:trHeight w:val="209"/>
        </w:trPr>
        <w:tc>
          <w:tcPr>
            <w:tcW w:w="8400" w:type="dxa"/>
            <w:vAlign w:val="bottom"/>
          </w:tcPr>
          <w:p>
            <w:pPr>
              <w:ind w:left="360"/>
              <w:spacing w:after="0"/>
              <w:rPr>
                <w:sz w:val="20"/>
                <w:szCs w:val="20"/>
                <w:color w:val="auto"/>
              </w:rPr>
            </w:pPr>
            <w:r>
              <w:rPr>
                <w:rFonts w:ascii="Arial" w:cs="Arial" w:eastAsia="Arial" w:hAnsi="Arial"/>
                <w:sz w:val="16"/>
                <w:szCs w:val="16"/>
                <w:color w:val="auto"/>
              </w:rPr>
              <w:t>229,476,558 and 229,299,900 shares issued, stated 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2,073.3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2,082.9</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(42.6)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9,237.1</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9,244.4</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0.4</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9,237.5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28,739.9</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28,520.5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186"/>
        </w:trPr>
        <w:tc>
          <w:tcPr>
            <w:tcW w:w="8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gridSpan w:val="3"/>
          </w:tcPr>
          <w:p>
            <w:pPr>
              <w:jc w:val="right"/>
              <w:ind w:right="339"/>
              <w:spacing w:after="0"/>
              <w:rPr>
                <w:sz w:val="20"/>
                <w:szCs w:val="20"/>
                <w:color w:val="auto"/>
              </w:rPr>
            </w:pPr>
            <w:r>
              <w:rPr>
                <w:rFonts w:ascii="Arial" w:cs="Arial" w:eastAsia="Arial" w:hAnsi="Arial"/>
                <w:sz w:val="14"/>
                <w:szCs w:val="14"/>
                <w:color w:val="auto"/>
                <w:w w:val="94"/>
              </w:rPr>
              <w:t>(millions, except per share amounts)</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1,223.9</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1,611.9</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309.0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78.7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252.2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229.0</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219.3</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101.9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970.8</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1,294.2</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253.1</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8.2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(24.9)</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(26.3)</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91.8</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135.0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215.6</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125.6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122.5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w:t>
            </w:r>
          </w:p>
        </w:tc>
      </w:tr>
      <w:tr>
        <w:trPr>
          <w:trHeight w:val="166"/>
        </w:trPr>
        <w:tc>
          <w:tcPr>
            <w:tcW w:w="830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 ATTRIBUTABLE TO</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9"/>
        </w:trPr>
        <w:tc>
          <w:tcPr>
            <w:tcW w:w="8300" w:type="dxa"/>
            <w:vAlign w:val="bottom"/>
          </w:tcPr>
          <w:p>
            <w:pPr>
              <w:ind w:left="180"/>
              <w:spacing w:after="0"/>
              <w:rPr>
                <w:sz w:val="20"/>
                <w:szCs w:val="20"/>
                <w:color w:val="auto"/>
              </w:rPr>
            </w:pPr>
            <w:r>
              <w:rPr>
                <w:rFonts w:ascii="Arial" w:cs="Arial" w:eastAsia="Arial" w:hAnsi="Arial"/>
                <w:sz w:val="16"/>
                <w:szCs w:val="16"/>
                <w:color w:val="auto"/>
              </w:rPr>
              <w:t>EVERGY, INC. (see Note 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0.53</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0.53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0.84</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229.8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227.3</w:t>
            </w:r>
          </w:p>
        </w:tc>
      </w:tr>
      <w:tr>
        <w:trPr>
          <w:trHeight w:val="226"/>
        </w:trPr>
        <w:tc>
          <w:tcPr>
            <w:tcW w:w="8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230.2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125.6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6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127.0</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196.0</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123.9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229.0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15.8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108.7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13.9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19.3</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265.1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(524.7)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(467.7)</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8.7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(531.3)</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(267.1)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980.0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 facility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19.0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247.4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(131.3)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262.2</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840.9</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26.2</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199"/>
              <w:spacing w:after="0"/>
              <w:rPr>
                <w:sz w:val="20"/>
                <w:szCs w:val="20"/>
                <w:color w:val="auto"/>
              </w:rPr>
            </w:pPr>
            <w:r>
              <w:rPr>
                <w:rFonts w:ascii="Arial" w:cs="Arial" w:eastAsia="Arial" w:hAnsi="Arial"/>
                <w:sz w:val="16"/>
                <w:szCs w:val="16"/>
                <w:b w:val="1"/>
                <w:bCs w:val="1"/>
                <w:color w:val="auto"/>
              </w:rPr>
              <w:t>Evergy, Inc. Shareholders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8"/>
              </w:rPr>
              <w:t>Common</w:t>
            </w:r>
          </w:p>
        </w:tc>
        <w:tc>
          <w:tcPr>
            <w:tcW w:w="140" w:type="dxa"/>
            <w:vAlign w:val="bottom"/>
          </w:tcPr>
          <w:p>
            <w:pPr>
              <w:spacing w:after="0"/>
              <w:rPr>
                <w:sz w:val="12"/>
                <w:szCs w:val="12"/>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4"/>
              </w:rPr>
              <w:t>Retained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AOCI</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10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2"/>
              </w:rPr>
              <w:t>earnings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interests</w:t>
            </w:r>
          </w:p>
        </w:tc>
        <w:tc>
          <w:tcPr>
            <w:tcW w:w="10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7"/>
          </w:tcPr>
          <w:p>
            <w:pPr>
              <w:jc w:val="right"/>
              <w:ind w:right="60"/>
              <w:spacing w:after="0"/>
              <w:rPr>
                <w:sz w:val="20"/>
                <w:szCs w:val="20"/>
                <w:color w:val="auto"/>
              </w:rPr>
            </w:pPr>
            <w:r>
              <w:rPr>
                <w:rFonts w:ascii="Arial" w:cs="Arial" w:eastAsia="Arial" w:hAnsi="Arial"/>
                <w:sz w:val="16"/>
                <w:szCs w:val="16"/>
                <w:color w:val="auto"/>
              </w:rPr>
              <w:t>(millions, except share amounts)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226,836,670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104,896</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tcPr>
          <w:p>
            <w:pPr>
              <w:jc w:val="right"/>
              <w:spacing w:after="0"/>
              <w:rPr>
                <w:sz w:val="20"/>
                <w:szCs w:val="20"/>
                <w:color w:val="auto"/>
              </w:rPr>
            </w:pPr>
            <w:r>
              <w:rPr>
                <w:rFonts w:ascii="Arial" w:cs="Arial" w:eastAsia="Arial" w:hAnsi="Arial"/>
                <w:sz w:val="16"/>
                <w:szCs w:val="16"/>
                <w:color w:val="auto"/>
              </w:rPr>
              <w:t>54,054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226,995,620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229,299,900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176,658</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229,476,558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7,206.4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w w:val="97"/>
              </w:rPr>
              <w:t>March 31</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500" w:type="dxa"/>
            <w:vAlign w:val="bottom"/>
            <w:gridSpan w:val="3"/>
          </w:tcPr>
          <w:p>
            <w:pPr>
              <w:jc w:val="right"/>
              <w:ind w:right="399"/>
              <w:spacing w:after="0"/>
              <w:rPr>
                <w:sz w:val="20"/>
                <w:szCs w:val="20"/>
                <w:color w:val="auto"/>
              </w:rPr>
            </w:pPr>
            <w:r>
              <w:rPr>
                <w:rFonts w:ascii="Arial" w:cs="Arial" w:eastAsia="Arial" w:hAnsi="Arial"/>
                <w:sz w:val="14"/>
                <w:szCs w:val="14"/>
                <w:color w:val="auto"/>
                <w:w w:val="99"/>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4.9</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$10.1 and $13.0, respectively</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178.9</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201.6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165.0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153.0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313.5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1.5</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257.3</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16.6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19.4</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40.1</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969.3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970.0</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10,616.7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10,548.9</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146.0</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147.8</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2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787.0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753.6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354.1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368.4</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310.3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286.9</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1,451.4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1,408.9</w:t>
            </w:r>
          </w:p>
        </w:tc>
      </w:tr>
      <w:tr>
        <w:trPr>
          <w:trHeight w:val="21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13,183.4</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13,075.6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commercial paper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461.3</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406.0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165.0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153.0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173.0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232.2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Related party payables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29.4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157.9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106.1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91.1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7.3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105.7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126.3</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1,228.9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1,156.5</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3,934.9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3,934.2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871.9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867.9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63.4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61.7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1,443.7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1,469.4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433.6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435.6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442.2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436.6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173.2</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172.2</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7,362.9</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7,377.6</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2,737.6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2,737.6</w:t>
            </w: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1,853.6</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1,806.6</w:t>
            </w:r>
          </w:p>
        </w:tc>
      </w:tr>
      <w:tr>
        <w:trPr>
          <w:trHeight w:val="207"/>
        </w:trPr>
        <w:tc>
          <w:tcPr>
            <w:tcW w:w="8400" w:type="dxa"/>
            <w:vAlign w:val="bottom"/>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20" w:type="dxa"/>
            <w:vAlign w:val="bottom"/>
          </w:tcPr>
          <w:p>
            <w:pPr>
              <w:spacing w:after="0"/>
              <w:rPr>
                <w:sz w:val="17"/>
                <w:szCs w:val="17"/>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4,591.2</w:t>
            </w:r>
          </w:p>
        </w:tc>
        <w:tc>
          <w:tcPr>
            <w:tcW w:w="46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4,544.2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0.4</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r>
      <w:tr>
        <w:trPr>
          <w:trHeight w:val="207"/>
        </w:trPr>
        <w:tc>
          <w:tcPr>
            <w:tcW w:w="8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4,591.6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4,541.5</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13,183.4</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13,075.6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186"/>
        </w:trPr>
        <w:tc>
          <w:tcPr>
            <w:tcW w:w="8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4"/>
                <w:szCs w:val="14"/>
                <w:color w:val="auto"/>
              </w:rPr>
              <w:t>(millions)</w:t>
            </w: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613.9</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901.1</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108.1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78.7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125.7</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119.7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115.5</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54.5</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486.7</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660.8</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127.2</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loss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3.1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(10.2)</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7"/>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(8.6)</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40.9</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77.7</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196.8</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75.1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72.0</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7.9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28.5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182.9</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(222.8)</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12.0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7"/>
        </w:trPr>
        <w:tc>
          <w:tcPr>
            <w:tcW w:w="8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41.7</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0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4,461.9</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0"/>
              <w:spacing w:after="0"/>
              <w:rPr>
                <w:sz w:val="20"/>
                <w:szCs w:val="20"/>
                <w:color w:val="auto"/>
              </w:rPr>
            </w:pPr>
            <w:r>
              <w:rPr>
                <w:rFonts w:ascii="Arial" w:cs="Arial" w:eastAsia="Arial" w:hAnsi="Arial"/>
                <w:sz w:val="16"/>
                <w:szCs w:val="16"/>
                <w:b w:val="1"/>
                <w:bCs w:val="1"/>
                <w:color w:val="auto"/>
                <w:w w:val="97"/>
              </w:rPr>
              <w:t>March 31</w:t>
            </w:r>
          </w:p>
        </w:tc>
        <w:tc>
          <w:tcPr>
            <w:tcW w:w="144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2500" w:type="dxa"/>
            <w:vAlign w:val="bottom"/>
            <w:gridSpan w:val="3"/>
          </w:tcPr>
          <w:p>
            <w:pPr>
              <w:jc w:val="right"/>
              <w:ind w:right="379"/>
              <w:spacing w:after="0"/>
              <w:rPr>
                <w:sz w:val="20"/>
                <w:szCs w:val="20"/>
                <w:color w:val="auto"/>
              </w:rPr>
            </w:pPr>
            <w:r>
              <w:rPr>
                <w:rFonts w:ascii="Arial" w:cs="Arial" w:eastAsia="Arial" w:hAnsi="Arial"/>
                <w:sz w:val="14"/>
                <w:szCs w:val="14"/>
                <w:color w:val="auto"/>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3.6</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$9.5 and $13.3, respectively</w:t>
            </w:r>
          </w:p>
        </w:tc>
        <w:tc>
          <w:tcPr>
            <w:tcW w:w="3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b w:val="1"/>
                <w:bCs w:val="1"/>
                <w:color w:val="auto"/>
              </w:rPr>
              <w:t>19.2</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31.0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224.6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277.8</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b w:val="1"/>
                <w:bCs w:val="1"/>
                <w:color w:val="auto"/>
              </w:rPr>
              <w:t>123.0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116.0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220.7</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211.0</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b w:val="1"/>
                <w:bCs w:val="1"/>
                <w:color w:val="auto"/>
              </w:rPr>
              <w:t>86.1</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86.3</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22.6</w:t>
            </w:r>
          </w:p>
        </w:tc>
      </w:tr>
      <w:tr>
        <w:trPr>
          <w:trHeight w:val="213"/>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19.2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19.7</w:t>
            </w: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717.6</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766.5</w:t>
            </w:r>
          </w:p>
        </w:tc>
      </w:tr>
      <w:tr>
        <w:trPr>
          <w:trHeight w:val="207"/>
        </w:trPr>
        <w:tc>
          <w:tcPr>
            <w:tcW w:w="8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7,480.8</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7,474.9</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Arial" w:cs="Arial" w:eastAsia="Arial" w:hAnsi="Arial"/>
                <w:sz w:val="16"/>
                <w:szCs w:val="16"/>
                <w:b w:val="1"/>
                <w:bCs w:val="1"/>
                <w:color w:val="auto"/>
              </w:rPr>
              <w:t>434.3</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410.7</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379.1</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400.3</w:t>
            </w:r>
          </w:p>
        </w:tc>
      </w:tr>
      <w:tr>
        <w:trPr>
          <w:trHeight w:val="213"/>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100.4</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104.4</w:t>
            </w:r>
          </w:p>
        </w:tc>
      </w:tr>
      <w:tr>
        <w:trPr>
          <w:trHeight w:val="212"/>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913.8</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915.4</w:t>
            </w:r>
          </w:p>
        </w:tc>
      </w:tr>
      <w:tr>
        <w:trPr>
          <w:trHeight w:val="217"/>
        </w:trPr>
        <w:tc>
          <w:tcPr>
            <w:tcW w:w="8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9,112.2</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9,156.8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March 31</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300.0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123.0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116.0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187.8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305.2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Related party payables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0.1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80.2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37.9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40.3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10.7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25.3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44.3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48.8</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849.6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638.5</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2,625.5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2,925.0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615.4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606.1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116.6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925.5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954.2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427.0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374.2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370.0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102.6</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103.7</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Long-Term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5,186.8</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5,497.1</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1,563.1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1,563.1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1,508.4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1,453.8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3,075.8</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3,021.2</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9,112.2</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9,156.8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186"/>
        </w:trPr>
        <w:tc>
          <w:tcPr>
            <w:tcW w:w="8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2"/>
          </w:tcPr>
          <w:p>
            <w:pPr>
              <w:jc w:val="right"/>
              <w:ind w:right="119"/>
              <w:spacing w:after="0"/>
              <w:rPr>
                <w:sz w:val="20"/>
                <w:szCs w:val="20"/>
                <w:color w:val="auto"/>
              </w:rPr>
            </w:pPr>
            <w:r>
              <w:rPr>
                <w:rFonts w:ascii="Arial" w:cs="Arial" w:eastAsia="Arial" w:hAnsi="Arial"/>
                <w:sz w:val="14"/>
                <w:szCs w:val="14"/>
                <w:color w:val="auto"/>
              </w:rPr>
              <w:t>(millions)</w:t>
            </w:r>
          </w:p>
        </w:tc>
        <w:tc>
          <w:tcPr>
            <w:tcW w:w="980" w:type="dxa"/>
            <w:vAlign w:val="bottom"/>
          </w:tcPr>
          <w:p>
            <w:pPr>
              <w:spacing w:after="0"/>
              <w:rPr>
                <w:sz w:val="16"/>
                <w:szCs w:val="16"/>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422.5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516.2</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132.5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78.1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93.4</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82.9</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33.4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r>
      <w:tr>
        <w:trPr>
          <w:trHeight w:val="212"/>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326.9</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445.0</w:t>
            </w:r>
          </w:p>
        </w:tc>
      </w:tr>
      <w:tr>
        <w:trPr>
          <w:trHeight w:val="20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95.6</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r>
      <w:tr>
        <w:trPr>
          <w:trHeight w:val="19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30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5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0.1</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12"/>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(6.3)</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27.0</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212"/>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62.3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54.6</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54.6</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83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income (loss)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54.6</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82.9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(0.4)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41.6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16.3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110.8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(172.4)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(116.2)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6.9</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8"/>
              </w:rPr>
              <w:t>gains (losses) on</w:t>
            </w:r>
          </w:p>
        </w:tc>
        <w:tc>
          <w:tcPr>
            <w:tcW w:w="16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earnings</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85"/>
              </w:rPr>
              <w:t>cash flow hedges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1,191.5</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2,792.7</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1,453.8</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1,508.4</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rPr>
          <w:sz w:val="20"/>
          <w:szCs w:val="20"/>
          <w:color w:val="auto"/>
        </w:rPr>
      </w:pPr>
      <w:r>
        <w:rPr>
          <w:rFonts w:ascii="Arial" w:cs="Arial" w:eastAsia="Arial" w:hAnsi="Arial"/>
          <w:sz w:val="20"/>
          <w:szCs w:val="20"/>
          <w:b w:val="1"/>
          <w:bCs w:val="1"/>
          <w:color w:val="auto"/>
        </w:rPr>
        <w:t>EVERGY METRO, INC.</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1" w:lineRule="exact"/>
        <w:rPr>
          <w:sz w:val="20"/>
          <w:szCs w:val="20"/>
          <w:color w:val="auto"/>
        </w:rPr>
      </w:pPr>
    </w:p>
    <w:p>
      <w:pPr>
        <w:ind w:left="660" w:right="10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8"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2021 Form 10-K.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71"/>
              <w:spacing w:after="0" w:line="202" w:lineRule="exact"/>
              <w:rPr>
                <w:sz w:val="20"/>
                <w:szCs w:val="20"/>
                <w:color w:val="auto"/>
              </w:rPr>
            </w:pPr>
            <w:r>
              <w:rPr>
                <w:rFonts w:ascii="Arial" w:cs="Arial" w:eastAsia="Arial" w:hAnsi="Arial"/>
                <w:sz w:val="18"/>
                <w:szCs w:val="18"/>
                <w:b w:val="1"/>
                <w:bCs w:val="1"/>
                <w:color w:val="auto"/>
              </w:rPr>
              <w:t>March 31</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0"/>
        </w:trPr>
        <w:tc>
          <w:tcPr>
            <w:tcW w:w="7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9"/>
                <w:szCs w:val="19"/>
                <w:color w:val="auto"/>
              </w:rPr>
            </w:pPr>
          </w:p>
        </w:tc>
        <w:tc>
          <w:tcPr>
            <w:tcW w:w="202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189.2</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423.5</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612.7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95.7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217.8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313.5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66.4</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154.3</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220.7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2022</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30,721.1</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14,826.3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11,831.3</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(11,701.4)</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(5,660.8)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(4,833.2)</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19,744.0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9,889.8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6,998.1</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1,267.5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653.7</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409.7</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145.4</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73.0</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21,157.7</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10,616.7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7,480.8</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30,289.9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14,686.3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11,656.9</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(11,515.5)</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(5,590.8)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(4,733.7)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19,498.7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9,819.8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6,923.2</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1,350.6</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652.2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475.3</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152.5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76.1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76.4</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21,002.6</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10,548.9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7,474.9</w:t>
            </w:r>
          </w:p>
        </w:tc>
      </w:tr>
    </w:tbl>
    <w:p>
      <w:pPr>
        <w:spacing w:after="0" w:line="8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March 31, 2022 and December 31, 2021, represents the planned retirement of Evergy Kansas Central analog meters prior to the end of their remaining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In 2022, Evergy's investment earnings (loss) included a pre-tax loss of $14.2 million related to Evergy's equity investment in an early-stage energy solutions company. See "Evergy Equity Investment" in this Note 1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9"/>
                <w:szCs w:val="19"/>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(18.4)</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3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(10.5)</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19"/>
                <w:szCs w:val="19"/>
                <w:color w:val="auto"/>
              </w:rPr>
            </w:pPr>
          </w:p>
        </w:tc>
        <w:tc>
          <w:tcPr>
            <w:tcW w:w="2920" w:type="dxa"/>
            <w:vAlign w:val="bottom"/>
            <w:gridSpan w:val="3"/>
          </w:tcPr>
          <w:p>
            <w:pPr>
              <w:jc w:val="right"/>
              <w:ind w:right="310"/>
              <w:spacing w:after="0"/>
              <w:rPr>
                <w:sz w:val="20"/>
                <w:szCs w:val="20"/>
                <w:color w:val="auto"/>
              </w:rPr>
            </w:pPr>
            <w:r>
              <w:rPr>
                <w:rFonts w:ascii="Arial" w:cs="Arial" w:eastAsia="Arial" w:hAnsi="Arial"/>
                <w:sz w:val="16"/>
                <w:szCs w:val="16"/>
                <w:color w:val="auto"/>
                <w:w w:val="96"/>
              </w:rPr>
              <w:t>(millions, except per share amounts)</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122.5</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229.8</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230.2</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3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0.53</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r>
    </w:tbl>
    <w:p>
      <w:pPr>
        <w:spacing w:after="0" w:line="280"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Anti-dilutive securities excluded from the computation of diluted EPS for the three months ended March 31, 2022, were 3,950,000 common shares issuable pursuant to a warrant. Anti-dilutive shares excluded from the computation of diluted EPS for the three months ended March 31, 2021, were 353,806 RSUs with performance measures and 3,950,000 common shares issuable pursuant to a warrant.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May 2022, Evergy's Board of Directors (Evergy Board) declared a quarterly dividend of $0.5725 per share on Evergy's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common dividend is payable on June 20, 2022, to shareholders of record as of May 20, 2022.</w:t>
      </w:r>
    </w:p>
    <w:p>
      <w:pPr>
        <w:spacing w:after="0" w:line="200"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In May 2022, Evergy Kansas Central's Board of Directors declared a cash dividend to Evergy of up to $200.0 million, payable on June 17,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122.6</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financing transactions:</w:t>
            </w: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42.0</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7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38.5</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These circumstances resulted in higher than normal market prices within the SPP Integrated Marketplace for both natural gas and power for the duration of the February 2021 winter weather event. As part of the February 2021 winter weather event and inclusive of the aforementioned items, Evergy incurred natural gas and purchased power costs, net of wholesale revenues, of $341.3 million for the three months ended March 31, 2021. This $341.3 million of net fuel and purchased power costs incurred was primarily driven by $297.3 million of costs at Evergy Missouri West and $120.7 million of costs at Evergy Kansas Central, partially offset by $76.7 million of net wholesale revenues at Evergy Metro.</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amount of purchased power costs incurred and wholesale revenues recorded by the Evergy Companies in the first quarter of 2021 during the February 2021 winter weather event have been subject to subsequent resettlement activity by the SPP that has resulted in net increases to the total cost of the February 2021 winter weather event from the amounts initially recorded. As of March 31, 2022, Evergy has incurred total natural gas and purchased power costs, net of wholesale revenues, of $367.9 million related to the February 2021 winter weather event and inclusive of these subsequent SPP resettlements. This $367.9 million of net fuel and purchased power costs was primarily driven by $296.6 million of costs at Evergy Missouri West and $134.3 million of costs at Evergy Kansas Central, partially offset by $63.0 million of net wholesale revenues at Evergy Metro.</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As of March 31, 2022 and December 31, 2021, the Evergy Companies had deferred substantially all of the fuel and purchased power costs, net of wholesale revenues, related to the February 2021 winter weather event to a regulatory asset or liability pursuant to pending requests for recovery or refund through the respective fuel recovery mechanisms of Evergy Kansas Central and Evergy Metro and through a securitization request at Evergy Missouri West. See Note 4 for additional information regarding these regulatory proceedings.</w:t>
      </w:r>
    </w:p>
    <w:p>
      <w:pPr>
        <w:spacing w:after="0" w:line="161"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and Evergy Kansas Central recorded $96.5 million of energy marketing margins for the three months ended March 31, 2021 related to the February 2021 winter weather event, primarily driven by activities in the Electric Reliability Council of Texas (ERCOT).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Equity Investment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were subject to a restriction on sale for 150 days. The equity investment had a fair value of $31.4 million as of December 31, 2021.</w:t>
      </w:r>
    </w:p>
    <w:p>
      <w:pPr>
        <w:spacing w:after="0" w:line="19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March 2022, Evergy sold its shares in the equity investment to a financial institution through a share forward agreement following the expiration of the restriction on sale. As part of the share forward agreement, Evergy delivered its shares to the financial institution in exchange for a series of future cash settlements based primarily on the volume-weighted average price (VWAP) of the shares over the term of the agreement, which ends in June 2022 but could be ended earlier at the option of the financial institution. The share forward agreement is included in other current assets on Evergy's consolidated balance sheets as of March 31, 2022, at its fair value of $14.5 million.</w:t>
      </w:r>
    </w:p>
    <w:p>
      <w:pPr>
        <w:spacing w:after="0" w:line="16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the first quarter of 2022, Evergy recorded a pre-tax loss of $14.2 million in investment earnings (loss) on its consolidated statements of comprehensive income related to the decrease in market value of its equity investment prior to sale and the recording of the share forward agreement at fair value. Evergy also received cash settlements of $2.7 million under the share forward agreement in the first quarter of 2022.</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7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Evergy</w:t>
            </w:r>
          </w:p>
        </w:tc>
        <w:tc>
          <w:tcPr>
            <w:tcW w:w="2660" w:type="dxa"/>
            <w:vAlign w:val="bottom"/>
            <w:tcBorders>
              <w:top w:val="single" w:sz="8" w:color="auto"/>
              <w:bottom w:val="single" w:sz="8" w:color="auto"/>
            </w:tcBorders>
            <w:gridSpan w:val="2"/>
          </w:tcPr>
          <w:p>
            <w:pPr>
              <w:jc w:val="right"/>
              <w:ind w:right="331"/>
              <w:spacing w:after="0"/>
              <w:rPr>
                <w:sz w:val="20"/>
                <w:szCs w:val="20"/>
                <w:color w:val="auto"/>
              </w:rPr>
            </w:pPr>
            <w:r>
              <w:rPr>
                <w:rFonts w:ascii="Arial" w:cs="Arial" w:eastAsia="Arial" w:hAnsi="Arial"/>
                <w:sz w:val="18"/>
                <w:szCs w:val="18"/>
                <w:b w:val="1"/>
                <w:bCs w:val="1"/>
                <w:color w:val="auto"/>
              </w:rPr>
              <w:t>Evergy Kansas Central</w:t>
            </w:r>
          </w:p>
        </w:tc>
        <w:tc>
          <w:tcPr>
            <w:tcW w:w="52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40" w:type="dxa"/>
            <w:vAlign w:val="bottom"/>
          </w:tcPr>
          <w:p>
            <w:pPr>
              <w:jc w:val="right"/>
              <w:ind w:right="911"/>
              <w:spacing w:after="0"/>
              <w:rPr>
                <w:sz w:val="20"/>
                <w:szCs w:val="20"/>
                <w:color w:val="auto"/>
              </w:rPr>
            </w:pPr>
            <w:r>
              <w:rPr>
                <w:rFonts w:ascii="Arial" w:cs="Arial" w:eastAsia="Arial" w:hAnsi="Arial"/>
                <w:sz w:val="16"/>
                <w:szCs w:val="16"/>
                <w:color w:val="auto"/>
              </w:rPr>
              <w:t>(millions)</w:t>
            </w: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451.8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196.1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159.9</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403.1</w:t>
            </w:r>
          </w:p>
        </w:tc>
        <w:tc>
          <w:tcPr>
            <w:tcW w:w="920" w:type="dxa"/>
            <w:vAlign w:val="bottom"/>
          </w:tcPr>
          <w:p>
            <w:pPr>
              <w:spacing w:after="0"/>
              <w:rPr>
                <w:sz w:val="19"/>
                <w:szCs w:val="19"/>
                <w:color w:val="auto"/>
              </w:rPr>
            </w:pPr>
          </w:p>
        </w:tc>
        <w:tc>
          <w:tcPr>
            <w:tcW w:w="1740" w:type="dxa"/>
            <w:vAlign w:val="bottom"/>
          </w:tcPr>
          <w:p>
            <w:pPr>
              <w:jc w:val="right"/>
              <w:ind w:right="631"/>
              <w:spacing w:after="0"/>
              <w:rPr>
                <w:sz w:val="20"/>
                <w:szCs w:val="20"/>
                <w:color w:val="auto"/>
              </w:rPr>
            </w:pPr>
            <w:r>
              <w:rPr>
                <w:rFonts w:ascii="Arial" w:cs="Arial" w:eastAsia="Arial" w:hAnsi="Arial"/>
                <w:sz w:val="18"/>
                <w:szCs w:val="18"/>
                <w:color w:val="auto"/>
              </w:rPr>
              <w:t>165.2</w:t>
            </w:r>
          </w:p>
        </w:tc>
        <w:tc>
          <w:tcPr>
            <w:tcW w:w="52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173.6</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150.3</w:t>
            </w:r>
          </w:p>
        </w:tc>
        <w:tc>
          <w:tcPr>
            <w:tcW w:w="9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100.8</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28.8</w:t>
            </w:r>
          </w:p>
        </w:tc>
      </w:tr>
      <w:tr>
        <w:trPr>
          <w:trHeight w:val="230"/>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9.0</w:t>
            </w: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4.1</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2.6</w:t>
            </w: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electric retail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1,014.2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466.2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364.9</w:t>
            </w: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51.9</w:t>
            </w:r>
          </w:p>
        </w:tc>
        <w:tc>
          <w:tcPr>
            <w:tcW w:w="920" w:type="dxa"/>
            <w:vAlign w:val="bottom"/>
          </w:tcPr>
          <w:p>
            <w:pPr>
              <w:spacing w:after="0"/>
              <w:rPr>
                <w:sz w:val="19"/>
                <w:szCs w:val="19"/>
                <w:color w:val="auto"/>
              </w:rPr>
            </w:pPr>
          </w:p>
        </w:tc>
        <w:tc>
          <w:tcPr>
            <w:tcW w:w="1740" w:type="dxa"/>
            <w:vAlign w:val="bottom"/>
          </w:tcPr>
          <w:p>
            <w:pPr>
              <w:jc w:val="right"/>
              <w:ind w:right="631"/>
              <w:spacing w:after="0"/>
              <w:rPr>
                <w:sz w:val="20"/>
                <w:szCs w:val="20"/>
                <w:color w:val="auto"/>
              </w:rPr>
            </w:pPr>
            <w:r>
              <w:rPr>
                <w:rFonts w:ascii="Arial" w:cs="Arial" w:eastAsia="Arial" w:hAnsi="Arial"/>
                <w:sz w:val="18"/>
                <w:szCs w:val="18"/>
                <w:color w:val="auto"/>
              </w:rPr>
              <w:t>50.1</w:t>
            </w:r>
          </w:p>
        </w:tc>
        <w:tc>
          <w:tcPr>
            <w:tcW w:w="52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7.7</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98.0</w:t>
            </w:r>
          </w:p>
        </w:tc>
        <w:tc>
          <w:tcPr>
            <w:tcW w:w="9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87.5</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5.4</w:t>
            </w:r>
          </w:p>
        </w:tc>
      </w:tr>
      <w:tr>
        <w:trPr>
          <w:trHeight w:val="229"/>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3.3</w:t>
            </w: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0.6</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1,167.4</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604.4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376.2</w:t>
            </w: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56.5</w:t>
            </w: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46.3</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1,223.9</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613.9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422.5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7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Evergy</w:t>
            </w:r>
          </w:p>
        </w:tc>
        <w:tc>
          <w:tcPr>
            <w:tcW w:w="2660" w:type="dxa"/>
            <w:vAlign w:val="bottom"/>
            <w:tcBorders>
              <w:top w:val="single" w:sz="8" w:color="auto"/>
              <w:bottom w:val="single" w:sz="8" w:color="auto"/>
            </w:tcBorders>
            <w:gridSpan w:val="2"/>
          </w:tcPr>
          <w:p>
            <w:pPr>
              <w:jc w:val="right"/>
              <w:ind w:right="331"/>
              <w:spacing w:after="0"/>
              <w:rPr>
                <w:sz w:val="20"/>
                <w:szCs w:val="20"/>
                <w:color w:val="auto"/>
              </w:rPr>
            </w:pPr>
            <w:r>
              <w:rPr>
                <w:rFonts w:ascii="Arial" w:cs="Arial" w:eastAsia="Arial" w:hAnsi="Arial"/>
                <w:sz w:val="18"/>
                <w:szCs w:val="18"/>
                <w:b w:val="1"/>
                <w:bCs w:val="1"/>
                <w:color w:val="auto"/>
              </w:rPr>
              <w:t>Evergy Kansas Central</w:t>
            </w:r>
          </w:p>
        </w:tc>
        <w:tc>
          <w:tcPr>
            <w:tcW w:w="52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40" w:type="dxa"/>
            <w:vAlign w:val="bottom"/>
          </w:tcPr>
          <w:p>
            <w:pPr>
              <w:jc w:val="right"/>
              <w:ind w:right="911"/>
              <w:spacing w:after="0"/>
              <w:rPr>
                <w:sz w:val="20"/>
                <w:szCs w:val="20"/>
                <w:color w:val="auto"/>
              </w:rPr>
            </w:pPr>
            <w:r>
              <w:rPr>
                <w:rFonts w:ascii="Arial" w:cs="Arial" w:eastAsia="Arial" w:hAnsi="Arial"/>
                <w:sz w:val="16"/>
                <w:szCs w:val="16"/>
                <w:color w:val="auto"/>
              </w:rPr>
              <w:t>(millions)</w:t>
            </w: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396.7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183.4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122.2</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346.0</w:t>
            </w:r>
          </w:p>
        </w:tc>
        <w:tc>
          <w:tcPr>
            <w:tcW w:w="920" w:type="dxa"/>
            <w:vAlign w:val="bottom"/>
          </w:tcPr>
          <w:p>
            <w:pPr>
              <w:spacing w:after="0"/>
              <w:rPr>
                <w:sz w:val="19"/>
                <w:szCs w:val="19"/>
                <w:color w:val="auto"/>
              </w:rPr>
            </w:pPr>
          </w:p>
        </w:tc>
        <w:tc>
          <w:tcPr>
            <w:tcW w:w="1740" w:type="dxa"/>
            <w:vAlign w:val="bottom"/>
          </w:tcPr>
          <w:p>
            <w:pPr>
              <w:jc w:val="right"/>
              <w:ind w:right="631"/>
              <w:spacing w:after="0"/>
              <w:rPr>
                <w:sz w:val="20"/>
                <w:szCs w:val="20"/>
                <w:color w:val="auto"/>
              </w:rPr>
            </w:pPr>
            <w:r>
              <w:rPr>
                <w:rFonts w:ascii="Arial" w:cs="Arial" w:eastAsia="Arial" w:hAnsi="Arial"/>
                <w:sz w:val="18"/>
                <w:szCs w:val="18"/>
                <w:color w:val="auto"/>
              </w:rPr>
              <w:t>153.7</w:t>
            </w:r>
          </w:p>
        </w:tc>
        <w:tc>
          <w:tcPr>
            <w:tcW w:w="52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132.5</w:t>
            </w: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133.6</w:t>
            </w:r>
          </w:p>
        </w:tc>
        <w:tc>
          <w:tcPr>
            <w:tcW w:w="9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93.0</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22.3</w:t>
            </w:r>
          </w:p>
        </w:tc>
      </w:tr>
      <w:tr>
        <w:trPr>
          <w:trHeight w:val="230"/>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w:t>
            </w: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electric retail</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883.7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433.3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279.1</w:t>
            </w: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78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487.5</w:t>
            </w:r>
          </w:p>
        </w:tc>
        <w:tc>
          <w:tcPr>
            <w:tcW w:w="920" w:type="dxa"/>
            <w:vAlign w:val="bottom"/>
          </w:tcPr>
          <w:p>
            <w:pPr>
              <w:spacing w:after="0"/>
              <w:rPr>
                <w:sz w:val="19"/>
                <w:szCs w:val="19"/>
                <w:color w:val="auto"/>
              </w:rPr>
            </w:pPr>
          </w:p>
        </w:tc>
        <w:tc>
          <w:tcPr>
            <w:tcW w:w="1740" w:type="dxa"/>
            <w:vAlign w:val="bottom"/>
          </w:tcPr>
          <w:p>
            <w:pPr>
              <w:jc w:val="right"/>
              <w:ind w:right="631"/>
              <w:spacing w:after="0"/>
              <w:rPr>
                <w:sz w:val="20"/>
                <w:szCs w:val="20"/>
                <w:color w:val="auto"/>
              </w:rPr>
            </w:pPr>
            <w:r>
              <w:rPr>
                <w:rFonts w:ascii="Arial" w:cs="Arial" w:eastAsia="Arial" w:hAnsi="Arial"/>
                <w:sz w:val="18"/>
                <w:szCs w:val="18"/>
                <w:color w:val="auto"/>
              </w:rPr>
              <w:t>272.4</w:t>
            </w:r>
          </w:p>
        </w:tc>
        <w:tc>
          <w:tcPr>
            <w:tcW w:w="52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200.5</w:t>
            </w: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7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86.0</w:t>
            </w:r>
          </w:p>
        </w:tc>
        <w:tc>
          <w:tcPr>
            <w:tcW w:w="9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77.9</w:t>
            </w: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w:t>
            </w:r>
          </w:p>
        </w:tc>
      </w:tr>
      <w:tr>
        <w:trPr>
          <w:trHeight w:val="229"/>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5.2</w:t>
            </w: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0.5</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0.3</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1,462.4</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784.1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483.9</w:t>
            </w: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149.5</w:t>
            </w: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117.0</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32.3</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1,611.9</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901.1</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516.2</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March 31</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59.1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136.0</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29"/>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185.2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159.0</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29"/>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178.9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3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1080"/>
        </w:trPr>
        <w:tc>
          <w:tcPr>
            <w:tcW w:w="4280" w:type="dxa"/>
            <w:vAlign w:val="bottom"/>
          </w:tcPr>
          <w:p>
            <w:pPr>
              <w:spacing w:after="0"/>
              <w:rPr>
                <w:sz w:val="24"/>
                <w:szCs w:val="24"/>
                <w:color w:val="auto"/>
              </w:rPr>
            </w:pPr>
          </w:p>
        </w:tc>
        <w:tc>
          <w:tcPr>
            <w:tcW w:w="3280" w:type="dxa"/>
            <w:vAlign w:val="bottom"/>
          </w:tcPr>
          <w:p>
            <w:pPr>
              <w:jc w:val="right"/>
              <w:ind w:right="175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The Evergy Companies' other receivables at March 31, 2022 and December 31, 2021,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jc w:val="center"/>
              <w:ind w:left="3370"/>
              <w:spacing w:after="0"/>
              <w:rPr>
                <w:sz w:val="20"/>
                <w:szCs w:val="20"/>
                <w:color w:val="auto"/>
              </w:rPr>
            </w:pPr>
            <w:r>
              <w:rPr>
                <w:rFonts w:ascii="Arial" w:cs="Arial" w:eastAsia="Arial" w:hAnsi="Arial"/>
                <w:sz w:val="18"/>
                <w:szCs w:val="18"/>
                <w:b w:val="1"/>
                <w:bCs w:val="1"/>
                <w:color w:val="auto"/>
                <w:w w:val="94"/>
              </w:rPr>
              <w:t>March 31</w:t>
            </w:r>
          </w:p>
        </w:tc>
        <w:tc>
          <w:tcPr>
            <w:tcW w:w="5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7"/>
        </w:trPr>
        <w:tc>
          <w:tcPr>
            <w:tcW w:w="47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2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6"/>
              </w:rPr>
              <w:t>45.8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2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6"/>
              </w:rPr>
              <w:t>43.7</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24.4</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4180" w:type="dxa"/>
            <w:vAlign w:val="bottom"/>
            <w:tcBorders>
              <w:top w:val="single" w:sz="8" w:color="auto"/>
            </w:tcBorders>
          </w:tcPr>
          <w:p>
            <w:pPr>
              <w:jc w:val="center"/>
              <w:ind w:left="3310"/>
              <w:spacing w:after="0"/>
              <w:rPr>
                <w:sz w:val="20"/>
                <w:szCs w:val="20"/>
                <w:color w:val="auto"/>
              </w:rPr>
            </w:pPr>
            <w:r>
              <w:rPr>
                <w:rFonts w:ascii="Arial" w:cs="Arial" w:eastAsia="Arial" w:hAnsi="Arial"/>
                <w:sz w:val="18"/>
                <w:szCs w:val="18"/>
                <w:b w:val="1"/>
                <w:bCs w:val="1"/>
                <w:color w:val="auto"/>
                <w:w w:val="94"/>
              </w:rPr>
              <w:t>March 31</w:t>
            </w:r>
          </w:p>
        </w:tc>
        <w:tc>
          <w:tcPr>
            <w:tcW w:w="5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6"/>
        </w:trPr>
        <w:tc>
          <w:tcPr>
            <w:tcW w:w="46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338.0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165.0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8"/>
              </w:rPr>
              <w:t>123.0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r>
    </w:tbl>
    <w:p>
      <w:pPr>
        <w:spacing w:after="0" w:line="29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2022 Transmission Delivery Charge (TDC)</w:t>
      </w:r>
    </w:p>
    <w:p>
      <w:pPr>
        <w:ind w:right="120"/>
        <w:spacing w:after="0" w:line="260" w:lineRule="auto"/>
        <w:rPr>
          <w:sz w:val="20"/>
          <w:szCs w:val="20"/>
          <w:color w:val="auto"/>
        </w:rPr>
      </w:pPr>
      <w:r>
        <w:rPr>
          <w:rFonts w:ascii="Arial" w:cs="Arial" w:eastAsia="Arial" w:hAnsi="Arial"/>
          <w:sz w:val="19"/>
          <w:szCs w:val="19"/>
          <w:color w:val="auto"/>
        </w:rPr>
        <w:t>In March 2022, the KCC issued an order adjusting Evergy Kansas Central's retail prices to include updated transmission costs as reflected in the Federal Energy Regulatory Commission (FERC) transmission formula rate (TFR). The new prices were effective in April 2022 and are expected to increase Evergy Kansas Central's annual retail revenues by $20.4 million when compared to 2021.</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2022 TDC</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In April 2022, the KCC issued an order adjusting Evergy Metro's retail prices to include updated transmission costs as reflected in the FERC TFR. The new prices were effective in May 2022 and are expected to increase Evergy Metro's annual retail revenues by $7.9 million when compared to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98"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Evergy Kansas Central's and Evergy Metro's 2021 calculations of annual earnings did not result in a refund obligation. These calculations were filed with the KCC in March 2022. As of March 31, 2022, Evergy Kansas Central and Evergy Metro estimate their 2022 annual earnings will not result in a significant refund obligation. The final refund obligations for 2021 and 2022 will be decided by the KCC and could vary from the current estimates.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February 2021 Winter Weather Event AAO</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February 2021, the KCC issued an emergency accounting authority order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94"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As of March 31, 2022 and December 31, 2021, Evergy Kansas Central had recognized a regulatory asset pursuant to the AAO of $122.7 million and $121.5 million, respectively, related to its costs incurred during the February 2021 winter weather event, primarily consisting of increased fuel, purchased power, and associated carrying costs. As of March 31, 2022 and December 31, 2021, Evergy Metro's Kansas jurisdiction had recognized a regulatory liability of $38.1 million and $39.5 million, respectively, related to its increased wholesale revenues during the February 2021 winter weather event and associated carrying costs.</w:t>
      </w:r>
    </w:p>
    <w:p>
      <w:pPr>
        <w:spacing w:after="0" w:line="180"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2023. As part of the filing, Evergy Metro also requested a decrease to its February 2021 winter weather event refund to Kansas customers, not currently reflected in its regulatory liability for the February 2021 winter weather event, for jurisdictional allocation differences in its Kansas and Missouri fuel recovery mechanisms.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April 2022, Evergy Kansas Central, Evergy Metro, KCC staff and other intervenors filed a non-unanimous stipulation and agreement with the KCC that resolved all issues regarding the timing and method of recovery for costs and revenues deferred pursuant to the February 2021 winter weather event AAO. As part of the non-unanimous stipulation and agreement, Evergy Kansas Central and Evergy Metro agreed to recover or refund, as appropriate, their deferred February 2021 winter weather amounts to customers through their fuel recovery mechanisms over two years and one year, respectively, beginning in April 2023, and to use the rate of 1.00% to apply carrying charges to these deferred amounts. The non-unanimous stipulation and agreement also permitted Evergy Metro to request the future recovery in its next Kansas rate case of an approximately $5 million under-recovery related to its February 2021 winter weather event refund to Kansas customers for jurisdictional allocation differences in its Kansas and Missouri fuel recovery mechanisms.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An order from the KCC on the non-unanimous stipulation and agreement is expected in the second quarter of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Public Service Commission (MPSC)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2022 Rate Case Proceeding</w:t>
      </w:r>
    </w:p>
    <w:p>
      <w:pPr>
        <w:ind w:right="20"/>
        <w:spacing w:after="0" w:line="254" w:lineRule="auto"/>
        <w:rPr>
          <w:sz w:val="20"/>
          <w:szCs w:val="20"/>
          <w:color w:val="auto"/>
        </w:rPr>
      </w:pPr>
      <w:r>
        <w:rPr>
          <w:rFonts w:ascii="Arial" w:cs="Arial" w:eastAsia="Arial" w:hAnsi="Arial"/>
          <w:sz w:val="19"/>
          <w:szCs w:val="19"/>
          <w:color w:val="auto"/>
        </w:rPr>
        <w:t>In January 2022, Evergy Metro filed an application with the MPSC to request an increase to its retail revenues of $43.9 million before rebasing fuel and purchased power expense, with a return on equity of 10% and a rate-making equity ratio of 51.19%.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Metro also requested an additional $3.8 million increase associated with rebasing fuel and purchased power expense as well as the implementation of tracking mechanisms for both property tax expense and credit loss expense and the creation of a storm reserve as part of its application with the MPSC.</w:t>
      </w:r>
    </w:p>
    <w:p>
      <w:pPr>
        <w:spacing w:after="0" w:line="188"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An evidentiary hearing in the case is scheduled to occur beginning in late August 2022 and new rates are expected to be effective in December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2022 Rate Case Proceeding</w:t>
      </w:r>
    </w:p>
    <w:p>
      <w:pPr>
        <w:spacing w:after="0" w:line="1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In January 2022, Evergy Missouri West filed an application with the MPSC to request an increase to its retail revenues of $27.7 million before rebasing fuel and purchased power expense, with a return on equity of 10% and a rate-making equity ratio of 51.81%.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Missouri West also requested an additional $32.1 million increase associated with rebasing fuel and purchased power expense, the implementation of tracking mechanisms for both property tax expense and credit loss expense, the creation of a storm reserve, and the full return of and return on its unrecovered investment related to the 2018 retirement of Sibley Station as part of its application with the MPSC.</w:t>
      </w:r>
    </w:p>
    <w:p>
      <w:pPr>
        <w:spacing w:after="0" w:line="186"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An evidentiary hearing in the case is scheduled to occur beginning in late August 2022 and new rates are expected to be effective in December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In October 2019, the MPSC granted OPC's and MECG's request for an AAO and required Evergy Missouri West to record a regulatory liability for the revenues discussed above for consideration in Evergy Missouri West's current rate case. Depending on the MPSC's decision in the current rate case, Evergy Missouri West could be required to refund to customers all or a portion of amounts collected in revenue for Sibley Station since December 2018 or, alternatively, could be required to make no refunds. As part of its current rate case, Evergy Missouri West is proposing to refund to customers the revenues collected from customers for non-fuel operations and maintenance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costs and other costs associated with Sibley Station following the station's retirement but not the related return on investment.</w:t>
      </w: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As a result of the MPSC order, Evergy has recorded a regulatory liability of $32.0 million and $29.3 million as of March 31, 2022 and December 31, 2021, respectively,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current rate case.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accrual for this estimated amount does not include certain revenues collected related to Sibley Station that Evergy has determined to not be probable of refund in the current rate case based on the relevant facts and circumstances. Although Evergy has determined these additional revenues to not be probable of refund, the ultimate resolution of this matter in Evergy Missouri West's current rate case is uncertain and could result in an estimated loss of approximately $50 million when new rates are expected to become effective in December 2022. Evergy's regulatory liability for probable refunds as of March 31, 2022 and estimated loss in excess of the amount accrued represent estimates that could change significantly based on ongoing developments including decisions in other regulatory proceedings that establish precedent applicable to this matter and positions of parties on this issue in Evergy Missouri West's 2022 rate case.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and Evergy Missouri West February 2021 Winter Weather Event AAO</w:t>
      </w:r>
    </w:p>
    <w:p>
      <w:pPr>
        <w:spacing w:after="0" w:line="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Evergy Metro and Evergy Missouri West have currently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above the amount included in base rates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As of March 31, 2022 and December 31, 2021, Evergy Metro's Missouri jurisdiction had recognized a regulatory liability of $25.4 million and $25.6 million, respectively, related to its increased wholesale revenues during the February 2021 winter weather event. As of March 31, 2022 and December 31, 2021, Evergy Missouri West had recognized a regulatory asset of $281.8 million and $281.6 million, respectively, related to its costs incurred during the February 2021 winter weather event, primarily consisting of increased fuel and purchased power costs.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 through its fuel recovery mechanism and indicated its intent to recover them through issuing securitized bonds 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 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w:t>
      </w:r>
    </w:p>
    <w:p>
      <w:pPr>
        <w:spacing w:after="0" w:line="18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In March 2022, the MPSC ordered Evergy Metro in a separate regulatory proceeding to file an adjustment to its fuel recovery mechanism in order to allow its wholesale revenues from the February 2021 winter weather event to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refunded to customers beginning in April 2022. The approximately $5 million decrease to the refund of February 2021 winter weather amounts requested by Evergy Metro due to jurisdictional allocation differences in its Kansas and Missouri fuel recovery mechanisms was not included in the adjustment and will be addressed in Evergy Metro's current rate case.</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April 2022, the MPSC staff filed a motion to suspend the February 2021 winter weather event AAO procedural schedule for Evergy Metro and Evergy Missouri West pending the resolution of Evergy Missouri West's petition for a securitization financing order discussed below. The MPSC granted the motion to suspend the AAO procedural schedule in April 2022.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February 2021 Winter Weather Event Securitization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 March 2022, Evergy Missouri West filed a petition for financing order with the MPSC requesting authorization to finance its extraordinary fuel and purchased power costs incurred as part of the February 2021 winter weather event, including carrying costs, through the issuance of securitized bonds. Evergy Missouri West has requested to repay the securitized bonds and collect the related amounts from customers over a period of approximately 15 years from the date of issuance of the securitized bonds. An order from the MPSC regarding Evergy Missouri West's petition is expected no later than October 2022.</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16" w:lineRule="exact"/>
        <w:rPr>
          <w:sz w:val="20"/>
          <w:szCs w:val="20"/>
          <w:color w:val="auto"/>
        </w:rPr>
      </w:pPr>
    </w:p>
    <w:p>
      <w:pPr>
        <w:ind w:right="1100"/>
        <w:spacing w:after="0" w:line="244"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$33.2 million increase effective in January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$32.4 million increase effective in January 2021.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15"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$18.1 million increase effective in January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$3.9 million decrease effective in January 2021.</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PENSION PLANS AND POST-RETIREMENT BENEFITS</w:t>
      </w:r>
    </w:p>
    <w:p>
      <w:pPr>
        <w:spacing w:after="0" w:line="11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Creek's defined benefit plans, consisting of Evergy Kansas South's and Evergy Metro's respective 47% ownership shares.</w:t>
      </w:r>
    </w:p>
    <w:p>
      <w:pPr>
        <w:spacing w:after="0" w:line="16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52"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15"/>
                <w:szCs w:val="15"/>
                <w:color w:val="auto"/>
              </w:rPr>
            </w:pPr>
          </w:p>
        </w:tc>
        <w:tc>
          <w:tcPr>
            <w:tcW w:w="980" w:type="dxa"/>
            <w:vAlign w:val="bottom"/>
            <w:vMerge w:val="restart"/>
          </w:tcPr>
          <w:p>
            <w:pPr>
              <w:jc w:val="center"/>
              <w:ind w:right="151"/>
              <w:spacing w:after="0"/>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4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Central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9.7</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3"/>
                <w:szCs w:val="13"/>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3"/>
                <w:szCs w:val="13"/>
                <w:color w:val="auto"/>
              </w:rPr>
            </w:pPr>
          </w:p>
        </w:tc>
        <w:tc>
          <w:tcPr>
            <w:tcW w:w="980" w:type="dxa"/>
            <w:vAlign w:val="bottom"/>
            <w:vMerge w:val="restart"/>
          </w:tcPr>
          <w:p>
            <w:pPr>
              <w:jc w:val="right"/>
              <w:ind w:right="51"/>
              <w:spacing w:after="0"/>
              <w:rPr>
                <w:sz w:val="20"/>
                <w:szCs w:val="20"/>
                <w:color w:val="auto"/>
              </w:rPr>
            </w:pPr>
            <w:r>
              <w:rPr>
                <w:rFonts w:ascii="Arial" w:cs="Arial" w:eastAsia="Arial" w:hAnsi="Arial"/>
                <w:sz w:val="18"/>
                <w:szCs w:val="18"/>
                <w:color w:val="auto"/>
              </w:rPr>
              <w:t>17.7</w:t>
            </w:r>
          </w:p>
        </w:tc>
        <w:tc>
          <w:tcPr>
            <w:tcW w:w="360" w:type="dxa"/>
            <w:vAlign w:val="bottom"/>
          </w:tcPr>
          <w:p>
            <w:pPr>
              <w:spacing w:after="0"/>
              <w:rPr>
                <w:sz w:val="13"/>
                <w:szCs w:val="13"/>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15"/>
                <w:szCs w:val="15"/>
                <w:color w:val="auto"/>
              </w:rPr>
            </w:pPr>
          </w:p>
        </w:tc>
        <w:tc>
          <w:tcPr>
            <w:tcW w:w="980" w:type="dxa"/>
            <w:vAlign w:val="bottom"/>
            <w:vMerge w:val="restart"/>
          </w:tcPr>
          <w:p>
            <w:pPr>
              <w:jc w:val="center"/>
              <w:ind w:right="191"/>
              <w:spacing w:after="0"/>
              <w:rPr>
                <w:sz w:val="20"/>
                <w:szCs w:val="20"/>
                <w:color w:val="auto"/>
              </w:rPr>
            </w:pPr>
            <w:r>
              <w:rPr>
                <w:rFonts w:ascii="Arial" w:cs="Arial" w:eastAsia="Arial" w:hAnsi="Arial"/>
                <w:sz w:val="18"/>
                <w:szCs w:val="18"/>
                <w:b w:val="1"/>
                <w:bCs w:val="1"/>
                <w:color w:val="auto"/>
                <w:w w:val="89"/>
              </w:rPr>
              <w:t>Evergy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6"/>
              </w:rPr>
              <w:t>Evergy</w:t>
            </w: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7"/>
              </w:rPr>
              <w:t>Metro</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3"/>
                <w:szCs w:val="13"/>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21.2</w:t>
            </w:r>
          </w:p>
        </w:tc>
        <w:tc>
          <w:tcPr>
            <w:tcW w:w="360" w:type="dxa"/>
            <w:vAlign w:val="bottom"/>
          </w:tcPr>
          <w:p>
            <w:pPr>
              <w:spacing w:after="0"/>
              <w:rPr>
                <w:sz w:val="13"/>
                <w:szCs w:val="13"/>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For the three months ended March 31, 2022, Evergy, Evergy Kansas Central and Evergy Metro made pension contributions of $10.0 million, $5.9 million and $4.1 million, respectively. Evergy expects to make additional pension contributions of $88.8 million in 2022 to satisfy the Employee Retirement Income Security Act of 1974, as amended (ERISA) funding requirements and KCC and MPSC rate orders, of which $20.3 million is expected to be paid by Evergy Kansas Central and $68.5 million is expected to be paid by Evergy Metro.</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Also in 2022, Evergy, Evergy Kansas Central and Evergy Metro expect to make post-retirement benefit contributions of $2.2 million, $0.5 million and $1.7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SHORT-TERM BORROWINGS AND SHORT-TERM BANK LINES OF CREDIT</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Evergy's $2.5 billion master credit facility expires in 2026.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78"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March 31, 2022, Evergy, Evergy Kansas Central, Evergy Metro and Evergy Missouri West were in compliance with this covenant.</w:t>
      </w:r>
    </w:p>
    <w:p>
      <w:pPr>
        <w:spacing w:after="0" w:line="194"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March 31, 2022 and December 31, 2021.</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0.94%</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288.7</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0.99%</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0.67%</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341.3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0.34%</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0.41%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0.40%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1,339.9</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February 2022, Evergy, Inc. entered into a $500.0 million unsecured Term Loan Credit Agreement (Term Loan Facility) that expires in February 2023. As of March 31, 2022, Evergy had borrowed $500.0 million under the Term Loan Facility. The weighted average interest rate for borrowings under the Term Loan Facility as of March 31, 2022, was 1.13%. Evergy's borrowings under the Term Loan Facility were used for, among other things, working capital, capital expenditures and general corporate purposes. The Term Loan Facility contains customary covenants, including one that sets the ratio of maximum allowed total indebtedness to total capitalization of not greater than 0.65 to 1.00, for Evergy and its subsidiaries on a consolidated basis. As of March 31, 2022, Evergy was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In March 2022, Evergy Missouri West entered into a First Mortgage Indenture and Deed of Trust, dated as of March 1, 2022 (Evergy Missouri West Mortgage Indenture), establishing a first mortgage lien on substantially all of its present properties and certain after-acquired properties, subject to certain exceptions. In connection with the establishment of the Evergy Missouri West Mortgage Indenture, Evergy Missouri West issued collateral mortgage bonds secured by the Evergy Missouri West Mortgage Indenture to serve as collateral for Evergy Missouri West's obligations under the following outstanding unsecured senior notes:</w:t>
      </w:r>
    </w:p>
    <w:p>
      <w:pPr>
        <w:spacing w:after="0" w:line="74"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$36.0 million of 3.49% Series A, maturing in 2025;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$60.0 million of 4.06% Series B, maturing in 2033;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$150.0 million of 4.74% Series C, maturing in 2043;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$350.0 million of 2.86% Series A, maturing in 2031;</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$75.0 million of 3.01% Series B, maturing in 2033;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$75.0 million of 3.21% Series C, maturing in 2036.</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collateral mortgage bonds were issued to the holders of the unsecured senior notes, are only payable if Evergy Missouri West defaults on the underlying unsecured senior notes and do not increase the amount of outstanding debt for Evergy Missouri West.</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a result of the above transactions, Evergy Missouri West's outstanding senior notes have effectively become secured by the mortgage lien of the Evergy Missouri West Mortgage Indenture and rank equally and ratably with all of Evergy Missouri West's mortgage bonds, regardless of series, from time to time issued and outstanding under the Evergy Missouri West Mortgage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Also in March 2022, Evergy Missouri West issued, at a discount, $250.0 million of 3.75% First Mortgage Bonds, maturing in 2032.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March 2022, Evergy Missouri West repaid its $100.0 million of 3.74% Senior Notes at maturity.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9,834.4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9,687.2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10,758.5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3,934.9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auto"/>
              </w:rPr>
              <w:t>3,934.2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4,522.5</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2,925.5</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2,925.0</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3,400.8</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60" w:hanging="172"/>
        <w:spacing w:after="0" w:line="244"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March 31, 2022 and December 31, 2021, includes $96.0 million and $97.9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3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120" w:type="dxa"/>
            <w:vAlign w:val="bottom"/>
            <w:tcBorders>
              <w:top w:val="single" w:sz="8" w:color="auto"/>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March 31, 2022</w:t>
            </w:r>
          </w:p>
        </w:tc>
        <w:tc>
          <w:tcPr>
            <w:tcW w:w="4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4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NAV</w:t>
            </w:r>
          </w:p>
        </w:tc>
      </w:tr>
      <w:tr>
        <w:trPr>
          <w:trHeight w:val="207"/>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6"/>
                <w:szCs w:val="16"/>
                <w:color w:val="auto"/>
              </w:rPr>
              <w:t>Assets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358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133.8</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120.2</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13.6</w:t>
            </w:r>
          </w:p>
        </w:tc>
      </w:tr>
      <w:tr>
        <w:trPr>
          <w:trHeight w:val="213"/>
        </w:trPr>
        <w:tc>
          <w:tcPr>
            <w:tcW w:w="358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69.9</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69.9</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55.1</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55.1</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28.8</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28.8</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16.8</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16.8</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32.6</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32.6</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16.5</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16.5</w:t>
            </w:r>
          </w:p>
        </w:tc>
      </w:tr>
      <w:tr>
        <w:trPr>
          <w:trHeight w:val="213"/>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nuclear decommissioning trust</w:t>
            </w:r>
          </w:p>
        </w:tc>
        <w:tc>
          <w:tcPr>
            <w:tcW w:w="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354.1</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291.4</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62.7</w:t>
            </w:r>
          </w:p>
        </w:tc>
      </w:tr>
      <w:tr>
        <w:trPr>
          <w:trHeight w:val="193"/>
        </w:trPr>
        <w:tc>
          <w:tcPr>
            <w:tcW w:w="358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18.1</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18.1</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8.6</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8.6</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2.2</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rabbi trust</w:t>
            </w:r>
          </w:p>
        </w:tc>
        <w:tc>
          <w:tcPr>
            <w:tcW w:w="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29.0</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29.0</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383.1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320.4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62.7</w:t>
            </w:r>
          </w:p>
        </w:tc>
      </w:tr>
      <w:tr>
        <w:trPr>
          <w:trHeight w:val="21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Assets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8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283.4</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283.4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80" w:type="dxa"/>
            <w:vAlign w:val="bottom"/>
          </w:tcPr>
          <w:p>
            <w:pPr>
              <w:ind w:left="340"/>
              <w:spacing w:after="0"/>
              <w:rPr>
                <w:sz w:val="20"/>
                <w:szCs w:val="20"/>
                <w:color w:val="auto"/>
              </w:rPr>
            </w:pPr>
            <w:r>
              <w:rPr>
                <w:rFonts w:ascii="Arial" w:cs="Arial" w:eastAsia="Arial" w:hAnsi="Arial"/>
                <w:sz w:val="16"/>
                <w:szCs w:val="16"/>
                <w:color w:val="auto"/>
              </w:rPr>
              <w:t>U.S. Treasury</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46.1</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46.1</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Agency</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0.4</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340"/>
              <w:spacing w:after="0"/>
              <w:rPr>
                <w:sz w:val="20"/>
                <w:szCs w:val="20"/>
                <w:color w:val="auto"/>
              </w:rPr>
            </w:pPr>
            <w:r>
              <w:rPr>
                <w:rFonts w:ascii="Arial" w:cs="Arial" w:eastAsia="Arial" w:hAnsi="Arial"/>
                <w:sz w:val="16"/>
                <w:szCs w:val="16"/>
                <w:color w:val="auto"/>
              </w:rPr>
              <w:t>State and local obligations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bonds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41.8</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41.8</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340"/>
              <w:spacing w:after="0"/>
              <w:rPr>
                <w:sz w:val="20"/>
                <w:szCs w:val="20"/>
                <w:color w:val="auto"/>
              </w:rPr>
            </w:pPr>
            <w:r>
              <w:rPr>
                <w:rFonts w:ascii="Arial" w:cs="Arial" w:eastAsia="Arial" w:hAnsi="Arial"/>
                <w:sz w:val="16"/>
                <w:szCs w:val="16"/>
                <w:color w:val="auto"/>
              </w:rPr>
              <w:t>Foreign governments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3.4</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5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nuclear decommissioning trust</w:t>
            </w:r>
          </w:p>
        </w:tc>
        <w:tc>
          <w:tcPr>
            <w:tcW w:w="8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379.1</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332.9</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46.2</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199"/>
        </w:trPr>
        <w:tc>
          <w:tcPr>
            <w:tcW w:w="358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358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1.9</w:t>
            </w:r>
          </w:p>
        </w:tc>
        <w:tc>
          <w:tcPr>
            <w:tcW w:w="42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8.2</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self-insured health plan trust</w:t>
            </w:r>
          </w:p>
        </w:tc>
        <w:tc>
          <w:tcPr>
            <w:tcW w:w="8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12.6</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5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391.7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339.8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51.9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580" w:type="dxa"/>
            <w:vAlign w:val="bottom"/>
          </w:tcPr>
          <w:p>
            <w:pPr>
              <w:ind w:left="120"/>
              <w:spacing w:after="0"/>
              <w:rPr>
                <w:sz w:val="20"/>
                <w:szCs w:val="20"/>
                <w:color w:val="auto"/>
              </w:rPr>
            </w:pPr>
            <w:r>
              <w:rPr>
                <w:rFonts w:ascii="Arial" w:cs="Arial" w:eastAsia="Arial" w:hAnsi="Arial"/>
                <w:sz w:val="16"/>
                <w:szCs w:val="16"/>
                <w:color w:val="auto"/>
              </w:rPr>
              <w:t>Other Evergy investments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Core bond fund</w:t>
            </w:r>
          </w:p>
        </w:tc>
        <w:tc>
          <w:tcPr>
            <w:tcW w:w="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11.7</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5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Total rabbi trusts</w:t>
            </w: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11.7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Evergy</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58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733.2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624.3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46.2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62.7</w:t>
            </w: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Rabbi trusts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40.7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58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12.6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7"/>
        </w:trPr>
        <w:tc>
          <w:tcPr>
            <w:tcW w:w="3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786.5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671.9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51.9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62.7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140.4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126.5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CEEFF"/>
          </w:tcPr>
          <w:p>
            <w:pPr>
              <w:spacing w:after="0"/>
              <w:rPr>
                <w:sz w:val="18"/>
                <w:szCs w:val="18"/>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74.0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74.0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58.1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29.6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18.0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32.7</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8"/>
                <w:szCs w:val="18"/>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CEEFF"/>
          </w:tcPr>
          <w:p>
            <w:pPr>
              <w:spacing w:after="0"/>
              <w:rPr>
                <w:sz w:val="19"/>
                <w:szCs w:val="19"/>
                <w:color w:val="auto"/>
              </w:rPr>
            </w:pP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0.4</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368.4</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306.6</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61.8</w:t>
            </w:r>
          </w:p>
        </w:tc>
        <w:tc>
          <w:tcPr>
            <w:tcW w:w="220" w:type="dxa"/>
            <w:vAlign w:val="bottom"/>
            <w:tcBorders>
              <w:bottom w:val="single" w:sz="8" w:color="auto"/>
            </w:tcBorders>
            <w:shd w:val="clear" w:color="auto" w:fill="CCEEFF"/>
          </w:tcPr>
          <w:p>
            <w:pPr>
              <w:spacing w:after="0"/>
              <w:rPr>
                <w:sz w:val="18"/>
                <w:szCs w:val="18"/>
                <w:color w:val="auto"/>
              </w:rPr>
            </w:pPr>
          </w:p>
        </w:tc>
      </w:tr>
      <w:tr>
        <w:trPr>
          <w:trHeight w:val="19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19.6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9.5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31.7</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31.7</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400.1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61.8</w:t>
            </w:r>
          </w:p>
        </w:tc>
        <w:tc>
          <w:tcPr>
            <w:tcW w:w="220" w:type="dxa"/>
            <w:vAlign w:val="bottom"/>
            <w:tcBorders>
              <w:bottom w:val="single" w:sz="8" w:color="auto"/>
            </w:tcBorders>
          </w:tcPr>
          <w:p>
            <w:pPr>
              <w:spacing w:after="0"/>
              <w:rPr>
                <w:sz w:val="17"/>
                <w:szCs w:val="17"/>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299.2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299.2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46.1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46.1</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400.3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48.2</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1.8</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412.8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358.6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Other Evergy investments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35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Equity securities</w:t>
            </w:r>
            <w:r>
              <w:rPr>
                <w:rFonts w:ascii="Arial" w:cs="Arial" w:eastAsia="Arial" w:hAnsi="Arial"/>
                <w:sz w:val="21"/>
                <w:szCs w:val="21"/>
                <w:color w:val="auto"/>
                <w:vertAlign w:val="superscript"/>
              </w:rPr>
              <w:t>(c)</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r>
      <w:tr>
        <w:trPr>
          <w:trHeight w:val="206"/>
        </w:trPr>
        <w:tc>
          <w:tcPr>
            <w:tcW w:w="3500" w:type="dxa"/>
            <w:vAlign w:val="bottom"/>
          </w:tcPr>
          <w:p>
            <w:pPr>
              <w:ind w:left="480"/>
              <w:spacing w:after="0"/>
              <w:rPr>
                <w:sz w:val="20"/>
                <w:szCs w:val="20"/>
                <w:color w:val="auto"/>
              </w:rPr>
            </w:pPr>
            <w:r>
              <w:rPr>
                <w:rFonts w:ascii="Arial" w:cs="Arial" w:eastAsia="Arial" w:hAnsi="Arial"/>
                <w:sz w:val="16"/>
                <w:szCs w:val="16"/>
                <w:color w:val="auto"/>
              </w:rPr>
              <w:t>Total other Evergy investments</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Pr>
          <w:p>
            <w:pPr>
              <w:spacing w:after="0"/>
              <w:rPr>
                <w:sz w:val="17"/>
                <w:szCs w:val="17"/>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3"/>
        </w:trPr>
        <w:tc>
          <w:tcPr>
            <w:tcW w:w="3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Core bond fund</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trusts</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43.9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768.7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658.7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61.8</w:t>
            </w:r>
          </w:p>
        </w:tc>
        <w:tc>
          <w:tcPr>
            <w:tcW w:w="220" w:type="dxa"/>
            <w:vAlign w:val="bottom"/>
            <w:shd w:val="clear" w:color="auto" w:fill="CCEEFF"/>
          </w:tcPr>
          <w:p>
            <w:pPr>
              <w:spacing w:after="0"/>
              <w:rPr>
                <w:sz w:val="19"/>
                <w:szCs w:val="19"/>
                <w:color w:val="auto"/>
              </w:rPr>
            </w:pP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44.2</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44.2</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Evergy investments</w:t>
            </w:r>
            <w:r>
              <w:rPr>
                <w:rFonts w:ascii="Arial" w:cs="Arial" w:eastAsia="Arial" w:hAnsi="Arial"/>
                <w:sz w:val="21"/>
                <w:szCs w:val="21"/>
                <w:color w:val="auto"/>
                <w:vertAlign w:val="superscript"/>
              </w:rPr>
              <w:t>(c)</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856.8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709.4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61.8</w:t>
            </w:r>
          </w:p>
        </w:tc>
        <w:tc>
          <w:tcPr>
            <w:tcW w:w="220" w:type="dxa"/>
            <w:vAlign w:val="bottom"/>
            <w:tcBorders>
              <w:bottom w:val="single" w:sz="8" w:color="auto"/>
            </w:tcBorders>
            <w:shd w:val="clear" w:color="auto" w:fill="CCEEFF"/>
          </w:tcPr>
          <w:p>
            <w:pPr>
              <w:spacing w:after="0"/>
              <w:rPr>
                <w:sz w:val="18"/>
                <w:szCs w:val="18"/>
                <w:color w:val="auto"/>
              </w:rPr>
            </w:pPr>
          </w:p>
        </w:tc>
      </w:tr>
    </w:tbl>
    <w:p>
      <w:pPr>
        <w:spacing w:after="0" w:line="6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440" w:hanging="172"/>
        <w:spacing w:after="0" w:line="234"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ind w:left="160" w:hanging="152"/>
        <w:spacing w:after="0" w:line="222" w:lineRule="auto"/>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was based on quoted market prices adjusted for a discount for lack of marketability based on a valuation model due to a restriction on the sale of the stock.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 2022</w:t>
            </w:r>
          </w:p>
        </w:tc>
        <w:tc>
          <w:tcPr>
            <w:tcW w:w="38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2021</w:t>
            </w:r>
          </w:p>
        </w:tc>
        <w:tc>
          <w:tcPr>
            <w:tcW w:w="266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March 31, 2022</w:t>
            </w:r>
          </w:p>
        </w:tc>
      </w:tr>
      <w:tr>
        <w:trPr>
          <w:trHeight w:val="218"/>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Unfunded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34"/>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61.8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85" w:lineRule="exact"/>
        <w:rPr>
          <w:sz w:val="20"/>
          <w:szCs w:val="20"/>
          <w:color w:val="auto"/>
        </w:rPr>
      </w:pPr>
    </w:p>
    <w:p>
      <w:pPr>
        <w:ind w:left="180" w:right="40" w:hanging="172"/>
        <w:spacing w:after="0" w:line="250"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23"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520" w:type="dxa"/>
            <w:vAlign w:val="bottom"/>
          </w:tcPr>
          <w:p>
            <w:pPr>
              <w:spacing w:after="0"/>
              <w:rPr>
                <w:sz w:val="19"/>
                <w:szCs w:val="19"/>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6"/>
                <w:szCs w:val="16"/>
                <w:color w:val="auto"/>
              </w:rPr>
              <w:t>(millions)</w:t>
            </w:r>
          </w:p>
        </w:tc>
        <w:tc>
          <w:tcPr>
            <w:tcW w:w="116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33.1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5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9"/>
                <w:szCs w:val="19"/>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w w:val="97"/>
              </w:rPr>
              <w:t>(5.1)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7"/>
              </w:rPr>
              <w:t>(1.3)</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26.7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14.3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7"/>
              </w:rPr>
              <w:t>(0.8)</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13.5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ind w:left="780"/>
              <w:spacing w:after="0"/>
              <w:rPr>
                <w:sz w:val="20"/>
                <w:szCs w:val="20"/>
                <w:color w:val="auto"/>
              </w:rPr>
            </w:pPr>
            <w:r>
              <w:rPr>
                <w:rFonts w:ascii="Arial" w:cs="Arial" w:eastAsia="Arial" w:hAnsi="Arial"/>
                <w:sz w:val="18"/>
                <w:szCs w:val="18"/>
                <w:color w:val="auto"/>
              </w:rPr>
              <w:t>18.8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7"/>
              </w:rPr>
              <w:t>(5.1)</w:t>
            </w:r>
          </w:p>
        </w:tc>
      </w:tr>
      <w:tr>
        <w:trPr>
          <w:trHeight w:val="230"/>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13.7</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descriptions of contingencies related to environmental matters that may impact the Evergy Companies' operations or their</w:t>
      </w:r>
    </w:p>
    <w:p>
      <w:pPr>
        <w:spacing w:after="0" w:line="34"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financial results. Management's assessment of these contingencies, which are based on federal and state statutes and regulations, and regulatory agency and judicial interpretations and actions, has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evolved over time. These laws, regulations, interpretations and actions can also change, restrict or otherwise impact the Evergy Companies' operations or financial results. The failure to comply with these laws, regulations, interpretations and actions could result in the assessment of</w:t>
      </w:r>
    </w:p>
    <w:p>
      <w:pPr>
        <w:spacing w:after="0" w:line="1"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administrative, civil and criminal penalties and the imposition of remedial requirements. The Evergy Companies believe that all their operations are in substantial compliance with current federal, state and local environmental standards.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w:t>
      </w:r>
    </w:p>
    <w:p>
      <w:pPr>
        <w:spacing w:after="0" w:line="73" w:lineRule="exact"/>
        <w:rPr>
          <w:sz w:val="20"/>
          <w:szCs w:val="20"/>
          <w:color w:val="auto"/>
        </w:rPr>
      </w:pPr>
    </w:p>
    <w:p>
      <w:pPr>
        <w:ind w:right="560"/>
        <w:spacing w:after="0" w:line="385" w:lineRule="auto"/>
        <w:rPr>
          <w:sz w:val="20"/>
          <w:szCs w:val="20"/>
          <w:color w:val="auto"/>
        </w:rPr>
      </w:pPr>
      <w:r>
        <w:rPr>
          <w:rFonts w:ascii="Arial" w:cs="Arial" w:eastAsia="Arial" w:hAnsi="Arial"/>
          <w:sz w:val="16"/>
          <w:szCs w:val="16"/>
          <w:color w:val="auto"/>
        </w:rPr>
        <w:t>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Clean Air Act - Startup, Shutdown and Malfunction (SSM) Regulation</w:t>
      </w:r>
    </w:p>
    <w:p>
      <w:pPr>
        <w:spacing w:after="0" w:line="16"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On April 11, 2022, the EPA published a proposed consent decree that establishes dates for the EPA to take action on SIP revisions that were submitted in response to the 2015 SIP Call Rule. Deadlines for 26 states, including Kansas, Missouri and Oklahoma, are listed in the proposed consent decree. Final action from the EPA could result in required SIP revisions in Oklahoma, Kansas and Missouri which could have a material impact on the Evergy Companies.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State Implementation Plans</w:t>
      </w:r>
    </w:p>
    <w:p>
      <w:pPr>
        <w:spacing w:after="0" w:line="16"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In 2015, the EPA lowered the Ozone National Ambient Air Quality Standards (NAAQS) from 75 ppb to 70 ppb. Impacted states were required to submit Interstate Transport State Implementation Plans (ITSIPs) in 2018 to comply with the "Good Neighbor Provisions" of the Clean Air Act (CAA). The EPA did not act on these ITSIP submissions and was challenged in a court filing in May 2021 to address them. On February 22, 2022, the EPA published proposed disapprovals of ITSIPs for nineteen states including Missouri and Oklahoma. On April 4, 2022, the EPA published a final approval of the Kansas ITSIP in the Federal Register.</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On April 6, 2022, the EPA published in the Federal Register the proposed federal implementation plan (FIP) to resolve outstanding "Good Neighbor" obligations with respect to the 2015 Ozone NAAQS for 26 states including Missouri and Oklahoma. This FIP would establish a revised Cross-State Air Pollution Rule (CSAPR) ozone season nitrogen oxide (NOx) emissions trading program for electric generating units (EGUs), and limit ozone season NOx emissions from certain industrial stationary sources. The proposed rule would also establish a new daily backstop NOx emissions rate limit for applicable coal-fired units larger than 100MW, as well as unit-specific NOx emission rate limits for certain industrial emissions units, and would feature "dynamic" adjustments of emission budgets for EGUs beginning with ozone season 2025. The proposed FIP includes reductions to the state ozone season NOx budgets for Missouri and Oklahoma beginning in 2023 with additional reductions in future years. The Evergy Companies are in the process of reviewing this proposed FIP. The EPA is also in the process of reconsidering its December 2020 decisions to retain the Ozone NAAQS at the level set in 2015 and the annual and 24-hour PM2.5 NAAQS at the levels set in 2012. Due to uncertainty regarding the proposed FIP and potential lowering of the 2020 NAAQS, the Evergy Companies cannot determine the impacts on their operations or consolidated financial results, but the cost to comply with the FIP and/or a lower future NAAQS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Regional Haze Rule</w:t>
      </w:r>
    </w:p>
    <w:p>
      <w:pPr>
        <w:spacing w:after="0" w:line="27"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w:t>
      </w:r>
    </w:p>
    <w:p>
      <w:pPr>
        <w:spacing w:after="0" w:line="2" w:lineRule="exact"/>
        <w:rPr>
          <w:sz w:val="20"/>
          <w:szCs w:val="20"/>
          <w:color w:val="auto"/>
        </w:rPr>
      </w:pPr>
    </w:p>
    <w:p>
      <w:pPr>
        <w:ind w:right="280"/>
        <w:spacing w:after="0" w:line="322" w:lineRule="auto"/>
        <w:rPr>
          <w:sz w:val="20"/>
          <w:szCs w:val="20"/>
          <w:color w:val="auto"/>
        </w:rPr>
      </w:pPr>
      <w:r>
        <w:rPr>
          <w:rFonts w:ascii="Arial" w:cs="Arial" w:eastAsia="Arial" w:hAnsi="Arial"/>
          <w:sz w:val="18"/>
          <w:szCs w:val="18"/>
          <w:color w:val="auto"/>
        </w:rPr>
        <w:t>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revisions to their Regional Haze Rule SIPs every ten years and the first round was due in 2007. For the second ten-year implementation</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period, the EPA issued a final rule revision in 2017 that allowed states to submit their SIP revisions by July 31, 2021. The Evergy Companies have been in contact with the Kansas Department of Health and Environmental (KDHE) and the Missouri Department of Natural Resources</w:t>
      </w:r>
    </w:p>
    <w:p>
      <w:pPr>
        <w:spacing w:after="0" w:line="1"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(MDNR) as they worked to draft their SIP revisions. The Missouri SIP revision has been drafted and is currently on public notice through May 5, 2022. The SIP revision does not require any additional reductions from the Evergy Companies' generating units in the state. MDNR has indicated it intends to submit the Missouri SIP revision to the EPA by the end of July 2022. The Kansas SIP revision was placed on public notice in June 2021 and requested no additional emission reductions by electric utilities based on the significant reductions that were</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achieved during the first implementation period. The EPA provided comments on the Kansas SIP revision in June 2021 that each state is statutorily required to conduct a "four-factor analysis" on at least two sources within the state to help determine if further emission reductions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are necessary. The EPA also stated it would be difficult to approve the Kansas SIP revision if at least two four-factor analyses are not</w:t>
      </w:r>
    </w:p>
    <w:p>
      <w:pPr>
        <w:spacing w:after="0" w:line="38" w:lineRule="exact"/>
        <w:rPr>
          <w:sz w:val="20"/>
          <w:szCs w:val="20"/>
          <w:color w:val="auto"/>
        </w:rPr>
      </w:pPr>
    </w:p>
    <w:p>
      <w:pPr>
        <w:ind w:right="220"/>
        <w:spacing w:after="0" w:line="316" w:lineRule="auto"/>
        <w:rPr>
          <w:sz w:val="20"/>
          <w:szCs w:val="20"/>
          <w:color w:val="auto"/>
        </w:rPr>
      </w:pPr>
      <w:r>
        <w:rPr>
          <w:rFonts w:ascii="Arial" w:cs="Arial" w:eastAsia="Arial" w:hAnsi="Arial"/>
          <w:sz w:val="16"/>
          <w:szCs w:val="16"/>
          <w:color w:val="auto"/>
        </w:rPr>
        <w:t>conducted on Kansas emission sources. KDHE submitted the Kansas SIP revision in July 2021. If a Kansas generating unit of the Evergy Companies is selected for analysis, the possibility exists that the state or EPA, through a FIP, could determine that additional operational or</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physical modifications are required on the generating unit to further reduce emissions. The overall cost of those modifications could be material to the Evergy Companies.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20"/>
        <w:spacing w:after="0" w:line="219"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3"/>
          <w:szCs w:val="23"/>
          <w:color w:val="auto"/>
          <w:vertAlign w:val="subscript"/>
        </w:rPr>
        <w:t>2</w:t>
      </w:r>
      <w:r>
        <w:rPr>
          <w:rFonts w:ascii="Arial" w:cs="Arial" w:eastAsia="Arial" w:hAnsi="Arial"/>
          <w:sz w:val="20"/>
          <w:szCs w:val="20"/>
          <w:color w:val="auto"/>
        </w:rPr>
        <w:t>) and other gases referred to as greenhouse gases (GHG). Various regulations under the CAA limit CO</w:t>
      </w:r>
      <w:r>
        <w:rPr>
          <w:rFonts w:ascii="Arial" w:cs="Arial" w:eastAsia="Arial" w:hAnsi="Arial"/>
          <w:sz w:val="23"/>
          <w:szCs w:val="23"/>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t>
      </w:r>
      <w:r>
        <w:rPr>
          <w:rFonts w:ascii="Arial" w:cs="Arial" w:eastAsia="Arial" w:hAnsi="Arial"/>
          <w:sz w:val="17"/>
          <w:szCs w:val="17"/>
          <w:color w:val="auto"/>
        </w:rPr>
        <w:t>with</w:t>
      </w:r>
      <w:r>
        <w:rPr>
          <w:rFonts w:ascii="Arial" w:cs="Arial" w:eastAsia="Arial" w:hAnsi="Arial"/>
          <w:sz w:val="20"/>
          <w:szCs w:val="20"/>
          <w:color w:val="auto"/>
        </w:rPr>
        <w:t xml:space="preserve"> the goal of reducing GHG emissions.</w:t>
      </w:r>
    </w:p>
    <w:p>
      <w:pPr>
        <w:spacing w:after="0" w:line="223"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color w:val="auto"/>
        </w:rPr>
        <w:t>In July 2019, the EPA published the final Affordable Clean Energy (ACE) rule in the Federal Register. This rule contained emission guidelines for GHG emissions from existing electric utility generating units (EGUs) and revisions to emission guideline implementing</w:t>
      </w:r>
    </w:p>
    <w:p>
      <w:pPr>
        <w:spacing w:after="0" w:line="1" w:lineRule="exact"/>
        <w:rPr>
          <w:sz w:val="20"/>
          <w:szCs w:val="20"/>
          <w:color w:val="auto"/>
        </w:rPr>
      </w:pPr>
    </w:p>
    <w:p>
      <w:pPr>
        <w:ind w:right="160"/>
        <w:spacing w:after="0" w:line="297" w:lineRule="auto"/>
        <w:rPr>
          <w:sz w:val="20"/>
          <w:szCs w:val="20"/>
          <w:color w:val="auto"/>
        </w:rPr>
      </w:pPr>
      <w:r>
        <w:rPr>
          <w:rFonts w:ascii="Arial" w:cs="Arial" w:eastAsia="Arial" w:hAnsi="Arial"/>
          <w:sz w:val="18"/>
          <w:szCs w:val="18"/>
          <w:color w:val="auto"/>
        </w:rPr>
        <w:t>regulations. The rule defined the "best system of emission reduction" (BSER) for GHG emissions from existing coal-fired EGUs as on-site, heat-rate efficiency improvements. In conjunction with the finalization of the ACE rule, the EPA repealed its previously adopted Clean</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Power Plan (CPP). In January 2021, the D.C. Circuit vacated and remanded the ACE rule back to the EPA. In October 2021, the Supreme Court granted petitions for certiorari to review the D.C. Circuit decision to vacate and remand the ACE rule. A ruling from the Supreme Court is expected in mid-2022.</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Due to uncertainty regarding the future of the ACE rule or other potential GHG regulations, the Evergy Companies cannot determine the impacts on their operations or consolidated financial results, but the cost to comply with the ACE rule or other potential GHG rules could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w:t>
      </w:r>
    </w:p>
    <w:p>
      <w:pPr>
        <w:spacing w:after="0" w:line="1"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Implementation timelines for this 2015 rule vary from 2018 to 2023. In April 2019, the U.S. Court of Appeals for the 5th Circuit (5th Circuit) issued a ruling that vacated and remanded portions of the original ELG rule. Due to this ruling, the EPA announced a plan in July 2021 to</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release a proposed rulemaking in September 2022 to address the vacated limitations for legacy wastewater and landfill leachate. Future ELG modifications for the best available technology economically achievable for the discharge of legacy wastewater and landfill leachate are likely and could be material to the Evergy Companies.</w:t>
      </w:r>
    </w:p>
    <w:p>
      <w:pPr>
        <w:spacing w:after="0" w:line="213" w:lineRule="exact"/>
        <w:rPr>
          <w:sz w:val="20"/>
          <w:szCs w:val="20"/>
          <w:color w:val="auto"/>
        </w:rPr>
      </w:pPr>
    </w:p>
    <w:p>
      <w:pPr>
        <w:ind w:right="220"/>
        <w:spacing w:after="0" w:line="297" w:lineRule="auto"/>
        <w:rPr>
          <w:sz w:val="20"/>
          <w:szCs w:val="20"/>
          <w:color w:val="auto"/>
        </w:rPr>
      </w:pPr>
      <w:r>
        <w:rPr>
          <w:rFonts w:ascii="Arial" w:cs="Arial" w:eastAsia="Arial" w:hAnsi="Arial"/>
          <w:sz w:val="18"/>
          <w:szCs w:val="18"/>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soon as possible on or after one year following publication of the final rule in the Federal Register but no later than December 31, 2025. In August 2021, the EPA published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0"/>
        <w:spacing w:after="0" w:line="297" w:lineRule="auto"/>
        <w:rPr>
          <w:sz w:val="20"/>
          <w:szCs w:val="20"/>
          <w:color w:val="auto"/>
        </w:rPr>
      </w:pPr>
      <w:r>
        <w:rPr>
          <w:rFonts w:ascii="Arial" w:cs="Arial" w:eastAsia="Arial" w:hAnsi="Arial"/>
          <w:sz w:val="18"/>
          <w:szCs w:val="18"/>
          <w:color w:val="auto"/>
        </w:rPr>
        <w:t>notice in the Federal Register that it is initiating a supplemental rulemaking to revise the ELG regulations after completing review of the reconsideration rule as a result of an executive order from President Biden. As part of the rulemaking process, the EPA will determine if</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more stringent limitations and standards are appropriate. The 2020 ELG reconsideration rule will remain in effect while the EPA undertakes this new rulemaking.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Evergy Companies have reviewed the 2020 ELG reconsideration regulation, and the costs to comply with these changes are not expected</w:t>
      </w:r>
    </w:p>
    <w:p>
      <w:pPr>
        <w:spacing w:after="0" w:line="73"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to be material. However, the Evergy Companies cannot predict what revisions the EPA may make under its supplemental rulemaking to revise the ELG regulations, and compliance costs associated with any revisions could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After reviewing the Navigable Waters Protection Rule as directed by President Biden's administration, the EPA and Department of the Army</w:t>
      </w:r>
    </w:p>
    <w:p>
      <w:pPr>
        <w:spacing w:after="0" w:line="50"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determined a need to revise the definition to prevent environmental degradation. In December 2021, the EPA and the Department of the Army published a proposed rule that repeals the Navigable Waters Protection Rule and revises the definition of “Waters of the United States.”</w:t>
      </w:r>
    </w:p>
    <w:p>
      <w:pPr>
        <w:spacing w:after="0" w:line="2" w:lineRule="exact"/>
        <w:rPr>
          <w:sz w:val="20"/>
          <w:szCs w:val="20"/>
          <w:color w:val="auto"/>
        </w:rPr>
      </w:pPr>
    </w:p>
    <w:p>
      <w:pPr>
        <w:jc w:val="both"/>
        <w:ind w:right="80"/>
        <w:spacing w:after="0" w:line="263" w:lineRule="auto"/>
        <w:rPr>
          <w:sz w:val="20"/>
          <w:szCs w:val="20"/>
          <w:color w:val="auto"/>
        </w:rPr>
      </w:pPr>
      <w:r>
        <w:rPr>
          <w:rFonts w:ascii="Arial" w:cs="Arial" w:eastAsia="Arial" w:hAnsi="Arial"/>
          <w:sz w:val="19"/>
          <w:szCs w:val="19"/>
          <w:color w:val="auto"/>
        </w:rPr>
        <w:t>This proposed rule restores definitions of Waters of the United States that were in place prior to 2015. The Evergy Companies are reviewing the proposed rule and the impact on their operations or consolidated financial results are not expected to be material. A second rulemaking is expected in the future which will replace the Navigable Waters Protection Rule. The cost to comply with any future rulemaking that replaces the Navigable Waters Protection Rule could be material to the Evergy Companies.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operating their coal generation plants, the Evergy Companies produce coal combustion residuals (CCRs), including fly ash,</w:t>
      </w:r>
    </w:p>
    <w:p>
      <w:pPr>
        <w:spacing w:after="0" w:line="34"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CCR units at Lawrence Energy Center and Sibley Generating Station have moved into corrective action. The cost to comply with these proposed determinations by the EPA could be material.</w:t>
      </w:r>
    </w:p>
    <w:p>
      <w:pPr>
        <w:spacing w:after="0" w:line="168"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The Evergy Companies have recorded AROs for their current estimates for the closure of ash disposal ponds and landfills, but the revision of these AROs may be required in the future due to changes in existing CCR regulations, the results of groundwater monitoring of CCR units or</w:t>
      </w:r>
    </w:p>
    <w:p>
      <w:pPr>
        <w:spacing w:after="0" w:line="2"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changes in interpretation of existing CCR regulations or changes in the timing or cost to close ash disposal ponds and landfills. If revisions to these AROs are necessary, the impact on the Evergy Companies' operations or consolidated financial results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RELATED PARTY TRANSACTIONS AND RELATIONSHIPS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07"/>
        </w:trPr>
        <w:tc>
          <w:tcPr>
            <w:tcW w:w="6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7"/>
                <w:szCs w:val="17"/>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2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248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2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2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33.4</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96" w:lineRule="exact"/>
        <w:rPr>
          <w:sz w:val="20"/>
          <w:szCs w:val="20"/>
          <w:color w:val="auto"/>
        </w:rPr>
      </w:pPr>
    </w:p>
    <w:p>
      <w:pPr>
        <w:ind w:right="780"/>
        <w:spacing w:after="0" w:line="316" w:lineRule="auto"/>
        <w:rPr>
          <w:sz w:val="20"/>
          <w:szCs w:val="20"/>
          <w:color w:val="auto"/>
        </w:rPr>
      </w:pPr>
      <w:r>
        <w:rPr>
          <w:rFonts w:ascii="Arial" w:cs="Arial" w:eastAsia="Arial" w:hAnsi="Arial"/>
          <w:sz w:val="18"/>
          <w:szCs w:val="18"/>
          <w:color w:val="auto"/>
        </w:rPr>
        <w:t>At March 31, 2022, Evergy Metro had a $98.0 million outstanding receivable from Evergy Missouri West under the money pool. At December 31, 2021, Evergy Metro had a $155.0 million outstanding receivable from Evergy Missouri West under the money pool.</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6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26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5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20.2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26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187.9</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4"/>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8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Evergy</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52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8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payable to Evergy</w:t>
            </w:r>
          </w:p>
        </w:tc>
        <w:tc>
          <w:tcPr>
            <w:tcW w:w="2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2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4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11.5</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46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8.1</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4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46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4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4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4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45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959"/>
        </w:trPr>
        <w:tc>
          <w:tcPr>
            <w:tcW w:w="4020" w:type="dxa"/>
            <w:vAlign w:val="bottom"/>
          </w:tcPr>
          <w:p>
            <w:pPr>
              <w:spacing w:after="0"/>
              <w:rPr>
                <w:sz w:val="24"/>
                <w:szCs w:val="24"/>
                <w:color w:val="auto"/>
              </w:rPr>
            </w:pPr>
          </w:p>
        </w:tc>
        <w:tc>
          <w:tcPr>
            <w:tcW w:w="4200" w:type="dxa"/>
            <w:vAlign w:val="bottom"/>
          </w:tcPr>
          <w:p>
            <w:pPr>
              <w:jc w:val="right"/>
              <w:ind w:right="241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3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(3.7)</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6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3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8.4 %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45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3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(7.7)</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(0.6)</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3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(2.9)</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r>
      <w:tr>
        <w:trPr>
          <w:trHeight w:val="230"/>
        </w:trPr>
        <w:tc>
          <w:tcPr>
            <w:tcW w:w="6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3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4.6 %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6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21.0 %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3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(0.2)</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3600" w:type="dxa"/>
            <w:vAlign w:val="bottom"/>
          </w:tcPr>
          <w:p>
            <w:pPr>
              <w:jc w:val="right"/>
              <w:ind w:right="470"/>
              <w:spacing w:after="0"/>
              <w:rPr>
                <w:sz w:val="20"/>
                <w:szCs w:val="20"/>
                <w:color w:val="auto"/>
              </w:rPr>
            </w:pPr>
            <w:r>
              <w:rPr>
                <w:rFonts w:ascii="Arial" w:cs="Arial" w:eastAsia="Arial" w:hAnsi="Arial"/>
                <w:sz w:val="18"/>
                <w:szCs w:val="18"/>
                <w:color w:val="auto"/>
              </w:rPr>
              <w:t>(0.6)</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3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3600" w:type="dxa"/>
            <w:vAlign w:val="bottom"/>
          </w:tcPr>
          <w:p>
            <w:pPr>
              <w:jc w:val="right"/>
              <w:ind w:right="510"/>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6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3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12.4 %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2021 Form 10-K. None of the registrants make any representation as to information related solely to Evergy, Evergy Kansas Central or Evergy Metro other than itself.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7" w:lineRule="exact"/>
        <w:rPr>
          <w:sz w:val="20"/>
          <w:szCs w:val="20"/>
          <w:color w:val="auto"/>
        </w:rPr>
      </w:pPr>
    </w:p>
    <w:p>
      <w:pPr>
        <w:ind w:left="660" w:right="140" w:hanging="328"/>
        <w:spacing w:after="0" w:line="287"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4"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19" w:lineRule="exact"/>
        <w:rPr>
          <w:rFonts w:ascii="Arial" w:cs="Arial" w:eastAsia="Arial" w:hAnsi="Arial"/>
          <w:sz w:val="19"/>
          <w:szCs w:val="19"/>
          <w:color w:val="auto"/>
        </w:rPr>
      </w:pPr>
    </w:p>
    <w:p>
      <w:pPr>
        <w:ind w:left="660" w:right="40" w:hanging="328"/>
        <w:spacing w:after="0" w:line="269"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2"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Equity Investment</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were subject to a restriction on sale for 150 days. The equity investment had a fair value of $31.4 million as of December 31, 2021.</w:t>
      </w:r>
    </w:p>
    <w:p>
      <w:pPr>
        <w:spacing w:after="0" w:line="19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March 2022, Evergy sold its shares in the equity investment to a financial institution through a share forward agreement following the expiration of the restriction on sale. As part of the share forward agreement, Evergy delivered its shares to the financial institution in exchange for a series of future cash settlements based primarily on the volume-weighted average price (VWAP) of the shares over the term of the agreement, which ends in June 2022 but could be ended earlier at the option of the financial institution. The share forward agreement is included in other current assets on Evergy's consolidated balance sheets as of March 31, 2022, at its fair value of $14.5 million.</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In the first quarter of 2022, Evergy recorded a pre-tax loss of $14.2 million in investment earnings (loss) on its consolidated statements of comprehensive income related to the decrease in market value of its equity investment prior to sale and the recording of the share forward agreement at fair value. Evergy also received cash settlements of $2.7 million under the share forward agreement in the first quarter of 2022. Evergy uses adjusted earnings (non-GAAP) and adjusted EPS (non-GAAP) to evaluate earnings and EPS without the gains or losses related to equity investments subject to a restriction on sale that can create period to period volatility, among other items. See "Non-GAAP Measures" within this Executive Summary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6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06"/>
        </w:trPr>
        <w:tc>
          <w:tcPr>
            <w:tcW w:w="5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340" w:type="dxa"/>
            <w:vAlign w:val="bottom"/>
            <w:gridSpan w:val="5"/>
          </w:tcPr>
          <w:p>
            <w:pPr>
              <w:jc w:val="right"/>
              <w:ind w:right="510"/>
              <w:spacing w:after="0"/>
              <w:rPr>
                <w:sz w:val="20"/>
                <w:szCs w:val="20"/>
                <w:color w:val="auto"/>
              </w:rPr>
            </w:pPr>
            <w:r>
              <w:rPr>
                <w:rFonts w:ascii="Arial" w:cs="Arial" w:eastAsia="Arial" w:hAnsi="Arial"/>
                <w:sz w:val="16"/>
                <w:szCs w:val="16"/>
                <w:color w:val="auto"/>
              </w:rPr>
              <w:t>(millions, except per share amounts)</w:t>
            </w:r>
          </w:p>
        </w:tc>
      </w:tr>
      <w:tr>
        <w:trPr>
          <w:trHeight w:val="23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3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2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0.53</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r>
    </w:tbl>
    <w:p>
      <w:pPr>
        <w:spacing w:after="0" w:line="29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Net income attributable to Evergy, Inc. decreased for the three months ended March 31, 2022, compared to the same period in 2021, primarily due to non-regulated energy marketing margins recognized in 2021 related to the February 2021 winter weather event, higher investment losses, higher depreciation expense and higher property taxes; partially offset by lower operating and maintenance expenses and lower income tax expense.</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Diluted EPS decreased for the three months ended March 31, 2022, compared to the same period in 2021, primarily due to the decrease in net income attributable to Evergy, Inc.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Earnings (non-GAAP) and Adjusted EPS (non-GAAP)</w:t>
      </w:r>
    </w:p>
    <w:p>
      <w:pPr>
        <w:ind w:right="140"/>
        <w:spacing w:after="0" w:line="244" w:lineRule="auto"/>
        <w:rPr>
          <w:sz w:val="20"/>
          <w:szCs w:val="20"/>
          <w:color w:val="auto"/>
        </w:rPr>
      </w:pPr>
      <w:r>
        <w:rPr>
          <w:rFonts w:ascii="Arial" w:cs="Arial" w:eastAsia="Arial" w:hAnsi="Arial"/>
          <w:sz w:val="20"/>
          <w:szCs w:val="20"/>
          <w:color w:val="auto"/>
        </w:rPr>
        <w:t>Evergy's adjusted earnings (non-GAAP) and adjusted EPS (non-GAAP) for the three months ended March 31, 2022, were $133.8 million or $0.58 per share, respectively. For the three months ended March 31, 2021, Evergy's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adjusted earnings (non-GAAP) and adjusted EPS (non-GAAP) were $125.4 million or $0.55 per share, respectively. In addition to net income attributable to Evergy, Inc. and diluted EPS, Evergy's management uses adjusted earnings (non-GAAP) and adjusted EPS (non-GAAP) to evaluate earnings and EPS without the income or costs resulting from non-regulated energy marketing margins from the February 2021 winter weather event and gains or losses related to equity investments subject to a restriction on sale that can create period to period volatility, as well as costs resulting from executive transition, severance and advisor expenses.</w:t>
      </w:r>
    </w:p>
    <w:p>
      <w:pPr>
        <w:spacing w:after="0" w:line="180" w:lineRule="exact"/>
        <w:rPr>
          <w:sz w:val="20"/>
          <w:szCs w:val="20"/>
          <w:color w:val="auto"/>
        </w:rPr>
      </w:pPr>
    </w:p>
    <w:p>
      <w:pPr>
        <w:ind w:right="440"/>
        <w:spacing w:after="0" w:line="291" w:lineRule="auto"/>
        <w:rPr>
          <w:sz w:val="20"/>
          <w:szCs w:val="20"/>
          <w:color w:val="auto"/>
        </w:rPr>
      </w:pPr>
      <w:r>
        <w:rPr>
          <w:rFonts w:ascii="Arial" w:cs="Arial" w:eastAsia="Arial" w:hAnsi="Arial"/>
          <w:sz w:val="18"/>
          <w:szCs w:val="18"/>
          <w:color w:val="auto"/>
        </w:rPr>
        <w:t>Adjusted earnings (non-GAAP) and adjusted EPS (non-GAAP) are intended to enhance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w:t>
      </w:r>
    </w:p>
    <w:p>
      <w:pPr>
        <w:spacing w:after="0" w:line="15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91"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 provides a reconciliation between net income attributable to Evergy, Inc. and diluted EPS as determined in accordance with GAAP and adjusted earnings (non-GAAP) and adjusted EPS (non-GAAP).</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(g)</w:t>
            </w:r>
          </w:p>
        </w:tc>
        <w:tc>
          <w:tcPr>
            <w:tcW w:w="8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February 2021 winter weather event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16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February 2021 winter weather event and are included in operating and maintenance expense on the consolidated statements of comprehensive income.</w:t>
      </w:r>
    </w:p>
    <w:p>
      <w:pPr>
        <w:ind w:left="180" w:right="200" w:hanging="172"/>
        <w:spacing w:after="0" w:line="213" w:lineRule="auto"/>
        <w:tabs>
          <w:tab w:leader="none" w:pos="17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12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severance costs incurred associated with certain voluntary severance programs at the Evergy Companies and are included in operating and maintenance expense on the consolidated statements of comprehensive income.</w:t>
      </w:r>
    </w:p>
    <w:p>
      <w:pPr>
        <w:ind w:left="180" w:right="760" w:hanging="172"/>
        <w:spacing w:after="0" w:line="225"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80" w:right="400" w:hanging="172"/>
        <w:spacing w:after="0" w:line="213" w:lineRule="auto"/>
        <w:tabs>
          <w:tab w:leader="none" w:pos="17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losses related to equity investments which were subject to a restriction on sale, including gains or losses related to the fair value of associated share forward agreements, and are included in investment earnings (loss) on the consolidated statements of comprehensive income.</w:t>
      </w:r>
    </w:p>
    <w:p>
      <w:pPr>
        <w:ind w:left="160" w:hanging="152"/>
        <w:spacing w:after="0" w:line="22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Reflects an income tax effect calculated at a statutory rate of approximately 22%, with the exception of certain non-deductible items.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Wolf Creek's most recent refueling outage began in March 2021 and the unit returned to service in May 2021. Wolf Creek's next refueling outage is planned to begin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9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related party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0"/>
        </w:trPr>
        <w:tc>
          <w:tcPr>
            <w:tcW w:w="7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91"/>
              <w:spacing w:after="0"/>
              <w:rPr>
                <w:sz w:val="20"/>
                <w:szCs w:val="20"/>
                <w:color w:val="auto"/>
              </w:rPr>
            </w:pPr>
            <w:r>
              <w:rPr>
                <w:rFonts w:ascii="Arial" w:cs="Arial" w:eastAsia="Arial" w:hAnsi="Arial"/>
                <w:sz w:val="16"/>
                <w:szCs w:val="16"/>
                <w:color w:val="auto"/>
                <w:w w:val="96"/>
              </w:rPr>
              <w:t>(millions)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4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309.0</w:t>
            </w: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(326.1)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635.1</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4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252.2</w:t>
            </w: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w:t>
      </w:r>
    </w:p>
    <w:p>
      <w:pPr>
        <w:spacing w:after="0" w:line="18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Management believes that utility gross margin provides a meaningful basis for evaluating the Evergy Companies' operations across periods because utility gross margin excludes the revenue effect of fluctuations in these expenses. Utility gross margin is used internally to measure performance against budget and in reports for management and the Evergy Board. Utility gross margin should be viewed as a supplement to, and not a substitute for, income from operations, which is the most directly comparable financial measure prepared in accordance with GAAP. The Evergy Companies' definition of utility gross margin may differ from similar terms used by other companies.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ind w:left="1"/>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following table summarizes Evergy's utility gross margin and MWhs sold and provides a reconciliation of utility gross margin to income from operations.</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3,935</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403.1</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4,256</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84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2,113</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1,014.2</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10,336</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3,900</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(866)</w:t>
            </w:r>
          </w:p>
        </w:tc>
        <w:tc>
          <w:tcPr>
            <w:tcW w:w="840" w:type="dxa"/>
            <w:vAlign w:val="bottom"/>
          </w:tcPr>
          <w:p>
            <w:pPr>
              <w:jc w:val="right"/>
              <w:spacing w:after="0"/>
              <w:rPr>
                <w:sz w:val="20"/>
                <w:szCs w:val="20"/>
                <w:color w:val="auto"/>
              </w:rPr>
            </w:pPr>
            <w:r>
              <w:rPr>
                <w:rFonts w:ascii="Arial" w:cs="Arial" w:eastAsia="Arial" w:hAnsi="Arial"/>
                <w:sz w:val="18"/>
                <w:szCs w:val="18"/>
                <w:color w:val="auto"/>
              </w:rPr>
              <w:t>4,766</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1,223.9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14,236</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15,039</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(309.0)</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326.1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836.2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907.4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253.1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(64.6)</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317.7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300" w:lineRule="exact"/>
        <w:rPr>
          <w:sz w:val="20"/>
          <w:szCs w:val="20"/>
          <w:color w:val="auto"/>
        </w:rPr>
      </w:pPr>
    </w:p>
    <w:p>
      <w:pPr>
        <w:ind w:left="1" w:right="400"/>
        <w:spacing w:after="0" w:line="260" w:lineRule="auto"/>
        <w:rPr>
          <w:sz w:val="20"/>
          <w:szCs w:val="20"/>
          <w:color w:val="auto"/>
        </w:rPr>
      </w:pPr>
      <w:r>
        <w:rPr>
          <w:rFonts w:ascii="Arial" w:cs="Arial" w:eastAsia="Arial" w:hAnsi="Arial"/>
          <w:sz w:val="20"/>
          <w:szCs w:val="20"/>
          <w:color w:val="auto"/>
        </w:rPr>
        <w:t>Evergy's utility gross margin decreased $71.2 million for the three months ended March 31, 2022, compared to the same period in 2021, primarily driven by:</w:t>
      </w:r>
    </w:p>
    <w:p>
      <w:pPr>
        <w:spacing w:after="0" w:line="69" w:lineRule="exact"/>
        <w:rPr>
          <w:sz w:val="20"/>
          <w:szCs w:val="20"/>
          <w:color w:val="auto"/>
        </w:rPr>
      </w:pPr>
    </w:p>
    <w:p>
      <w:pPr>
        <w:ind w:left="661" w:right="180" w:hanging="328"/>
        <w:spacing w:after="0" w:line="287" w:lineRule="auto"/>
        <w:tabs>
          <w:tab w:leader="none" w:pos="649" w:val="left"/>
        </w:tabs>
        <w:numPr>
          <w:ilvl w:val="0"/>
          <w:numId w:val="14"/>
        </w:numPr>
        <w:rPr>
          <w:rFonts w:ascii="Arial" w:cs="Arial" w:eastAsia="Arial" w:hAnsi="Arial"/>
          <w:sz w:val="19"/>
          <w:szCs w:val="19"/>
          <w:color w:val="auto"/>
        </w:rPr>
      </w:pPr>
      <w:r>
        <w:rPr>
          <w:rFonts w:ascii="Arial" w:cs="Arial" w:eastAsia="Arial" w:hAnsi="Arial"/>
          <w:sz w:val="19"/>
          <w:szCs w:val="19"/>
          <w:color w:val="auto"/>
        </w:rPr>
        <w:t>a $104.9 million decrease in non-regulated energy marketing margins recognized at Evergy Kansas Central, primarily due to $96.5 million of margins recognized in 2021 related to the February 2021 winter weather event; partially offset by</w:t>
      </w:r>
    </w:p>
    <w:p>
      <w:pPr>
        <w:spacing w:after="0" w:line="44" w:lineRule="exact"/>
        <w:rPr>
          <w:rFonts w:ascii="Arial" w:cs="Arial" w:eastAsia="Arial" w:hAnsi="Arial"/>
          <w:sz w:val="19"/>
          <w:szCs w:val="19"/>
          <w:color w:val="auto"/>
        </w:rPr>
      </w:pPr>
    </w:p>
    <w:p>
      <w:pPr>
        <w:ind w:left="661" w:right="360" w:hanging="328"/>
        <w:spacing w:after="0" w:line="26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$17.6 million increase due to favorable average retail pricing, colder winter weather in 2022 (heating degree days increased by 2%), and higher weather-normalized commercial and industrial demand;</w:t>
      </w:r>
    </w:p>
    <w:p>
      <w:pPr>
        <w:spacing w:after="0" w:line="68" w:lineRule="exact"/>
        <w:rPr>
          <w:rFonts w:ascii="Arial" w:cs="Arial" w:eastAsia="Arial" w:hAnsi="Arial"/>
          <w:sz w:val="20"/>
          <w:szCs w:val="20"/>
          <w:color w:val="auto"/>
        </w:rPr>
      </w:pPr>
    </w:p>
    <w:p>
      <w:pPr>
        <w:ind w:left="661" w:right="280" w:hanging="328"/>
        <w:spacing w:after="0" w:line="260" w:lineRule="auto"/>
        <w:tabs>
          <w:tab w:leader="none" w:pos="649"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$12.0 million increase in transmission revenue primarily due to updated transmission costs reflected in Evergy Kansas Central's FERC TFR effective in January 2022; and</w:t>
      </w:r>
    </w:p>
    <w:p>
      <w:pPr>
        <w:spacing w:after="0" w:line="68" w:lineRule="exact"/>
        <w:rPr>
          <w:rFonts w:ascii="Arial" w:cs="Arial" w:eastAsia="Arial" w:hAnsi="Arial"/>
          <w:sz w:val="20"/>
          <w:szCs w:val="20"/>
          <w:color w:val="auto"/>
        </w:rPr>
      </w:pPr>
    </w:p>
    <w:p>
      <w:pPr>
        <w:ind w:left="641" w:hanging="308"/>
        <w:spacing w:after="0"/>
        <w:tabs>
          <w:tab w:leader="none" w:pos="6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$0.4 million net increase due to other impacts from the February 2021 winter weather event driven by:</w:t>
      </w:r>
    </w:p>
    <w:p>
      <w:pPr>
        <w:spacing w:after="0" w:line="107" w:lineRule="exact"/>
        <w:rPr>
          <w:rFonts w:ascii="Arial" w:cs="Arial" w:eastAsia="Arial" w:hAnsi="Arial"/>
          <w:sz w:val="20"/>
          <w:szCs w:val="20"/>
          <w:color w:val="auto"/>
        </w:rPr>
      </w:pPr>
    </w:p>
    <w:p>
      <w:pPr>
        <w:ind w:left="1301" w:right="320" w:hanging="320"/>
        <w:spacing w:after="0" w:line="25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$21.1 million increase at Evergy Missouri West driven by $14.9 million of increased fuel and purchased power costs in February 2021 that are not currently recoverable from customers through its fuel recovery mechanism and $6.2 million related to a special requirements contract with an industrial customer; and</w:t>
      </w:r>
    </w:p>
    <w:p>
      <w:pPr>
        <w:spacing w:after="0" w:line="77" w:lineRule="exact"/>
        <w:rPr>
          <w:rFonts w:ascii="Arial" w:cs="Arial" w:eastAsia="Arial" w:hAnsi="Arial"/>
          <w:sz w:val="20"/>
          <w:szCs w:val="20"/>
          <w:color w:val="auto"/>
        </w:rPr>
      </w:pPr>
    </w:p>
    <w:p>
      <w:pPr>
        <w:ind w:left="1301" w:right="120" w:hanging="320"/>
        <w:spacing w:after="0" w:line="25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$12.5 million increase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77" w:lineRule="exact"/>
        <w:rPr>
          <w:rFonts w:ascii="Arial" w:cs="Arial" w:eastAsia="Arial" w:hAnsi="Arial"/>
          <w:sz w:val="20"/>
          <w:szCs w:val="20"/>
          <w:color w:val="auto"/>
        </w:rPr>
      </w:pPr>
    </w:p>
    <w:p>
      <w:pPr>
        <w:ind w:left="1301" w:right="180" w:hanging="320"/>
        <w:spacing w:after="0" w:line="260"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a $34.0 million decrease at Evergy Kansas Central driven by higher utility gross margin at its non-regulated 8% ownership share of JEC due to higher wholesale sale prices and MWhs sold in February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Evergy's operating and maintenance expense decreased $23.3 million for the three months ended March 31, 2022, compared to the same period in 2021, primarily driven by:</w:t>
      </w:r>
    </w:p>
    <w:p>
      <w:pPr>
        <w:spacing w:after="0" w:line="83" w:lineRule="exact"/>
        <w:rPr>
          <w:sz w:val="20"/>
          <w:szCs w:val="20"/>
          <w:color w:val="auto"/>
        </w:rPr>
      </w:pPr>
    </w:p>
    <w:p>
      <w:pPr>
        <w:ind w:left="660" w:hanging="328"/>
        <w:spacing w:after="0" w:line="25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 $8.9 million decrease in credit loss expense at Evergy Kansas Central, Evergy Metro and Evergy Missouri West primarily due to a reduction in the allowance for credit losses recorded in 2022 as a result of improvements in the aging of accounts receivable for certain customers;</w:t>
      </w:r>
    </w:p>
    <w:p>
      <w:pPr>
        <w:spacing w:after="0" w:line="77"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$5.5 million of costs recorded in 2021 associated with executive transition, including inducement bonuses, severance agreements and other transition expenses;</w:t>
      </w:r>
    </w:p>
    <w:p>
      <w:pPr>
        <w:spacing w:after="0" w:line="68" w:lineRule="exact"/>
        <w:rPr>
          <w:rFonts w:ascii="Arial" w:cs="Arial" w:eastAsia="Arial" w:hAnsi="Arial"/>
          <w:sz w:val="20"/>
          <w:szCs w:val="20"/>
          <w:color w:val="auto"/>
        </w:rPr>
      </w:pPr>
    </w:p>
    <w:p>
      <w:pPr>
        <w:ind w:left="660" w:right="300" w:hanging="328"/>
        <w:spacing w:after="0" w:line="269" w:lineRule="auto"/>
        <w:tabs>
          <w:tab w:leader="none" w:pos="648"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$3.6 million decrease in transmission and distribution operating and maintenance expenses primarily at Evergy Kansas Central driven by lower labor and contractor costs primarily due to an increase in transmission and distribution capital projects and lower employee headcount and a $0.5 million decrease in vegetation management costs in 2022;</w:t>
      </w:r>
    </w:p>
    <w:p>
      <w:pPr>
        <w:spacing w:after="0" w:line="61" w:lineRule="exact"/>
        <w:rPr>
          <w:rFonts w:ascii="Arial" w:cs="Arial" w:eastAsia="Arial" w:hAnsi="Arial"/>
          <w:sz w:val="19"/>
          <w:szCs w:val="19"/>
          <w:color w:val="auto"/>
        </w:rPr>
      </w:pPr>
    </w:p>
    <w:p>
      <w:pPr>
        <w:ind w:left="660" w:right="18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$1.7 million decrease in costs at Evergy Kansas Central related to non-regulated energy marketing margins recognized during the February 2021 winter weather event;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$1.5 million decrease in advisor expenses incurred in 2022 associated with strategic planning.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300"/>
        <w:spacing w:after="0" w:line="269" w:lineRule="auto"/>
        <w:rPr>
          <w:sz w:val="20"/>
          <w:szCs w:val="20"/>
          <w:color w:val="auto"/>
        </w:rPr>
      </w:pPr>
      <w:r>
        <w:rPr>
          <w:rFonts w:ascii="Arial" w:cs="Arial" w:eastAsia="Arial" w:hAnsi="Arial"/>
          <w:sz w:val="19"/>
          <w:szCs w:val="19"/>
          <w:color w:val="auto"/>
        </w:rPr>
        <w:t>Evergy's depreciation and amortization expense increased $9.7 million for the three months ended March 31, 2022, compared to the same period in 2021, primarily driven by higher capital additions at Evergy Kansas Central and Evergy Metro in 2022.</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Other Than Income Tax</w:t>
      </w:r>
    </w:p>
    <w:p>
      <w:pPr>
        <w:spacing w:after="0" w:line="22" w:lineRule="exact"/>
        <w:rPr>
          <w:sz w:val="20"/>
          <w:szCs w:val="20"/>
          <w:color w:val="auto"/>
        </w:rPr>
      </w:pPr>
    </w:p>
    <w:p>
      <w:pPr>
        <w:ind w:right="400"/>
        <w:spacing w:after="0" w:line="297" w:lineRule="auto"/>
        <w:rPr>
          <w:sz w:val="20"/>
          <w:szCs w:val="20"/>
          <w:color w:val="auto"/>
        </w:rPr>
      </w:pPr>
      <w:r>
        <w:rPr>
          <w:rFonts w:ascii="Arial" w:cs="Arial" w:eastAsia="Arial" w:hAnsi="Arial"/>
          <w:sz w:val="18"/>
          <w:szCs w:val="18"/>
          <w:color w:val="auto"/>
        </w:rPr>
        <w:t>Evergy's taxes other than income tax increased $7.0 million for the three months ended March 31, 2022, compared to the same period in 2021, driven by an increase in property taxes in Missouri and Kansas primarily due to higher assessed property tax values.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Net</w:t>
      </w:r>
    </w:p>
    <w:p>
      <w:pPr>
        <w:spacing w:after="0" w:line="22" w:lineRule="exact"/>
        <w:rPr>
          <w:sz w:val="20"/>
          <w:szCs w:val="20"/>
          <w:color w:val="auto"/>
        </w:rPr>
      </w:pPr>
    </w:p>
    <w:p>
      <w:pPr>
        <w:ind w:right="560"/>
        <w:spacing w:after="0" w:line="244" w:lineRule="auto"/>
        <w:rPr>
          <w:sz w:val="20"/>
          <w:szCs w:val="20"/>
          <w:color w:val="auto"/>
        </w:rPr>
      </w:pPr>
      <w:r>
        <w:rPr>
          <w:rFonts w:ascii="Arial" w:cs="Arial" w:eastAsia="Arial" w:hAnsi="Arial"/>
          <w:sz w:val="20"/>
          <w:szCs w:val="20"/>
          <w:color w:val="auto"/>
        </w:rPr>
        <w:t>Evergy's other expense, net increased $18.2 million for the three months ended March 31, 2022, compared to the same period in 2021, primarily driven by:</w:t>
      </w:r>
    </w:p>
    <w:p>
      <w:pPr>
        <w:spacing w:after="0" w:line="83" w:lineRule="exact"/>
        <w:rPr>
          <w:sz w:val="20"/>
          <w:szCs w:val="20"/>
          <w:color w:val="auto"/>
        </w:rPr>
      </w:pPr>
    </w:p>
    <w:p>
      <w:pPr>
        <w:ind w:left="660" w:hanging="328"/>
        <w:spacing w:after="0" w:line="25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 $11.2 million decrease in investment earnings primarily driven by a $14.2 million loss from the sale of Evergy's equity investment in an early-stage energy solutions company in 2022; partially offset by a $3.3 million increase in unrealized gains due to the change in fair value related to other equity investments;</w:t>
      </w:r>
    </w:p>
    <w:p>
      <w:pPr>
        <w:spacing w:after="0" w:line="77"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 $3.6 million increase due to higher pension non-service costs at Evergy Kansas Central and Evergy Metro in 2022; and</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$3.1 million of other income recorded in 2021 related to contract termination fees.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Evergy's income tax expense decreased $11.5 million for the three months ended March 31,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$17.1 million decrease primarily due to lower Evergy Kansas Central pre-tax income in 2022; partially offset by</w:t>
      </w:r>
    </w:p>
    <w:p>
      <w:pPr>
        <w:spacing w:after="0" w:line="107" w:lineRule="exact"/>
        <w:rPr>
          <w:rFonts w:ascii="Arial" w:cs="Arial" w:eastAsia="Arial" w:hAnsi="Arial"/>
          <w:sz w:val="20"/>
          <w:szCs w:val="20"/>
          <w:color w:val="auto"/>
        </w:rPr>
      </w:pPr>
    </w:p>
    <w:p>
      <w:pPr>
        <w:ind w:left="660" w:right="4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$3.9 million increase due to a decrease in the amortization of flow-through items driven by a decrease in pre-tax income in the first quarter of 2022 at Evergy Kansas Central;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$2.6 million increase due to lower wind and other income tax credits in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ind w:right="840"/>
        <w:spacing w:after="0" w:line="260" w:lineRule="auto"/>
        <w:rPr>
          <w:sz w:val="20"/>
          <w:szCs w:val="20"/>
          <w:color w:val="auto"/>
        </w:rPr>
      </w:pPr>
      <w:r>
        <w:rPr>
          <w:rFonts w:ascii="Arial" w:cs="Arial" w:eastAsia="Arial" w:hAnsi="Arial"/>
          <w:sz w:val="20"/>
          <w:szCs w:val="20"/>
          <w:color w:val="auto"/>
        </w:rPr>
        <w:t>Evergy relies primarily upon cash from operations, short-term borrowings, debt and equity issuances and its existing cash and cash equivalents to fund its capital requirements. Evergy's capital requirements primarily consist of capital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expenditures, payment of contractual obligations and other commitments, and the payment of dividends to shareholders. See the Evergy Companies' combined 2021 Form 10-K for more information on Evergy's sources and uses of cash.</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March 31, 2022, Evergy had $1.6 billion of available borrowing capacity under its master credit facility. The available borrowing capacity under the master credit facility consisted of $512.3 million for Evergy, Inc., $288.7 million for Evergy Kansas Central, $350.0 million for Evergy Metro and $456.0 million for Evergy Missouri West. The Evergy Companies' borrowing capacity under the master credit facility also supports their issuance of commercial paper. See Note 6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7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February 2022, Evergy, Inc. entered into a $500.0 million unsecured Term Loan Facility that expires in February 2023. As of March 31, 2022, Evergy had borrowed $500.0 million under the Term Loan Facility. Evergy's borrowings under the Term Loan Facility were used for, among other things, working capital, capital expenditures and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7 to the consolidated financial statements for information regarding significant debt issuances.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For the three months ended March 31, 2022, Evergy made pension contributions of $10.0 million. Evergy expects to make additional pension contributions of $88.8 million in 2022 to satisfy ERISA funding requirements and KCC and MPSC rate orders, of which $20.3 million is expected to be paid by Evergy Kansas Central and $68.5 million is expected to be paid by Evergy Metro. Also in 2022, Evergy expects to make post-retirement benefit contributions of $2.2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As of March 31, 2022, Evergy was in compliance with all debt covenants under the master credit facility, the Term Loan Facility and certain debt instruments that contain restrictions that require the maintenance of certain capitalization and leverage ratios. See Note 6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8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6"/>
        </w:trPr>
        <w:tc>
          <w:tcPr>
            <w:tcW w:w="60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(used in) Operating Activities</w:t>
            </w: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265.1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840" w:type="dxa"/>
            <w:vAlign w:val="bottom"/>
          </w:tcPr>
          <w:p>
            <w:pPr>
              <w:spacing w:after="0"/>
              <w:rPr>
                <w:sz w:val="19"/>
                <w:szCs w:val="19"/>
                <w:color w:val="auto"/>
              </w:rPr>
            </w:pPr>
          </w:p>
        </w:tc>
        <w:tc>
          <w:tcPr>
            <w:tcW w:w="1020" w:type="dxa"/>
            <w:vAlign w:val="bottom"/>
          </w:tcPr>
          <w:p>
            <w:pPr>
              <w:jc w:val="center"/>
              <w:ind w:left="372"/>
              <w:spacing w:after="0"/>
              <w:rPr>
                <w:sz w:val="20"/>
                <w:szCs w:val="20"/>
                <w:color w:val="auto"/>
              </w:rPr>
            </w:pPr>
            <w:r>
              <w:rPr>
                <w:rFonts w:ascii="Arial" w:cs="Arial" w:eastAsia="Arial" w:hAnsi="Arial"/>
                <w:sz w:val="18"/>
                <w:szCs w:val="18"/>
                <w:color w:val="auto"/>
                <w:w w:val="91"/>
              </w:rPr>
              <w:t>(531.3)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(475.2)</w:t>
            </w:r>
          </w:p>
        </w:tc>
      </w:tr>
      <w:tr>
        <w:trPr>
          <w:trHeight w:val="23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88"/>
              </w:rPr>
              <w:t>262.2</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(used in) Operating Activities</w:t>
      </w:r>
    </w:p>
    <w:p>
      <w:pPr>
        <w:spacing w:after="0" w:line="16"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Evergy's cash flows from operating activities increased $293.7 million for the three months ended March 31, 2022, compared to the same period in 2021, primarily driven by:</w:t>
      </w:r>
    </w:p>
    <w:p>
      <w:pPr>
        <w:spacing w:after="0" w:line="83" w:lineRule="exact"/>
        <w:rPr>
          <w:sz w:val="20"/>
          <w:szCs w:val="20"/>
          <w:color w:val="auto"/>
        </w:rPr>
      </w:pPr>
    </w:p>
    <w:p>
      <w:pPr>
        <w:ind w:left="660" w:right="34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$363.7 million of cash payments for net fuel and purchased power costs during the February 2021 winter weather event; partially offset by</w:t>
      </w:r>
    </w:p>
    <w:p>
      <w:pPr>
        <w:spacing w:after="0" w:line="68"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$90.6 million of cash receipts related to non-regulated energy marketing margins earned during the February 2021 winter weather event.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Evergy's cash flows used in investing activities increased $56.1 million for the three months ended March 31, 2022, compared to the same period in 2021, primarily driven by:</w:t>
      </w:r>
    </w:p>
    <w:p>
      <w:pPr>
        <w:spacing w:after="0" w:line="83" w:lineRule="exact"/>
        <w:rPr>
          <w:sz w:val="20"/>
          <w:szCs w:val="20"/>
          <w:color w:val="auto"/>
        </w:rPr>
      </w:pPr>
    </w:p>
    <w:p>
      <w:pPr>
        <w:ind w:left="660" w:right="140" w:hanging="328"/>
        <w:spacing w:after="0" w:line="24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$57.0 million increase in additions to property, plant and equipment due to increases at Evergy Kansas Central, Evergy Metro and Evergy Missouri West of $11.0 million, $12.2 million and $37.0 million, respectively, primarily due to increased spending for a variety of capital projects including transmission and distribution projects related to grid resiliency and other infrastructure improvements.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6"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Evergy's cash flows from financing activities decreased $578.7 million for the three months ended March 31, 2022, compared to the same period in 2021, primarily driven by:</w:t>
      </w:r>
    </w:p>
    <w:p>
      <w:pPr>
        <w:spacing w:after="0" w:line="83" w:lineRule="exact"/>
        <w:rPr>
          <w:sz w:val="20"/>
          <w:szCs w:val="20"/>
          <w:color w:val="auto"/>
        </w:rPr>
      </w:pPr>
    </w:p>
    <w:p>
      <w:pPr>
        <w:ind w:left="660" w:right="60" w:hanging="328"/>
        <w:spacing w:after="0" w:line="263"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$747.1 million decrease in short-term debt borrowings primarily driven by higher commercial paper borrowings in 2021, primarily at Evergy Missouri West and Evergy Kansas Central, to support the payment of costs related to the February 2021 winter weather event and for the repayment of Evergy Missouri West's $347.4 million affiliated note payable to Evergy prior to the issuance of Evergy Missouri West's $500.0 million of Series A, B and C Senior Notes in April 2021; and</w:t>
      </w:r>
    </w:p>
    <w:p>
      <w:pPr>
        <w:spacing w:after="0" w:line="68" w:lineRule="exact"/>
        <w:rPr>
          <w:rFonts w:ascii="Arial" w:cs="Arial" w:eastAsia="Arial" w:hAnsi="Arial"/>
          <w:sz w:val="19"/>
          <w:szCs w:val="19"/>
          <w:color w:val="auto"/>
        </w:rPr>
      </w:pPr>
    </w:p>
    <w:p>
      <w:pPr>
        <w:ind w:left="660" w:right="18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$98.9 million increase in retirements of long-term debt, net primarily due to Evergy Missouri West's repayment of $100.0 million of 3.74% Senior Notes in March 2022; partially offset by</w:t>
      </w:r>
    </w:p>
    <w:p>
      <w:pPr>
        <w:spacing w:after="0" w:line="68" w:lineRule="exact"/>
        <w:rPr>
          <w:rFonts w:ascii="Arial" w:cs="Arial" w:eastAsia="Arial" w:hAnsi="Arial"/>
          <w:sz w:val="20"/>
          <w:szCs w:val="20"/>
          <w:color w:val="auto"/>
        </w:rPr>
      </w:pPr>
    </w:p>
    <w:p>
      <w:pPr>
        <w:ind w:left="660" w:right="22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$247.4 million increase in proceeds from long-term debt, net due to Evergy Missouri West's issuance of $250.0 million of 3.75% First Mortgage Bonds in March 2022.</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EVERGY KANSAS CENTRAL,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220"/>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(287.2)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(186.7)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54.5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75.1</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(106.0)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(106.1)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Utility Gross Margin and MWh Sales</w:t>
      </w:r>
    </w:p>
    <w:p>
      <w:pPr>
        <w:spacing w:after="0" w:line="22"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The following table summarizes Evergy Kansas Central's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5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MWhs Sold</w:t>
            </w:r>
          </w:p>
        </w:tc>
        <w:tc>
          <w:tcPr>
            <w:tcW w:w="900" w:type="dxa"/>
            <w:vAlign w:val="bottom"/>
            <w:tcBorders>
              <w:top w:val="single" w:sz="8" w:color="auto"/>
            </w:tcBorders>
          </w:tcPr>
          <w:p>
            <w:pPr>
              <w:spacing w:after="0"/>
              <w:rPr>
                <w:sz w:val="21"/>
                <w:szCs w:val="21"/>
                <w:color w:val="auto"/>
              </w:rPr>
            </w:pPr>
          </w:p>
        </w:tc>
      </w:tr>
      <w:tr>
        <w:trPr>
          <w:trHeight w:val="23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0"/>
              </w:rPr>
              <w:t>Change</w:t>
            </w:r>
          </w:p>
        </w:tc>
        <w:tc>
          <w:tcPr>
            <w:tcW w:w="10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6"/>
                <w:szCs w:val="16"/>
                <w:color w:val="auto"/>
              </w:rPr>
              <w:t>(millions)</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color w:val="auto"/>
              </w:rPr>
              <w:t>(thousands)</w:t>
            </w: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1,549</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165.2</w:t>
            </w:r>
          </w:p>
        </w:tc>
        <w:tc>
          <w:tcPr>
            <w:tcW w:w="26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153.7</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1,637</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1,635</w:t>
            </w: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1,370</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29"/>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0.9</w:t>
            </w: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466.2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4,566</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(222.3)</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272.4</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2,361</w:t>
            </w:r>
          </w:p>
        </w:tc>
        <w:tc>
          <w:tcPr>
            <w:tcW w:w="1300" w:type="dxa"/>
            <w:vAlign w:val="bottom"/>
          </w:tcPr>
          <w:p>
            <w:pPr>
              <w:jc w:val="right"/>
              <w:ind w:right="191"/>
              <w:spacing w:after="0"/>
              <w:rPr>
                <w:sz w:val="20"/>
                <w:szCs w:val="20"/>
                <w:color w:val="auto"/>
              </w:rPr>
            </w:pPr>
            <w:r>
              <w:rPr>
                <w:rFonts w:ascii="Arial" w:cs="Arial" w:eastAsia="Arial" w:hAnsi="Arial"/>
                <w:sz w:val="18"/>
                <w:szCs w:val="18"/>
                <w:color w:val="auto"/>
              </w:rPr>
              <w:t>(888)</w:t>
            </w:r>
          </w:p>
        </w:tc>
        <w:tc>
          <w:tcPr>
            <w:tcW w:w="900" w:type="dxa"/>
            <w:vAlign w:val="bottom"/>
          </w:tcPr>
          <w:p>
            <w:pPr>
              <w:jc w:val="right"/>
              <w:spacing w:after="0"/>
              <w:rPr>
                <w:sz w:val="20"/>
                <w:szCs w:val="20"/>
                <w:color w:val="auto"/>
              </w:rPr>
            </w:pPr>
            <w:r>
              <w:rPr>
                <w:rFonts w:ascii="Arial" w:cs="Arial" w:eastAsia="Arial" w:hAnsi="Arial"/>
                <w:sz w:val="18"/>
                <w:szCs w:val="18"/>
                <w:color w:val="auto"/>
              </w:rPr>
              <w:t>3,249</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(107.4)</w:t>
            </w: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613.9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(287.2)</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6,927</w:t>
            </w:r>
          </w:p>
        </w:tc>
        <w:tc>
          <w:tcPr>
            <w:tcW w:w="13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26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186.7</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(294.8)</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4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427.1</w:t>
            </w: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(109.8)</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536.9</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(130.8)</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(115.5)</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(113.1)</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w:t>
            </w:r>
          </w:p>
        </w:tc>
        <w:tc>
          <w:tcPr>
            <w:tcW w:w="1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Utility gross margin is a non-GAAP financial measure. See explanation of utility gross margin under Evergy's Results of Operations.</w:t>
      </w:r>
    </w:p>
    <w:p>
      <w:pPr>
        <w:spacing w:after="0" w:line="168"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Evergy Kansas Central's utility gross margin decreased $109.8 million for the three months ended March 31, 2022, compared to the same period in 2021, primarily driven by:</w:t>
      </w:r>
    </w:p>
    <w:p>
      <w:pPr>
        <w:spacing w:after="0" w:line="69" w:lineRule="exact"/>
        <w:rPr>
          <w:sz w:val="20"/>
          <w:szCs w:val="20"/>
          <w:color w:val="auto"/>
        </w:rPr>
      </w:pPr>
    </w:p>
    <w:p>
      <w:pPr>
        <w:ind w:left="660" w:right="12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$104.9 million decrease in non-regulated energy marketing margins, primarily due to $96.5 million of margins recognized in 2021 related to the February 2021 winter weather event; and</w:t>
      </w:r>
    </w:p>
    <w:p>
      <w:pPr>
        <w:spacing w:after="0" w:line="68" w:lineRule="exact"/>
        <w:rPr>
          <w:rFonts w:ascii="Arial" w:cs="Arial" w:eastAsia="Arial" w:hAnsi="Arial"/>
          <w:sz w:val="20"/>
          <w:szCs w:val="20"/>
          <w:color w:val="auto"/>
        </w:rPr>
      </w:pPr>
    </w:p>
    <w:p>
      <w:pPr>
        <w:ind w:left="660" w:right="140" w:hanging="328"/>
        <w:spacing w:after="0" w:line="25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$34.0 million decrease related to other impacts from the February 2021 winter weather event driven by higher utility gross margin at Evergy Kansas Central's non-regulated 8% ownership share of JEC due to higher wholesale sales prices and MWhs sold in February 2021; partially offset by</w:t>
      </w:r>
    </w:p>
    <w:p>
      <w:pPr>
        <w:spacing w:after="0" w:line="77"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$12.2 million increase due to favorable average retail pricing and higher weather-normalized residential, commercial and industrial demand in 2022; and</w:t>
      </w:r>
    </w:p>
    <w:p>
      <w:pPr>
        <w:spacing w:after="0" w:line="68" w:lineRule="exact"/>
        <w:rPr>
          <w:rFonts w:ascii="Arial" w:cs="Arial" w:eastAsia="Arial" w:hAnsi="Arial"/>
          <w:sz w:val="20"/>
          <w:szCs w:val="20"/>
          <w:color w:val="auto"/>
        </w:rPr>
      </w:pPr>
    </w:p>
    <w:p>
      <w:pPr>
        <w:ind w:left="660" w:right="42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$9.7 million increase in transmission revenue primarily due to updated transmission costs reflected in Evergy Kansas Central's FERC TFR effective in January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 Kansas Central's operating and maintenance expense decreased $5.1 million for the three months ended March 31, 2022, compared to the same period in 2021, primarily driven by:</w:t>
      </w:r>
    </w:p>
    <w:p>
      <w:pPr>
        <w:spacing w:after="0" w:line="83" w:lineRule="exact"/>
        <w:rPr>
          <w:sz w:val="20"/>
          <w:szCs w:val="20"/>
          <w:color w:val="auto"/>
        </w:rPr>
      </w:pPr>
    </w:p>
    <w:p>
      <w:pPr>
        <w:ind w:left="660" w:right="340" w:hanging="328"/>
        <w:spacing w:after="0" w:line="25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$3.4 million decrease in transmission and distribution operating and maintenance expenses driven by lower employee labor and contractor costs primarily due to an increase in transmission and distribution capital projects and a $1.3 million decrease in vegetation management costs in 2022;</w:t>
      </w:r>
    </w:p>
    <w:p>
      <w:pPr>
        <w:spacing w:after="0" w:line="77"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$2.7 million of costs recorded in 2021 associated with executive transition,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50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$1.7 million decrease in costs related to non-regulated energy marketing margins recognized during the February 2021 winter weather event; partially offset by</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$2.2 million increase in certain labor and employee benefits expenses.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6" w:name="page57"/>
    <w:bookmarkEnd w:id="5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 Kansas Central's depreciation and amortization expense increased $4.2 million for the three months ended March 31, 2022, compared to the same period in 2021, primarily driven by higher capital additions in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Taxes Other Than Income Tax</w:t>
      </w:r>
    </w:p>
    <w:p>
      <w:pPr>
        <w:spacing w:after="0" w:line="22" w:lineRule="exact"/>
        <w:rPr>
          <w:sz w:val="20"/>
          <w:szCs w:val="20"/>
          <w:color w:val="auto"/>
        </w:rPr>
      </w:pPr>
    </w:p>
    <w:p>
      <w:pPr>
        <w:ind w:right="380"/>
        <w:spacing w:after="0" w:line="297" w:lineRule="auto"/>
        <w:rPr>
          <w:sz w:val="20"/>
          <w:szCs w:val="20"/>
          <w:color w:val="auto"/>
        </w:rPr>
      </w:pPr>
      <w:r>
        <w:rPr>
          <w:rFonts w:ascii="Arial" w:cs="Arial" w:eastAsia="Arial" w:hAnsi="Arial"/>
          <w:sz w:val="18"/>
          <w:szCs w:val="18"/>
          <w:color w:val="auto"/>
        </w:rPr>
        <w:t>Evergy Kansas Central's taxes other than income tax increased $4.2 million for the three months ended March 31, 2022, compared to the same period in 2021, driven by an increase in property taxes in Kansas primarily due to higher assessed property tax values.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Evergy Kansas Central's other expense, net increased $5.4 million for the three months ended March 31,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$2.0 million increase due to lower equity AFUDC primarily driven by higher short-term debt balances in 2022;</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$1.4 million of other income recorded in 2021 related to contract termination fees;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$1.0 million increase due to higher pension non-service costs.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Kansas Central's income tax expense decreased $13.0 million for the three months ended March 31,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$24.2 million decrease due to lower pre-tax income in 2022; partially offset by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$5.8 million increase due to lower wind and other income tax credits in 2022; and</w:t>
      </w:r>
    </w:p>
    <w:p>
      <w:pPr>
        <w:spacing w:after="0" w:line="107"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$2.4 million increase due to a decrease in the amortization of flow-through items driven by a decrease in pre-tax income in the first quarter of 2022.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132.5</w:t>
            </w:r>
          </w:p>
        </w:tc>
        <w:tc>
          <w:tcPr>
            <w:tcW w:w="2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(108.7)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95.6</w:t>
            </w:r>
          </w:p>
        </w:tc>
        <w:tc>
          <w:tcPr>
            <w:tcW w:w="26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Utility Gross Margin and MWh Sales</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following table summarizes Evergy Metro's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1,383</w:t>
            </w:r>
          </w:p>
        </w:tc>
        <w:tc>
          <w:tcPr>
            <w:tcW w:w="1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173.6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132.5</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1,809</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399</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364.9</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85.8</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3,608</w:t>
            </w:r>
          </w:p>
        </w:tc>
        <w:tc>
          <w:tcPr>
            <w:tcW w:w="14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(192.8)</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200.5</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1,448</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245</w:t>
            </w:r>
          </w:p>
        </w:tc>
        <w:tc>
          <w:tcPr>
            <w:tcW w:w="96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11.9</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422.5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5,056</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108.7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290.0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15.0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(78.1)</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95.6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24.4</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84"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Evergy Metro's utility gross margin increased $15.0 million for the three months ended March 31, 2022, compared to the same period in 2021, primarily driven by $12.5 million of impacts from the February 2021 winter weather event primarily due to jurisdictional allocation differences currently present between Evergy Metro's fuel recovery mechanisms in Missouri and Kansas regarding its refund to customers for the net increase in wholesale revenues in February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Evergy Metro's operating and maintenance expense decreased $15.3 million for the three months ended March 31, 2022, compared to the same period in 2021, primarily driven by:</w:t>
      </w:r>
    </w:p>
    <w:p>
      <w:pPr>
        <w:spacing w:after="0" w:line="83" w:lineRule="exact"/>
        <w:rPr>
          <w:sz w:val="20"/>
          <w:szCs w:val="20"/>
          <w:color w:val="auto"/>
        </w:rPr>
      </w:pPr>
    </w:p>
    <w:p>
      <w:pPr>
        <w:ind w:left="66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$4.9 million decrease in credit loss expense primarily due to a reduction in the allowance for credit losses recorded in 2022 as result of improvements in the aging of accounts receivable for certain customers;</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$4.4 million decrease in certain labor and employee benefits expenses; and</w:t>
      </w:r>
    </w:p>
    <w:p>
      <w:pPr>
        <w:spacing w:after="0" w:line="107"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$1.8 million of costs recorded in 2021 associated with executive transition, including inducement bonuses, severance agreements and other transition expenses.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Expense</w:t>
      </w:r>
    </w:p>
    <w:p>
      <w:pPr>
        <w:spacing w:after="0" w:line="22"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Evergy Metro's depreciation and amortization expense increased $4.5 million for the three months ended March 31, 2022, compared to the same period in 2021, primarily driven by higher capital additions in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Other Expense, Net</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Evergy Metro's other expense, net increased $2.0 million for the three months ended March 31,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$2.1 million increase due to higher pension non-service costs;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$1.2 million of other income recorded in 2021 related to contract termination fees; partially offset by</w:t>
      </w:r>
    </w:p>
    <w:p>
      <w:pPr>
        <w:spacing w:after="0" w:line="107" w:lineRule="exact"/>
        <w:rPr>
          <w:rFonts w:ascii="Arial" w:cs="Arial" w:eastAsia="Arial" w:hAnsi="Arial"/>
          <w:sz w:val="20"/>
          <w:szCs w:val="20"/>
          <w:color w:val="auto"/>
        </w:rPr>
      </w:pPr>
    </w:p>
    <w:p>
      <w:pPr>
        <w:ind w:left="660" w:right="46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$1.3 million decrease due to higher equity AFUDC primarily driven by lower short-term debt and higher construction work in progress balances in 2022.</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Evergy Metro's income tax expense increased $2.6 million for the three months ended March 31,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$5.2 million increase due to higher pre-tax income in 2022; partially offset by</w:t>
      </w:r>
    </w:p>
    <w:p>
      <w:pPr>
        <w:spacing w:after="0" w:line="107"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$1.4 million decrease due to an increase in the amortization of flow-through items driven by an increase in pre-tax income in the first quarter of 2022;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$1.1 million decrease due to higher deductions for stock compensation in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2021 Form 10-K and therefore are not represented here.</w:t>
      </w:r>
    </w:p>
    <w:p>
      <w:pPr>
        <w:spacing w:after="0" w:line="186"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2021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ind w:right="80"/>
        <w:spacing w:after="0" w:line="23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March 31, 2022,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March 31, 2022,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400"/>
        <w:spacing w:after="0" w:line="231"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March 31, 2022,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ind w:right="16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The Evergy Companies are parties to various lawsuits and regulatory proceedings in the ordinary course of their respective businesses. For information regarding material lawsuits and proceedings, see Notes </w:t>
      </w:r>
      <w:hyperlink w:anchor="page31">
        <w:r>
          <w:rPr>
            <w:rFonts w:ascii="Arial" w:cs="Arial" w:eastAsia="Arial" w:hAnsi="Arial"/>
            <w:sz w:val="20"/>
            <w:szCs w:val="20"/>
            <w:color w:val="auto"/>
          </w:rPr>
          <w:t xml:space="preserve">4 </w:t>
        </w:r>
      </w:hyperlink>
      <w:r>
        <w:rPr>
          <w:rFonts w:ascii="Arial" w:cs="Arial" w:eastAsia="Arial" w:hAnsi="Arial"/>
          <w:sz w:val="20"/>
          <w:szCs w:val="20"/>
          <w:color w:val="auto"/>
        </w:rPr>
        <w:t>and 9 to the consolidated financial statements. Such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2021 Form 10-K for each of Evergy, Evergy Kansas Central and Evergy Metro, as well as Quarterly Reports on Form 10-Q and from time to time in Current Reports on Form 8-K filed by Evergy, Evergy Kansas Central and Evergy Metro. There have been no material changes with regards to those risk factors.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0891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2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Total Number of</w:t>
            </w:r>
          </w:p>
        </w:tc>
        <w:tc>
          <w:tcPr>
            <w:tcW w:w="2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180" w:type="dxa"/>
            <w:vAlign w:val="bottom"/>
            <w:vMerge w:val="restart"/>
          </w:tcPr>
          <w:p>
            <w:pPr>
              <w:jc w:val="center"/>
              <w:ind w:right="430"/>
              <w:spacing w:after="0"/>
              <w:rPr>
                <w:sz w:val="20"/>
                <w:szCs w:val="20"/>
                <w:color w:val="auto"/>
              </w:rPr>
            </w:pPr>
            <w:r>
              <w:rPr>
                <w:rFonts w:ascii="Arial" w:cs="Arial" w:eastAsia="Arial" w:hAnsi="Arial"/>
                <w:sz w:val="18"/>
                <w:szCs w:val="18"/>
                <w:b w:val="1"/>
                <w:bCs w:val="1"/>
                <w:color w:val="auto"/>
                <w:w w:val="88"/>
              </w:rPr>
              <w:t>Average Price</w:t>
            </w: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Purchased as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175"/>
        </w:trPr>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2180" w:type="dxa"/>
            <w:vAlign w:val="bottom"/>
          </w:tcPr>
          <w:p>
            <w:pPr>
              <w:jc w:val="center"/>
              <w:ind w:right="370"/>
              <w:spacing w:after="0" w:line="176" w:lineRule="exact"/>
              <w:rPr>
                <w:sz w:val="20"/>
                <w:szCs w:val="20"/>
                <w:color w:val="auto"/>
              </w:rPr>
            </w:pPr>
            <w:r>
              <w:rPr>
                <w:rFonts w:ascii="Arial" w:cs="Arial" w:eastAsia="Arial" w:hAnsi="Arial"/>
                <w:sz w:val="18"/>
                <w:szCs w:val="18"/>
                <w:b w:val="1"/>
                <w:bCs w:val="1"/>
                <w:color w:val="auto"/>
                <w:w w:val="91"/>
              </w:rPr>
              <w:t>Paid per Share</w:t>
            </w: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 Plans</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(a)</w:t>
            </w:r>
          </w:p>
        </w:tc>
        <w:tc>
          <w:tcPr>
            <w:tcW w:w="21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7"/>
              </w:rPr>
              <w:t>(or Unit)</w:t>
            </w:r>
          </w:p>
        </w:tc>
        <w:tc>
          <w:tcPr>
            <w:tcW w:w="2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or Programs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1 - 31</w:t>
            </w:r>
          </w:p>
        </w:tc>
        <w:tc>
          <w:tcPr>
            <w:tcW w:w="2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95</w:t>
            </w:r>
          </w:p>
        </w:tc>
        <w:tc>
          <w:tcPr>
            <w:tcW w:w="2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$66.80</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2800" w:type="dxa"/>
            <w:vAlign w:val="bottom"/>
          </w:tcPr>
          <w:p>
            <w:pPr>
              <w:jc w:val="right"/>
              <w:ind w:right="230"/>
              <w:spacing w:after="0"/>
              <w:rPr>
                <w:sz w:val="20"/>
                <w:szCs w:val="20"/>
                <w:color w:val="auto"/>
              </w:rPr>
            </w:pPr>
            <w:r>
              <w:rPr>
                <w:rFonts w:ascii="Arial" w:cs="Arial" w:eastAsia="Arial" w:hAnsi="Arial"/>
                <w:sz w:val="18"/>
                <w:szCs w:val="18"/>
                <w:color w:val="auto"/>
              </w:rPr>
              <w:t>6,173</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60.99</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224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1 - 31</w:t>
            </w:r>
          </w:p>
        </w:tc>
        <w:tc>
          <w:tcPr>
            <w:tcW w:w="2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62,276</w:t>
            </w:r>
          </w:p>
        </w:tc>
        <w:tc>
          <w:tcPr>
            <w:tcW w:w="2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60.88</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68,544</w:t>
            </w:r>
          </w:p>
        </w:tc>
        <w:tc>
          <w:tcPr>
            <w:tcW w:w="2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$60.90</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performance shares and restricted stock units.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Shareholder Meeting Results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Evergy's annual meeting of shareholders was held on May 3, 2022. In accordance with the recommendations of the Board, the shareholders</w:t>
      </w:r>
    </w:p>
    <w:p>
      <w:pPr>
        <w:spacing w:after="0" w:line="23" w:lineRule="exact"/>
        <w:rPr>
          <w:sz w:val="20"/>
          <w:szCs w:val="20"/>
          <w:color w:val="auto"/>
        </w:rPr>
      </w:pPr>
    </w:p>
    <w:p>
      <w:pPr>
        <w:ind w:right="260" w:firstLine="8"/>
        <w:spacing w:after="0" w:line="241" w:lineRule="auto"/>
        <w:tabs>
          <w:tab w:leader="none" w:pos="236" w:val="left"/>
        </w:tabs>
        <w:numPr>
          <w:ilvl w:val="0"/>
          <w:numId w:val="30"/>
        </w:numPr>
        <w:rPr>
          <w:rFonts w:ascii="Arial" w:cs="Arial" w:eastAsia="Arial" w:hAnsi="Arial"/>
          <w:sz w:val="20"/>
          <w:szCs w:val="20"/>
          <w:color w:val="auto"/>
        </w:rPr>
      </w:pPr>
      <w:r>
        <w:rPr>
          <w:rFonts w:ascii="Arial" w:cs="Arial" w:eastAsia="Arial" w:hAnsi="Arial"/>
          <w:sz w:val="20"/>
          <w:szCs w:val="20"/>
          <w:color w:val="auto"/>
        </w:rPr>
        <w:t>elected twelve directors; (ii) approved, on an advisory and non-binding basis, the 2021 compensation of Evergy's named executive officers; (iii) approved the Evergy, Inc. Amended and Restated Long-Term Incentive Plan; and (iv) ratified the appointment of Deloitte &amp; Touche LLP as independent registered public accountants for 2022. The proposals voted upon at the annual meeting, as well as the voting results for each proposal are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on the Proxy Card. </w:t>
      </w:r>
      <w:r>
        <w:rPr>
          <w:rFonts w:ascii="Arial" w:cs="Arial" w:eastAsia="Arial" w:hAnsi="Arial"/>
          <w:sz w:val="18"/>
          <w:szCs w:val="18"/>
          <w:color w:val="auto"/>
        </w:rPr>
        <w:t>The twelve persons named below were elected, as proposed in the proxy statement, to serve as directors until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Evergy's annual meeting in 2023, and until their successors are elected and qualified. The voting regarding the election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w w:val="91"/>
              </w:rPr>
              <w:t>Number of Votes</w:t>
            </w:r>
          </w:p>
        </w:tc>
        <w:tc>
          <w:tcPr>
            <w:tcW w:w="10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r>
      <w:tr>
        <w:trPr>
          <w:trHeight w:val="229"/>
        </w:trPr>
        <w:tc>
          <w:tcPr>
            <w:tcW w:w="2640" w:type="dxa"/>
            <w:vAlign w:val="bottom"/>
          </w:tcPr>
          <w:p>
            <w:pPr>
              <w:spacing w:after="0"/>
              <w:rPr>
                <w:sz w:val="19"/>
                <w:szCs w:val="19"/>
                <w:color w:val="auto"/>
              </w:rPr>
            </w:pPr>
          </w:p>
        </w:tc>
        <w:tc>
          <w:tcPr>
            <w:tcW w:w="2240" w:type="dxa"/>
            <w:vAlign w:val="bottom"/>
          </w:tcPr>
          <w:p>
            <w:pPr>
              <w:jc w:val="center"/>
              <w:ind w:left="30"/>
              <w:spacing w:after="0"/>
              <w:rPr>
                <w:sz w:val="20"/>
                <w:szCs w:val="20"/>
                <w:color w:val="auto"/>
              </w:rPr>
            </w:pPr>
            <w:r>
              <w:rPr>
                <w:rFonts w:ascii="Arial" w:cs="Arial" w:eastAsia="Arial" w:hAnsi="Arial"/>
                <w:sz w:val="18"/>
                <w:szCs w:val="18"/>
                <w:color w:val="auto"/>
                <w:w w:val="88"/>
              </w:rPr>
              <w:t>For</w:t>
            </w:r>
          </w:p>
        </w:tc>
        <w:tc>
          <w:tcPr>
            <w:tcW w:w="2720" w:type="dxa"/>
            <w:vAlign w:val="bottom"/>
          </w:tcPr>
          <w:p>
            <w:pPr>
              <w:ind w:left="720"/>
              <w:spacing w:after="0"/>
              <w:rPr>
                <w:sz w:val="20"/>
                <w:szCs w:val="20"/>
                <w:color w:val="auto"/>
              </w:rPr>
            </w:pPr>
            <w:r>
              <w:rPr>
                <w:rFonts w:ascii="Arial" w:cs="Arial" w:eastAsia="Arial" w:hAnsi="Arial"/>
                <w:sz w:val="18"/>
                <w:szCs w:val="18"/>
                <w:color w:val="auto"/>
              </w:rPr>
              <w:t>Against</w:t>
            </w:r>
          </w:p>
        </w:tc>
        <w:tc>
          <w:tcPr>
            <w:tcW w:w="1080" w:type="dxa"/>
            <w:vAlign w:val="bottom"/>
          </w:tcPr>
          <w:p>
            <w:pPr>
              <w:ind w:left="60"/>
              <w:spacing w:after="0"/>
              <w:rPr>
                <w:sz w:val="20"/>
                <w:szCs w:val="20"/>
                <w:color w:val="auto"/>
              </w:rPr>
            </w:pPr>
            <w:r>
              <w:rPr>
                <w:rFonts w:ascii="Arial" w:cs="Arial" w:eastAsia="Arial" w:hAnsi="Arial"/>
                <w:sz w:val="18"/>
                <w:szCs w:val="18"/>
                <w:color w:val="auto"/>
              </w:rPr>
              <w:t>Abstain</w:t>
            </w:r>
          </w:p>
        </w:tc>
        <w:tc>
          <w:tcPr>
            <w:tcW w:w="2500" w:type="dxa"/>
            <w:vAlign w:val="bottom"/>
          </w:tcPr>
          <w:p>
            <w:pPr>
              <w:jc w:val="right"/>
              <w:ind w:right="650"/>
              <w:spacing w:after="0"/>
              <w:rPr>
                <w:sz w:val="20"/>
                <w:szCs w:val="20"/>
                <w:color w:val="auto"/>
              </w:rPr>
            </w:pPr>
            <w:r>
              <w:rPr>
                <w:rFonts w:ascii="Arial" w:cs="Arial" w:eastAsia="Arial" w:hAnsi="Arial"/>
                <w:sz w:val="18"/>
                <w:szCs w:val="18"/>
                <w:color w:val="auto"/>
              </w:rPr>
              <w:t>Broker Non-Votes</w:t>
            </w: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A. Campbell</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176,241,076</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2,958,681</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403,026</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Thomas D. Hyde</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174,951,692</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4,320,010</w:t>
            </w:r>
          </w:p>
        </w:tc>
        <w:tc>
          <w:tcPr>
            <w:tcW w:w="1080" w:type="dxa"/>
            <w:vAlign w:val="bottom"/>
          </w:tcPr>
          <w:p>
            <w:pPr>
              <w:ind w:left="60"/>
              <w:spacing w:after="0"/>
              <w:rPr>
                <w:sz w:val="20"/>
                <w:szCs w:val="20"/>
                <w:color w:val="auto"/>
              </w:rPr>
            </w:pPr>
            <w:r>
              <w:rPr>
                <w:rFonts w:ascii="Arial" w:cs="Arial" w:eastAsia="Arial" w:hAnsi="Arial"/>
                <w:sz w:val="18"/>
                <w:szCs w:val="18"/>
                <w:color w:val="auto"/>
              </w:rPr>
              <w:t>331,081</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 Anthony Isaac</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166,729,403</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8"/>
              </w:rPr>
              <w:t>12,551,225</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322,155</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21,311,444</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Paul M. Keglevic</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177,543,588</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1,730,931</w:t>
            </w:r>
          </w:p>
        </w:tc>
        <w:tc>
          <w:tcPr>
            <w:tcW w:w="1080" w:type="dxa"/>
            <w:vAlign w:val="bottom"/>
          </w:tcPr>
          <w:p>
            <w:pPr>
              <w:ind w:left="60"/>
              <w:spacing w:after="0"/>
              <w:rPr>
                <w:sz w:val="20"/>
                <w:szCs w:val="20"/>
                <w:color w:val="auto"/>
              </w:rPr>
            </w:pPr>
            <w:r>
              <w:rPr>
                <w:rFonts w:ascii="Arial" w:cs="Arial" w:eastAsia="Arial" w:hAnsi="Arial"/>
                <w:sz w:val="18"/>
                <w:szCs w:val="18"/>
                <w:color w:val="auto"/>
              </w:rPr>
              <w:t>328,264</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L. Landrieu</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177,465,914</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1,799,981</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336,888</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Sandra A.J. Lawrence</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171,142,270</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8,153,703</w:t>
            </w:r>
          </w:p>
        </w:tc>
        <w:tc>
          <w:tcPr>
            <w:tcW w:w="1080" w:type="dxa"/>
            <w:vAlign w:val="bottom"/>
          </w:tcPr>
          <w:p>
            <w:pPr>
              <w:ind w:left="60"/>
              <w:spacing w:after="0"/>
              <w:rPr>
                <w:sz w:val="20"/>
                <w:szCs w:val="20"/>
                <w:color w:val="auto"/>
              </w:rPr>
            </w:pPr>
            <w:r>
              <w:rPr>
                <w:rFonts w:ascii="Arial" w:cs="Arial" w:eastAsia="Arial" w:hAnsi="Arial"/>
                <w:sz w:val="18"/>
                <w:szCs w:val="18"/>
                <w:color w:val="auto"/>
              </w:rPr>
              <w:t>306,810</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21,311,444</w:t>
            </w: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 D. Murtlow</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177,735,530</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1,553,398</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313,855</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Sandra J. Price</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176,741,361</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9"/>
              </w:rPr>
              <w:t>2,545,096</w:t>
            </w:r>
          </w:p>
        </w:tc>
        <w:tc>
          <w:tcPr>
            <w:tcW w:w="1080" w:type="dxa"/>
            <w:vAlign w:val="bottom"/>
          </w:tcPr>
          <w:p>
            <w:pPr>
              <w:ind w:left="60"/>
              <w:spacing w:after="0"/>
              <w:rPr>
                <w:sz w:val="20"/>
                <w:szCs w:val="20"/>
                <w:color w:val="auto"/>
              </w:rPr>
            </w:pPr>
            <w:r>
              <w:rPr>
                <w:rFonts w:ascii="Arial" w:cs="Arial" w:eastAsia="Arial" w:hAnsi="Arial"/>
                <w:sz w:val="18"/>
                <w:szCs w:val="18"/>
                <w:color w:val="auto"/>
              </w:rPr>
              <w:t>316,326</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21,311,444</w:t>
            </w: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A. Ruelle</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172,531,134</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6,715,067</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356,582</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James Scarola</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178,495,238</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92"/>
              </w:rPr>
              <w:t>701,094</w:t>
            </w:r>
          </w:p>
        </w:tc>
        <w:tc>
          <w:tcPr>
            <w:tcW w:w="1080" w:type="dxa"/>
            <w:vAlign w:val="bottom"/>
          </w:tcPr>
          <w:p>
            <w:pPr>
              <w:ind w:left="60"/>
              <w:spacing w:after="0"/>
              <w:rPr>
                <w:sz w:val="20"/>
                <w:szCs w:val="20"/>
                <w:color w:val="auto"/>
              </w:rPr>
            </w:pPr>
            <w:r>
              <w:rPr>
                <w:rFonts w:ascii="Arial" w:cs="Arial" w:eastAsia="Arial" w:hAnsi="Arial"/>
                <w:sz w:val="18"/>
                <w:szCs w:val="18"/>
                <w:color w:val="auto"/>
              </w:rPr>
              <w:t>406,451</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21,311,444</w:t>
            </w: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Carl Soderstrom Jr.</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175,115,732</w:t>
            </w:r>
          </w:p>
        </w:tc>
        <w:tc>
          <w:tcPr>
            <w:tcW w:w="2720" w:type="dxa"/>
            <w:vAlign w:val="bottom"/>
            <w:shd w:val="clear" w:color="auto" w:fill="CCEEFF"/>
          </w:tcPr>
          <w:p>
            <w:pPr>
              <w:jc w:val="center"/>
              <w:ind w:right="630"/>
              <w:spacing w:after="0"/>
              <w:rPr>
                <w:sz w:val="20"/>
                <w:szCs w:val="20"/>
                <w:color w:val="auto"/>
              </w:rPr>
            </w:pPr>
            <w:r>
              <w:rPr>
                <w:rFonts w:ascii="Arial" w:cs="Arial" w:eastAsia="Arial" w:hAnsi="Arial"/>
                <w:sz w:val="18"/>
                <w:szCs w:val="18"/>
                <w:color w:val="auto"/>
                <w:w w:val="89"/>
              </w:rPr>
              <w:t>4,157,286</w:t>
            </w:r>
          </w:p>
        </w:tc>
        <w:tc>
          <w:tcPr>
            <w:tcW w:w="1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329,765</w:t>
            </w:r>
          </w:p>
        </w:tc>
        <w:tc>
          <w:tcPr>
            <w:tcW w:w="25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21,311,444</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C. John Wilder</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162,274,737</w:t>
            </w:r>
          </w:p>
        </w:tc>
        <w:tc>
          <w:tcPr>
            <w:tcW w:w="2720" w:type="dxa"/>
            <w:vAlign w:val="bottom"/>
          </w:tcPr>
          <w:p>
            <w:pPr>
              <w:jc w:val="center"/>
              <w:ind w:right="630"/>
              <w:spacing w:after="0"/>
              <w:rPr>
                <w:sz w:val="20"/>
                <w:szCs w:val="20"/>
                <w:color w:val="auto"/>
              </w:rPr>
            </w:pPr>
            <w:r>
              <w:rPr>
                <w:rFonts w:ascii="Arial" w:cs="Arial" w:eastAsia="Arial" w:hAnsi="Arial"/>
                <w:sz w:val="18"/>
                <w:szCs w:val="18"/>
                <w:color w:val="auto"/>
                <w:w w:val="88"/>
              </w:rPr>
              <w:t>16,995,693</w:t>
            </w:r>
          </w:p>
        </w:tc>
        <w:tc>
          <w:tcPr>
            <w:tcW w:w="1080" w:type="dxa"/>
            <w:vAlign w:val="bottom"/>
          </w:tcPr>
          <w:p>
            <w:pPr>
              <w:ind w:left="60"/>
              <w:spacing w:after="0"/>
              <w:rPr>
                <w:sz w:val="20"/>
                <w:szCs w:val="20"/>
                <w:color w:val="auto"/>
              </w:rPr>
            </w:pPr>
            <w:r>
              <w:rPr>
                <w:rFonts w:ascii="Arial" w:cs="Arial" w:eastAsia="Arial" w:hAnsi="Arial"/>
                <w:sz w:val="18"/>
                <w:szCs w:val="18"/>
                <w:color w:val="auto"/>
              </w:rPr>
              <w:t>332,353</w:t>
            </w:r>
          </w:p>
        </w:tc>
        <w:tc>
          <w:tcPr>
            <w:tcW w:w="2500" w:type="dxa"/>
            <w:vAlign w:val="bottom"/>
          </w:tcPr>
          <w:p>
            <w:pPr>
              <w:jc w:val="right"/>
              <w:ind w:right="670"/>
              <w:spacing w:after="0"/>
              <w:rPr>
                <w:sz w:val="20"/>
                <w:szCs w:val="20"/>
                <w:color w:val="auto"/>
              </w:rPr>
            </w:pPr>
            <w:r>
              <w:rPr>
                <w:rFonts w:ascii="Arial" w:cs="Arial" w:eastAsia="Arial" w:hAnsi="Arial"/>
                <w:sz w:val="18"/>
                <w:szCs w:val="18"/>
                <w:color w:val="auto"/>
              </w:rPr>
              <w:t>21,311,444</w:t>
            </w:r>
          </w:p>
        </w:tc>
      </w:tr>
    </w:tbl>
    <w:p>
      <w:pPr>
        <w:spacing w:after="0" w:line="287"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 xml:space="preserve">Item 2 on the Proxy Card. </w:t>
      </w:r>
      <w:r>
        <w:rPr>
          <w:rFonts w:ascii="Arial" w:cs="Arial" w:eastAsia="Arial" w:hAnsi="Arial"/>
          <w:sz w:val="20"/>
          <w:szCs w:val="20"/>
          <w:color w:val="auto"/>
        </w:rPr>
        <w:t>In an advisory and non-binding "say on pay" vote, shareholders approved the 2021 compensation of Evergy's</w:t>
      </w:r>
      <w:r>
        <w:rPr>
          <w:rFonts w:ascii="Arial" w:cs="Arial" w:eastAsia="Arial" w:hAnsi="Arial"/>
          <w:sz w:val="20"/>
          <w:szCs w:val="20"/>
          <w:b w:val="1"/>
          <w:bCs w:val="1"/>
          <w:color w:val="auto"/>
        </w:rPr>
        <w:t xml:space="preserve"> </w:t>
      </w:r>
      <w:r>
        <w:rPr>
          <w:rFonts w:ascii="Arial" w:cs="Arial" w:eastAsia="Arial" w:hAnsi="Arial"/>
          <w:sz w:val="20"/>
          <w:szCs w:val="20"/>
          <w:color w:val="auto"/>
        </w:rPr>
        <w:t>named executive officers, with the following vote: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168,240,098</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10,513,394</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849,291</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21,311,444</w:t>
            </w:r>
          </w:p>
        </w:tc>
      </w:tr>
    </w:tbl>
    <w:p>
      <w:pPr>
        <w:spacing w:after="0" w:line="274"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Item 3 on the Proxy Card. </w:t>
      </w:r>
      <w:r>
        <w:rPr>
          <w:rFonts w:ascii="Arial" w:cs="Arial" w:eastAsia="Arial" w:hAnsi="Arial"/>
          <w:sz w:val="20"/>
          <w:szCs w:val="20"/>
          <w:color w:val="auto"/>
        </w:rPr>
        <w:t>Shareholders voted for the approval of the Evergy, Inc. Amended and Restated Long-Term Incentive Plan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vote: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30"/>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168,294,356</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10,609,911</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698,516</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21,311,444</w:t>
            </w:r>
          </w:p>
        </w:tc>
      </w:tr>
    </w:tbl>
    <w:p>
      <w:pPr>
        <w:spacing w:after="0" w:line="294"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The material terms of the Evergy, Inc. Amended and Restated Long-Term Incentive Plan are described under "Proposal 3 - Approval of the Evergy, Inc. Amended and Restated Long-Term Incentive Plan" in Evergy's Definitive Proxy Statement on Schedule 14A filed with the Securities and Exchange Commission on March 23, 2022, and are incorporated herein by reference. This description of the Evergy, Inc. Amended and Restated Long-Term Incentive Plan is qualified in its entirety by the full text of the Evergy, Inc. Amended and Restated Long-Term Incentive Plan, incorporated herein by reference as Exhibit 10.5.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4 on the Proxy Card. </w:t>
      </w:r>
      <w:r>
        <w:rPr>
          <w:rFonts w:ascii="Arial" w:cs="Arial" w:eastAsia="Arial" w:hAnsi="Arial"/>
          <w:sz w:val="19"/>
          <w:szCs w:val="19"/>
          <w:color w:val="auto"/>
        </w:rPr>
        <w:t>Shareholders voted for the ratification and confirmation of the appointment of Deloitte &amp; Touche LLP as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Evergy's independent registered public accounting firm for 2022, with the following vote: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Votes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Against</w:t>
            </w:r>
          </w:p>
        </w:tc>
        <w:tc>
          <w:tcPr>
            <w:tcW w:w="2920" w:type="dxa"/>
            <w:vAlign w:val="bottom"/>
            <w:tcBorders>
              <w:top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Abstain</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9"/>
        </w:trPr>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195,673,096</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4,851,882</w:t>
            </w:r>
          </w:p>
        </w:tc>
        <w:tc>
          <w:tcPr>
            <w:tcW w:w="4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389,249</w:t>
            </w:r>
          </w:p>
        </w:tc>
        <w:tc>
          <w:tcPr>
            <w:tcW w:w="46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1"/>
            <w:vMerge w:val="restart"/>
          </w:tcPr>
          <w:p>
            <w:pPr>
              <w:ind w:left="80"/>
              <w:spacing w:after="0"/>
              <w:rPr>
                <w:sz w:val="20"/>
                <w:szCs w:val="20"/>
                <w:color w:val="auto"/>
              </w:rPr>
            </w:pPr>
            <w:r>
              <w:rPr>
                <w:rFonts w:ascii="Arial" w:cs="Arial" w:eastAsia="Arial" w:hAnsi="Arial"/>
                <w:sz w:val="20"/>
                <w:szCs w:val="20"/>
                <w:color w:val="auto"/>
              </w:rPr>
              <w:t>Description of Document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gridSpan w:val="2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4.1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93"/>
              </w:rPr>
            </w:pPr>
            <w:hyperlink r:id="rId81">
              <w:r>
                <w:rPr>
                  <w:rFonts w:ascii="Arial" w:cs="Arial" w:eastAsia="Arial" w:hAnsi="Arial"/>
                  <w:sz w:val="20"/>
                  <w:szCs w:val="20"/>
                  <w:color w:val="0000FF"/>
                  <w:w w:val="93"/>
                </w:rPr>
                <w:t>First Mortgage Indenture and Deed of Trust, dated as of March 1, 2022, between</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80" w:type="dxa"/>
            <w:vAlign w:val="bottom"/>
            <w:tcBorders>
              <w:top w:val="single" w:sz="8" w:color="0000FF"/>
            </w:tcBorders>
            <w:gridSpan w:val="15"/>
          </w:tcPr>
          <w:p>
            <w:pPr>
              <w:spacing w:after="0" w:line="169" w:lineRule="exact"/>
              <w:rPr>
                <w:rFonts w:ascii="Arial" w:cs="Arial" w:eastAsia="Arial" w:hAnsi="Arial"/>
                <w:sz w:val="19"/>
                <w:szCs w:val="19"/>
                <w:color w:val="0000FF"/>
              </w:rPr>
            </w:pPr>
            <w:hyperlink r:id="rId81">
              <w:r>
                <w:rPr>
                  <w:rFonts w:ascii="Arial" w:cs="Arial" w:eastAsia="Arial" w:hAnsi="Arial"/>
                  <w:sz w:val="19"/>
                  <w:szCs w:val="19"/>
                  <w:color w:val="0000FF"/>
                </w:rPr>
                <w:t>Evergy Missouri West, Inc. and UMB Bank, N.A., as trustee. (Exhibit 4.1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10"/>
          </w:tcPr>
          <w:p>
            <w:pPr>
              <w:spacing w:after="0" w:line="169" w:lineRule="exact"/>
              <w:rPr>
                <w:rFonts w:ascii="Arial" w:cs="Arial" w:eastAsia="Arial" w:hAnsi="Arial"/>
                <w:sz w:val="19"/>
                <w:szCs w:val="19"/>
                <w:color w:val="0000FF"/>
                <w:w w:val="95"/>
              </w:rPr>
            </w:pPr>
            <w:hyperlink r:id="rId81">
              <w:r>
                <w:rPr>
                  <w:rFonts w:ascii="Arial" w:cs="Arial" w:eastAsia="Arial" w:hAnsi="Arial"/>
                  <w:sz w:val="19"/>
                  <w:szCs w:val="19"/>
                  <w:color w:val="0000FF"/>
                  <w:w w:val="95"/>
                </w:rPr>
                <w:t>Evergy's Current Report on Form 8-K filed on March 7, 2022).</w:t>
              </w:r>
            </w:hyperlink>
          </w:p>
        </w:tc>
        <w:tc>
          <w:tcPr>
            <w:tcW w:w="1040" w:type="dxa"/>
            <w:vAlign w:val="bottom"/>
            <w:tcBorders>
              <w:top w:val="single" w:sz="8" w:color="0000FF"/>
            </w:tcBorders>
            <w:gridSpan w:val="3"/>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4.2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91"/>
              </w:rPr>
            </w:pPr>
            <w:hyperlink r:id="rId82">
              <w:r>
                <w:rPr>
                  <w:rFonts w:ascii="Arial" w:cs="Arial" w:eastAsia="Arial" w:hAnsi="Arial"/>
                  <w:sz w:val="20"/>
                  <w:szCs w:val="20"/>
                  <w:color w:val="0000FF"/>
                  <w:w w:val="91"/>
                </w:rPr>
                <w:t>First Supplemental Indenture dated as of March 1, 2022, between Evergy Missouri</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21"/>
          </w:tcPr>
          <w:p>
            <w:pPr>
              <w:spacing w:after="0" w:line="169" w:lineRule="exact"/>
              <w:rPr>
                <w:rFonts w:ascii="Arial" w:cs="Arial" w:eastAsia="Arial" w:hAnsi="Arial"/>
                <w:sz w:val="19"/>
                <w:szCs w:val="19"/>
                <w:color w:val="0000FF"/>
                <w:w w:val="94"/>
              </w:rPr>
            </w:pPr>
            <w:hyperlink r:id="rId82">
              <w:r>
                <w:rPr>
                  <w:rFonts w:ascii="Arial" w:cs="Arial" w:eastAsia="Arial" w:hAnsi="Arial"/>
                  <w:sz w:val="19"/>
                  <w:szCs w:val="19"/>
                  <w:color w:val="0000FF"/>
                  <w:w w:val="94"/>
                </w:rPr>
                <w:t>West, Inc. and UMB Bank N.A., as trustee. (Exhibit 4.2 to Evergy's Current Report</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tcBorders>
              <w:bottom w:val="single" w:sz="8" w:color="0000FF"/>
            </w:tcBorders>
            <w:gridSpan w:val="6"/>
          </w:tcPr>
          <w:p>
            <w:pPr>
              <w:spacing w:after="0" w:line="169" w:lineRule="exact"/>
              <w:rPr>
                <w:rFonts w:ascii="Arial" w:cs="Arial" w:eastAsia="Arial" w:hAnsi="Arial"/>
                <w:sz w:val="19"/>
                <w:szCs w:val="19"/>
                <w:color w:val="0000FF"/>
                <w:w w:val="96"/>
              </w:rPr>
            </w:pPr>
            <w:hyperlink r:id="rId82">
              <w:r>
                <w:rPr>
                  <w:rFonts w:ascii="Arial" w:cs="Arial" w:eastAsia="Arial" w:hAnsi="Arial"/>
                  <w:sz w:val="19"/>
                  <w:szCs w:val="19"/>
                  <w:color w:val="0000FF"/>
                  <w:w w:val="96"/>
                </w:rPr>
                <w:t>on Form 8-K filed on March 7, 2022).</w:t>
              </w:r>
            </w:hyperlink>
          </w:p>
        </w:tc>
        <w:tc>
          <w:tcPr>
            <w:tcW w:w="3560" w:type="dxa"/>
            <w:vAlign w:val="bottom"/>
            <w:gridSpan w:val="16"/>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89"/>
              </w:rPr>
            </w:pPr>
            <w:hyperlink r:id="rId83">
              <w:r>
                <w:rPr>
                  <w:rFonts w:ascii="Arial" w:cs="Arial" w:eastAsia="Arial" w:hAnsi="Arial"/>
                  <w:sz w:val="20"/>
                  <w:szCs w:val="20"/>
                  <w:color w:val="0000FF"/>
                  <w:w w:val="89"/>
                </w:rPr>
                <w:t>Term Loan Credit Agreement, dated as of February 25, 2022, by and among Evergy,</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0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5"/>
              </w:rPr>
            </w:pPr>
            <w:hyperlink r:id="rId83">
              <w:r>
                <w:rPr>
                  <w:rFonts w:ascii="Arial" w:cs="Arial" w:eastAsia="Arial" w:hAnsi="Arial"/>
                  <w:sz w:val="19"/>
                  <w:szCs w:val="19"/>
                  <w:color w:val="0000FF"/>
                  <w:w w:val="95"/>
                </w:rPr>
                <w:t>Inc., Wells Fargo Bank, National Association, as Administrative Agent, and the</w:t>
              </w:r>
            </w:hyperlink>
          </w:p>
        </w:tc>
        <w:tc>
          <w:tcPr>
            <w:tcW w:w="3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00" w:type="dxa"/>
            <w:vAlign w:val="bottom"/>
            <w:gridSpan w:val="25"/>
          </w:tcPr>
          <w:p>
            <w:pPr>
              <w:spacing w:after="0" w:line="169" w:lineRule="exact"/>
              <w:rPr>
                <w:rFonts w:ascii="Arial" w:cs="Arial" w:eastAsia="Arial" w:hAnsi="Arial"/>
                <w:sz w:val="19"/>
                <w:szCs w:val="19"/>
                <w:color w:val="0000FF"/>
                <w:w w:val="99"/>
              </w:rPr>
            </w:pPr>
            <w:hyperlink r:id="rId83">
              <w:r>
                <w:rPr>
                  <w:rFonts w:ascii="Arial" w:cs="Arial" w:eastAsia="Arial" w:hAnsi="Arial"/>
                  <w:sz w:val="19"/>
                  <w:szCs w:val="19"/>
                  <w:color w:val="0000FF"/>
                  <w:w w:val="99"/>
                </w:rPr>
                <w:t>lenders referred to therein (Exhibit 10.1 to Evergy's Current Report on Form 8-K</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5"/>
              </w:rPr>
            </w:pPr>
            <w:hyperlink r:id="rId83">
              <w:r>
                <w:rPr>
                  <w:rFonts w:ascii="Arial" w:cs="Arial" w:eastAsia="Arial" w:hAnsi="Arial"/>
                  <w:sz w:val="19"/>
                  <w:szCs w:val="19"/>
                  <w:color w:val="0000FF"/>
                  <w:w w:val="95"/>
                </w:rPr>
                <w:t>filed on February 28, 2022).</w:t>
              </w:r>
            </w:hyperlink>
          </w:p>
        </w:tc>
        <w:tc>
          <w:tcPr>
            <w:tcW w:w="41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93"/>
              </w:rPr>
            </w:pPr>
            <w:hyperlink r:id="rId84">
              <w:r>
                <w:rPr>
                  <w:rFonts w:ascii="Arial" w:cs="Arial" w:eastAsia="Arial" w:hAnsi="Arial"/>
                  <w:sz w:val="20"/>
                  <w:szCs w:val="20"/>
                  <w:color w:val="0000FF"/>
                  <w:w w:val="93"/>
                </w:rPr>
                <w:t>Form of Evergy, Inc. 2022 Performance-Based Restricted Stock Unit Agreement.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15"/>
          </w:tcPr>
          <w:p>
            <w:pPr>
              <w:spacing w:after="0" w:line="169" w:lineRule="exact"/>
              <w:rPr>
                <w:rFonts w:ascii="Arial" w:cs="Arial" w:eastAsia="Arial" w:hAnsi="Arial"/>
                <w:sz w:val="19"/>
                <w:szCs w:val="19"/>
                <w:color w:val="0000FF"/>
                <w:w w:val="95"/>
              </w:rPr>
            </w:pPr>
            <w:hyperlink r:id="rId84">
              <w:r>
                <w:rPr>
                  <w:rFonts w:ascii="Arial" w:cs="Arial" w:eastAsia="Arial" w:hAnsi="Arial"/>
                  <w:sz w:val="19"/>
                  <w:szCs w:val="19"/>
                  <w:color w:val="0000FF"/>
                  <w:w w:val="95"/>
                </w:rPr>
                <w:t>(Exhibit 10.19 to Evergy's Form 10-K for the period ended December 31, 2021).</w:t>
              </w:r>
            </w:hyperlink>
          </w:p>
        </w:tc>
        <w:tc>
          <w:tcPr>
            <w:tcW w:w="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93"/>
              </w:rPr>
            </w:pPr>
            <w:hyperlink r:id="rId85">
              <w:r>
                <w:rPr>
                  <w:rFonts w:ascii="Arial" w:cs="Arial" w:eastAsia="Arial" w:hAnsi="Arial"/>
                  <w:sz w:val="20"/>
                  <w:szCs w:val="20"/>
                  <w:color w:val="0000FF"/>
                  <w:w w:val="93"/>
                </w:rPr>
                <w:t>Form of Evergy, Inc. 2022 Time-Based Restricted Stock Unit Agreement. (Exhibit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54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85">
              <w:r>
                <w:rPr>
                  <w:rFonts w:ascii="Arial" w:cs="Arial" w:eastAsia="Arial" w:hAnsi="Arial"/>
                  <w:sz w:val="19"/>
                  <w:szCs w:val="19"/>
                  <w:color w:val="0000FF"/>
                </w:rPr>
                <w:t>10.</w:t>
              </w:r>
              <w:r>
                <w:rPr>
                  <w:rFonts w:ascii="Arial" w:cs="Arial" w:eastAsia="Arial" w:hAnsi="Arial"/>
                  <w:sz w:val="19"/>
                  <w:szCs w:val="19"/>
                  <w:u w:val="single" w:color="auto"/>
                  <w:color w:val="0000FF"/>
                </w:rPr>
                <w:t>20</w:t>
              </w:r>
              <w:r>
                <w:rPr>
                  <w:rFonts w:ascii="Arial" w:cs="Arial" w:eastAsia="Arial" w:hAnsi="Arial"/>
                  <w:sz w:val="19"/>
                  <w:szCs w:val="19"/>
                  <w:color w:val="0000FF"/>
                </w:rPr>
                <w:t xml:space="preserve"> to Evergy's Form 10-K for the period ended December 31, 2021).</w:t>
              </w:r>
            </w:hyperlink>
          </w:p>
        </w:tc>
        <w:tc>
          <w:tcPr>
            <w:tcW w:w="8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92"/>
              </w:rPr>
            </w:pPr>
            <w:hyperlink r:id="rId86">
              <w:r>
                <w:rPr>
                  <w:rFonts w:ascii="Arial" w:cs="Arial" w:eastAsia="Arial" w:hAnsi="Arial"/>
                  <w:sz w:val="20"/>
                  <w:szCs w:val="20"/>
                  <w:color w:val="0000FF"/>
                  <w:w w:val="92"/>
                </w:rPr>
                <w:t>Evergy, Inc. 2022 Annual Incentive Plan. (Exhibit 10.21 to Evergy's Form 10-K for</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2"/>
              </w:rPr>
            </w:pPr>
            <w:hyperlink r:id="rId86">
              <w:r>
                <w:rPr>
                  <w:rFonts w:ascii="Arial" w:cs="Arial" w:eastAsia="Arial" w:hAnsi="Arial"/>
                  <w:sz w:val="19"/>
                  <w:szCs w:val="19"/>
                  <w:color w:val="0000FF"/>
                  <w:w w:val="92"/>
                </w:rPr>
                <w:t>the period ended December 31, 2021).</w:t>
              </w:r>
            </w:hyperlink>
          </w:p>
        </w:tc>
        <w:tc>
          <w:tcPr>
            <w:tcW w:w="3580" w:type="dxa"/>
            <w:vAlign w:val="bottom"/>
            <w:tcBorders>
              <w:top w:val="single" w:sz="8" w:color="0000FF"/>
            </w:tcBorders>
            <w:gridSpan w:val="16"/>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10.5</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rFonts w:ascii="Arial" w:cs="Arial" w:eastAsia="Arial" w:hAnsi="Arial"/>
                <w:sz w:val="20"/>
                <w:szCs w:val="20"/>
                <w:color w:val="0000FF"/>
                <w:w w:val="92"/>
              </w:rPr>
            </w:pPr>
            <w:hyperlink r:id="rId87">
              <w:r>
                <w:rPr>
                  <w:rFonts w:ascii="Arial" w:cs="Arial" w:eastAsia="Arial" w:hAnsi="Arial"/>
                  <w:sz w:val="20"/>
                  <w:szCs w:val="20"/>
                  <w:color w:val="0000FF"/>
                  <w:w w:val="92"/>
                </w:rPr>
                <w:t>Evergy, Inc. Long-Term Incentive Plan, as amended and restated effective May 3,</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60" w:type="dxa"/>
            <w:vAlign w:val="bottom"/>
            <w:tcBorders>
              <w:top w:val="single" w:sz="8" w:color="0000FF"/>
            </w:tcBorders>
            <w:gridSpan w:val="19"/>
          </w:tcPr>
          <w:p>
            <w:pPr>
              <w:spacing w:after="0" w:line="169" w:lineRule="exact"/>
              <w:rPr>
                <w:rFonts w:ascii="Arial" w:cs="Arial" w:eastAsia="Arial" w:hAnsi="Arial"/>
                <w:sz w:val="19"/>
                <w:szCs w:val="19"/>
                <w:color w:val="0000FF"/>
                <w:w w:val="95"/>
              </w:rPr>
            </w:pPr>
            <w:hyperlink r:id="rId87">
              <w:r>
                <w:rPr>
                  <w:rFonts w:ascii="Arial" w:cs="Arial" w:eastAsia="Arial" w:hAnsi="Arial"/>
                  <w:sz w:val="19"/>
                  <w:szCs w:val="19"/>
                  <w:color w:val="0000FF"/>
                  <w:w w:val="95"/>
                </w:rPr>
                <w:t>2022 (Appendix C to Evergy's Proxy Statement on Schedule 14A filed on March</w:t>
              </w:r>
            </w:hyperlink>
          </w:p>
        </w:tc>
        <w:tc>
          <w:tcPr>
            <w:tcW w:w="2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1"/>
              </w:rPr>
            </w:pPr>
            <w:hyperlink r:id="rId87">
              <w:r>
                <w:rPr>
                  <w:rFonts w:ascii="Arial" w:cs="Arial" w:eastAsia="Arial" w:hAnsi="Arial"/>
                  <w:sz w:val="19"/>
                  <w:szCs w:val="19"/>
                  <w:color w:val="0000FF"/>
                  <w:w w:val="91"/>
                </w:rPr>
                <w:t>23, 2022).</w:t>
              </w:r>
            </w:hyperlink>
          </w:p>
        </w:tc>
        <w:tc>
          <w:tcPr>
            <w:tcW w:w="1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9"/>
          </w:tcPr>
          <w:p>
            <w:pPr>
              <w:spacing w:after="0"/>
              <w:rPr>
                <w:rFonts w:ascii="Arial" w:cs="Arial" w:eastAsia="Arial" w:hAnsi="Arial"/>
                <w:sz w:val="20"/>
                <w:szCs w:val="20"/>
                <w:color w:val="0000FF"/>
                <w:w w:val="91"/>
              </w:rPr>
            </w:pPr>
            <w:hyperlink w:anchor="page67">
              <w:r>
                <w:rPr>
                  <w:rFonts w:ascii="Arial" w:cs="Arial" w:eastAsia="Arial" w:hAnsi="Arial"/>
                  <w:sz w:val="20"/>
                  <w:szCs w:val="20"/>
                  <w:color w:val="0000FF"/>
                  <w:w w:val="91"/>
                </w:rPr>
                <w:t>Rule 13a-14(a)/15d-14(a) Certification of David A. Campbell.</w:t>
              </w:r>
            </w:hyperlink>
          </w:p>
        </w:tc>
        <w:tc>
          <w:tcPr>
            <w:tcW w:w="1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20"/>
                <w:szCs w:val="20"/>
                <w:color w:val="0000FF"/>
              </w:rPr>
            </w:pPr>
            <w:hyperlink w:anchor="page68">
              <w:r>
                <w:rPr>
                  <w:rFonts w:ascii="Arial" w:cs="Arial" w:eastAsia="Arial" w:hAnsi="Arial"/>
                  <w:sz w:val="20"/>
                  <w:szCs w:val="20"/>
                  <w:color w:val="0000FF"/>
                </w:rPr>
                <w:t>Rule 13a-14(a)/15d-14(a) Certification of Kirkland B. Andrews.</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9"/>
          </w:tcPr>
          <w:p>
            <w:pPr>
              <w:spacing w:after="0"/>
              <w:rPr>
                <w:rFonts w:ascii="Arial" w:cs="Arial" w:eastAsia="Arial" w:hAnsi="Arial"/>
                <w:sz w:val="20"/>
                <w:szCs w:val="20"/>
                <w:color w:val="0000FF"/>
                <w:w w:val="91"/>
              </w:rPr>
            </w:pPr>
            <w:hyperlink w:anchor="page69">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gridSpan w:val="2"/>
          </w:tcPr>
          <w:p>
            <w:pPr>
              <w:spacing w:after="0"/>
              <w:rPr>
                <w:sz w:val="24"/>
                <w:szCs w:val="24"/>
                <w:color w:val="auto"/>
              </w:rPr>
            </w:pPr>
          </w:p>
        </w:tc>
        <w:tc>
          <w:tcPr>
            <w:tcW w:w="1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20"/>
                <w:szCs w:val="20"/>
                <w:color w:val="0000FF"/>
              </w:rPr>
            </w:pPr>
            <w:hyperlink w:anchor="page70">
              <w:r>
                <w:rPr>
                  <w:rFonts w:ascii="Arial" w:cs="Arial" w:eastAsia="Arial" w:hAnsi="Arial"/>
                  <w:sz w:val="20"/>
                  <w:szCs w:val="20"/>
                  <w:color w:val="0000FF"/>
                </w:rPr>
                <w:t>Rule 13a-14(a)/15d-14(a) Certification of Kirkland B. Andrews.</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9"/>
          </w:tcPr>
          <w:p>
            <w:pPr>
              <w:spacing w:after="0"/>
              <w:rPr>
                <w:rFonts w:ascii="Arial" w:cs="Arial" w:eastAsia="Arial" w:hAnsi="Arial"/>
                <w:sz w:val="20"/>
                <w:szCs w:val="20"/>
                <w:color w:val="0000FF"/>
                <w:w w:val="91"/>
              </w:rPr>
            </w:pPr>
            <w:hyperlink w:anchor="page71">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gridSpan w:val="2"/>
          </w:tcPr>
          <w:p>
            <w:pPr>
              <w:spacing w:after="0"/>
              <w:rPr>
                <w:sz w:val="24"/>
                <w:szCs w:val="24"/>
                <w:color w:val="auto"/>
              </w:rPr>
            </w:pPr>
          </w:p>
        </w:tc>
        <w:tc>
          <w:tcPr>
            <w:tcW w:w="1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5"/>
          </w:tcPr>
          <w:p>
            <w:pPr>
              <w:spacing w:after="0"/>
              <w:rPr>
                <w:rFonts w:ascii="Arial" w:cs="Arial" w:eastAsia="Arial" w:hAnsi="Arial"/>
                <w:sz w:val="20"/>
                <w:szCs w:val="20"/>
                <w:color w:val="0000FF"/>
              </w:rPr>
            </w:pPr>
            <w:hyperlink w:anchor="page72">
              <w:r>
                <w:rPr>
                  <w:rFonts w:ascii="Arial" w:cs="Arial" w:eastAsia="Arial" w:hAnsi="Arial"/>
                  <w:sz w:val="20"/>
                  <w:szCs w:val="20"/>
                  <w:color w:val="0000FF"/>
                </w:rPr>
                <w:t>Rule 13a-14(a)/15d-14(a) Certification of Kirkland B. Andrews.</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3"/>
          </w:tcPr>
          <w:p>
            <w:pPr>
              <w:spacing w:after="0"/>
              <w:rPr>
                <w:rFonts w:ascii="Arial" w:cs="Arial" w:eastAsia="Arial" w:hAnsi="Arial"/>
                <w:sz w:val="20"/>
                <w:szCs w:val="20"/>
                <w:color w:val="0000FF"/>
                <w:w w:val="91"/>
              </w:rPr>
            </w:pPr>
            <w:hyperlink w:anchor="page73">
              <w:r>
                <w:rPr>
                  <w:rFonts w:ascii="Arial" w:cs="Arial" w:eastAsia="Arial" w:hAnsi="Arial"/>
                  <w:sz w:val="20"/>
                  <w:szCs w:val="20"/>
                  <w:color w:val="0000FF"/>
                  <w:w w:val="91"/>
                </w:rPr>
                <w:t>Section 1350 Certifications.</w:t>
              </w:r>
            </w:hyperlink>
          </w:p>
        </w:tc>
        <w:tc>
          <w:tcPr>
            <w:tcW w:w="2840" w:type="dxa"/>
            <w:vAlign w:val="bottom"/>
            <w:tcBorders>
              <w:top w:val="single" w:sz="8" w:color="0000FF"/>
            </w:tcBorders>
            <w:gridSpan w:val="8"/>
          </w:tcPr>
          <w:p>
            <w:pPr>
              <w:spacing w:after="0"/>
              <w:rPr>
                <w:sz w:val="24"/>
                <w:szCs w:val="24"/>
                <w:color w:val="auto"/>
              </w:rPr>
            </w:pPr>
          </w:p>
        </w:tc>
        <w:tc>
          <w:tcPr>
            <w:tcW w:w="1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3"/>
          </w:tcPr>
          <w:p>
            <w:pPr>
              <w:spacing w:after="0"/>
              <w:rPr>
                <w:rFonts w:ascii="Arial" w:cs="Arial" w:eastAsia="Arial" w:hAnsi="Arial"/>
                <w:sz w:val="20"/>
                <w:szCs w:val="20"/>
                <w:color w:val="0000FF"/>
                <w:w w:val="91"/>
              </w:rPr>
            </w:pPr>
            <w:hyperlink w:anchor="page74">
              <w:r>
                <w:rPr>
                  <w:rFonts w:ascii="Arial" w:cs="Arial" w:eastAsia="Arial" w:hAnsi="Arial"/>
                  <w:sz w:val="20"/>
                  <w:szCs w:val="20"/>
                  <w:color w:val="0000FF"/>
                  <w:w w:val="91"/>
                </w:rPr>
                <w:t>Section 1350 Certifications.</w:t>
              </w:r>
            </w:hyperlink>
          </w:p>
        </w:tc>
        <w:tc>
          <w:tcPr>
            <w:tcW w:w="44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2"/>
          </w:tcPr>
          <w:p>
            <w:pPr>
              <w:spacing w:after="0"/>
              <w:rPr>
                <w:rFonts w:ascii="Arial" w:cs="Arial" w:eastAsia="Arial" w:hAnsi="Arial"/>
                <w:sz w:val="20"/>
                <w:szCs w:val="20"/>
                <w:color w:val="0000FF"/>
                <w:w w:val="90"/>
              </w:rPr>
            </w:pPr>
            <w:hyperlink w:anchor="page75">
              <w:r>
                <w:rPr>
                  <w:rFonts w:ascii="Arial" w:cs="Arial" w:eastAsia="Arial" w:hAnsi="Arial"/>
                  <w:sz w:val="20"/>
                  <w:szCs w:val="20"/>
                  <w:color w:val="0000FF"/>
                  <w:w w:val="90"/>
                </w:rPr>
                <w:t>Section 1350 Certifications.</w:t>
              </w:r>
            </w:hyperlink>
          </w:p>
        </w:tc>
        <w:tc>
          <w:tcPr>
            <w:tcW w:w="44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5"/>
          </w:tcPr>
          <w:p>
            <w:pPr>
              <w:spacing w:after="0"/>
              <w:rPr>
                <w:sz w:val="20"/>
                <w:szCs w:val="20"/>
                <w:color w:val="auto"/>
              </w:rPr>
            </w:pPr>
            <w:r>
              <w:rPr>
                <w:rFonts w:ascii="Arial" w:cs="Arial" w:eastAsia="Arial" w:hAnsi="Arial"/>
                <w:sz w:val="20"/>
                <w:szCs w:val="20"/>
                <w:color w:val="auto"/>
              </w:rPr>
              <w:t>XBRL Instance Document.</w:t>
            </w:r>
          </w:p>
        </w:tc>
        <w:tc>
          <w:tcPr>
            <w:tcW w:w="0" w:type="dxa"/>
            <w:vAlign w:val="bottom"/>
          </w:tcPr>
          <w:p>
            <w:pPr>
              <w:spacing w:after="0"/>
              <w:rPr>
                <w:sz w:val="1"/>
                <w:szCs w:val="1"/>
                <w:color w:val="auto"/>
              </w:rPr>
            </w:pPr>
          </w:p>
        </w:tc>
      </w:tr>
      <w:tr>
        <w:trPr>
          <w:trHeight w:val="338"/>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5"/>
          </w:tcPr>
          <w:p>
            <w:pPr>
              <w:spacing w:after="0"/>
              <w:rPr>
                <w:sz w:val="20"/>
                <w:szCs w:val="20"/>
                <w:color w:val="auto"/>
              </w:rPr>
            </w:pPr>
            <w:r>
              <w:rPr>
                <w:rFonts w:ascii="Arial" w:cs="Arial" w:eastAsia="Arial" w:hAnsi="Arial"/>
                <w:sz w:val="20"/>
                <w:szCs w:val="20"/>
                <w:color w:val="auto"/>
              </w:rPr>
              <w:t>Inline XBRL Taxonomy Extension Schema Document.</w:t>
            </w:r>
          </w:p>
        </w:tc>
        <w:tc>
          <w:tcPr>
            <w:tcW w:w="0" w:type="dxa"/>
            <w:vAlign w:val="bottom"/>
          </w:tcPr>
          <w:p>
            <w:pPr>
              <w:spacing w:after="0"/>
              <w:rPr>
                <w:sz w:val="1"/>
                <w:szCs w:val="1"/>
                <w:color w:val="auto"/>
              </w:rPr>
            </w:pPr>
          </w:p>
        </w:tc>
      </w:tr>
      <w:tr>
        <w:trPr>
          <w:trHeight w:val="715"/>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5"/>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Registrant</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rPr>
          <w:sz w:val="20"/>
          <w:szCs w:val="20"/>
          <w:color w:val="auto"/>
        </w:rPr>
      </w:pPr>
      <w:r>
        <w:rPr>
          <w:rFonts w:ascii="Arial" w:cs="Arial" w:eastAsia="Arial" w:hAnsi="Arial"/>
          <w:sz w:val="16"/>
          <w:szCs w:val="16"/>
          <w:color w:val="auto"/>
        </w:rPr>
        <w:t>Evergy Kansas Central</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ind w:right="720"/>
        <w:spacing w:after="0" w:line="391" w:lineRule="auto"/>
        <w:rPr>
          <w:sz w:val="20"/>
          <w:szCs w:val="20"/>
          <w:color w:val="auto"/>
        </w:rPr>
      </w:pPr>
      <w:r>
        <w:rPr>
          <w:rFonts w:ascii="Arial" w:cs="Arial" w:eastAsia="Arial" w:hAnsi="Arial"/>
          <w:sz w:val="18"/>
          <w:szCs w:val="18"/>
          <w:color w:val="auto"/>
        </w:rPr>
        <w:t>Evergy Evergy Evergy Metro Evergy Metro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n/a</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jc w:val="both"/>
        <w:spacing w:after="0" w:line="232" w:lineRule="auto"/>
        <w:rPr>
          <w:sz w:val="20"/>
          <w:szCs w:val="20"/>
          <w:color w:val="auto"/>
        </w:rPr>
      </w:pPr>
      <w:r>
        <w:rPr>
          <w:rFonts w:ascii="Arial" w:cs="Arial" w:eastAsia="Arial" w:hAnsi="Arial"/>
          <w:sz w:val="19"/>
          <w:szCs w:val="19"/>
          <w:color w:val="auto"/>
        </w:rPr>
        <w:t>Evergy Kansas Central Evergy Metro</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jc w:val="both"/>
        <w:spacing w:after="0" w:line="232" w:lineRule="auto"/>
        <w:rPr>
          <w:sz w:val="20"/>
          <w:szCs w:val="20"/>
          <w:color w:val="auto"/>
        </w:rPr>
      </w:pPr>
      <w:r>
        <w:rPr>
          <w:rFonts w:ascii="Arial" w:cs="Arial" w:eastAsia="Arial" w:hAnsi="Arial"/>
          <w:sz w:val="19"/>
          <w:szCs w:val="19"/>
          <w:color w:val="auto"/>
        </w:rPr>
        <w:t>Evergy Kansas Central Evergy Metro</w:t>
      </w:r>
    </w:p>
    <w:p>
      <w:pPr>
        <w:sectPr>
          <w:pgSz w:w="11900" w:h="16838" w:orient="portrait"/>
          <w:cols w:equalWidth="0" w:num="2">
            <w:col w:w="8500" w:space="340"/>
            <w:col w:w="1820"/>
          </w:cols>
          <w:pgMar w:left="320" w:top="99" w:right="9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2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71"/>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101.DEF</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Definition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101.LAB</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101.PRE</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420" w:type="dxa"/>
            <w:vAlign w:val="bottom"/>
          </w:tcPr>
          <w:p>
            <w:pPr>
              <w:ind w:left="20"/>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bl>
    <w:p>
      <w:pPr>
        <w:spacing w:after="0" w:line="165" w:lineRule="exact"/>
        <w:rPr>
          <w:sz w:val="20"/>
          <w:szCs w:val="20"/>
          <w:color w:val="auto"/>
        </w:rPr>
      </w:pPr>
    </w:p>
    <w:p>
      <w:pPr>
        <w:ind w:right="60" w:firstLine="8"/>
        <w:spacing w:after="0" w:line="250" w:lineRule="auto"/>
        <w:tabs>
          <w:tab w:leader="none" w:pos="1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8" w:lineRule="exact"/>
        <w:rPr>
          <w:sz w:val="20"/>
          <w:szCs w:val="20"/>
          <w:color w:val="auto"/>
        </w:rPr>
      </w:pPr>
    </w:p>
    <w:p>
      <w:pPr>
        <w:jc w:val="both"/>
        <w:ind w:firstLine="8"/>
        <w:spacing w:after="0" w:line="250" w:lineRule="auto"/>
        <w:tabs>
          <w:tab w:leader="none" w:pos="247" w:val="left"/>
        </w:tabs>
        <w:numPr>
          <w:ilvl w:val="0"/>
          <w:numId w:val="32"/>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8" w:lineRule="exact"/>
        <w:rPr>
          <w:rFonts w:ascii="Arial" w:cs="Arial" w:eastAsia="Arial" w:hAnsi="Arial"/>
          <w:sz w:val="20"/>
          <w:szCs w:val="20"/>
          <w:color w:val="auto"/>
        </w:rPr>
      </w:pPr>
    </w:p>
    <w:p>
      <w:pPr>
        <w:ind w:right="560" w:firstLine="8"/>
        <w:spacing w:after="0" w:line="260" w:lineRule="auto"/>
        <w:tabs>
          <w:tab w:leader="none" w:pos="34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Indicates management contract or compensatory plan or arrangement.</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109"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20" w:type="dxa"/>
            <w:vAlign w:val="bottom"/>
            <w:gridSpan w:val="3"/>
          </w:tcPr>
          <w:p>
            <w:pPr>
              <w:ind w:left="1080"/>
              <w:spacing w:after="0"/>
              <w:rPr>
                <w:sz w:val="20"/>
                <w:szCs w:val="20"/>
                <w:color w:val="auto"/>
              </w:rPr>
            </w:pPr>
            <w:r>
              <w:rPr>
                <w:rFonts w:ascii="Arial" w:cs="Arial" w:eastAsia="Arial" w:hAnsi="Arial"/>
                <w:sz w:val="20"/>
                <w:szCs w:val="20"/>
                <w:b w:val="1"/>
                <w:bCs w:val="1"/>
                <w:color w:val="auto"/>
              </w:rPr>
              <w:t>EVERGY, INC.</w:t>
            </w:r>
          </w:p>
        </w:tc>
      </w:tr>
      <w:tr>
        <w:trPr>
          <w:trHeight w:val="441"/>
        </w:trPr>
        <w:tc>
          <w:tcPr>
            <w:tcW w:w="700" w:type="dxa"/>
            <w:vAlign w:val="bottom"/>
          </w:tcPr>
          <w:p>
            <w:pPr>
              <w:spacing w:after="0"/>
              <w:rPr>
                <w:sz w:val="20"/>
                <w:szCs w:val="20"/>
                <w:color w:val="auto"/>
              </w:rPr>
            </w:pPr>
            <w:r>
              <w:rPr>
                <w:rFonts w:ascii="Arial" w:cs="Arial" w:eastAsia="Arial" w:hAnsi="Arial"/>
                <w:sz w:val="20"/>
                <w:szCs w:val="20"/>
                <w:color w:val="auto"/>
              </w:rPr>
              <w:t>Dated:</w:t>
            </w:r>
          </w:p>
        </w:tc>
        <w:tc>
          <w:tcPr>
            <w:tcW w:w="2260" w:type="dxa"/>
            <w:vAlign w:val="bottom"/>
          </w:tcPr>
          <w:p>
            <w:pPr>
              <w:ind w:left="180"/>
              <w:spacing w:after="0"/>
              <w:rPr>
                <w:sz w:val="20"/>
                <w:szCs w:val="20"/>
                <w:color w:val="auto"/>
              </w:rPr>
            </w:pPr>
            <w:r>
              <w:rPr>
                <w:rFonts w:ascii="Arial" w:cs="Arial" w:eastAsia="Arial" w:hAnsi="Arial"/>
                <w:sz w:val="20"/>
                <w:szCs w:val="20"/>
                <w:color w:val="auto"/>
              </w:rPr>
              <w:t>May 4, 2022</w:t>
            </w:r>
          </w:p>
        </w:tc>
        <w:tc>
          <w:tcPr>
            <w:tcW w:w="5420" w:type="dxa"/>
            <w:vAlign w:val="bottom"/>
            <w:gridSpan w:val="3"/>
          </w:tcPr>
          <w:p>
            <w:pPr>
              <w:ind w:left="1080"/>
              <w:spacing w:after="0"/>
              <w:rPr>
                <w:sz w:val="20"/>
                <w:szCs w:val="20"/>
                <w:color w:val="auto"/>
              </w:rPr>
            </w:pPr>
            <w:r>
              <w:rPr>
                <w:rFonts w:ascii="Arial" w:cs="Arial" w:eastAsia="Arial" w:hAnsi="Arial"/>
                <w:sz w:val="20"/>
                <w:szCs w:val="20"/>
                <w:color w:val="auto"/>
              </w:rPr>
              <w:t>By: /s/ Kirkland B. Andrews</w:t>
            </w:r>
          </w:p>
        </w:tc>
      </w:tr>
      <w:tr>
        <w:trPr>
          <w:trHeight w:val="20"/>
        </w:trPr>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0"/>
        </w:trPr>
        <w:tc>
          <w:tcPr>
            <w:tcW w:w="7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20" w:type="dxa"/>
            <w:vAlign w:val="bottom"/>
            <w:gridSpan w:val="3"/>
          </w:tcPr>
          <w:p>
            <w:pPr>
              <w:ind w:left="1080"/>
              <w:spacing w:after="0"/>
              <w:rPr>
                <w:sz w:val="20"/>
                <w:szCs w:val="20"/>
                <w:color w:val="auto"/>
              </w:rPr>
            </w:pPr>
            <w:r>
              <w:rPr>
                <w:rFonts w:ascii="Arial" w:cs="Arial" w:eastAsia="Arial" w:hAnsi="Arial"/>
                <w:sz w:val="20"/>
                <w:szCs w:val="20"/>
                <w:color w:val="auto"/>
              </w:rPr>
              <w:t>(Kirkland B. Andrews)</w:t>
            </w:r>
          </w:p>
        </w:tc>
      </w:tr>
      <w:tr>
        <w:trPr>
          <w:trHeight w:val="250"/>
        </w:trPr>
        <w:tc>
          <w:tcPr>
            <w:tcW w:w="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20" w:type="dxa"/>
            <w:vAlign w:val="bottom"/>
            <w:gridSpan w:val="3"/>
          </w:tcPr>
          <w:p>
            <w:pPr>
              <w:ind w:left="10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98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b w:val="1"/>
                <w:bCs w:val="1"/>
                <w:color w:val="auto"/>
              </w:rPr>
              <w:t>EVERGY KANSAS CENTRAL, INC.</w:t>
            </w:r>
          </w:p>
        </w:tc>
      </w:tr>
      <w:tr>
        <w:trPr>
          <w:trHeight w:val="441"/>
        </w:trPr>
        <w:tc>
          <w:tcPr>
            <w:tcW w:w="2980" w:type="dxa"/>
            <w:vAlign w:val="bottom"/>
          </w:tcPr>
          <w:p>
            <w:pPr>
              <w:spacing w:after="0"/>
              <w:rPr>
                <w:sz w:val="20"/>
                <w:szCs w:val="20"/>
                <w:color w:val="auto"/>
              </w:rPr>
            </w:pPr>
            <w:r>
              <w:rPr>
                <w:rFonts w:ascii="Arial" w:cs="Arial" w:eastAsia="Arial" w:hAnsi="Arial"/>
                <w:sz w:val="20"/>
                <w:szCs w:val="20"/>
                <w:color w:val="auto"/>
                <w:w w:val="90"/>
              </w:rPr>
              <w:t>Dated:May 4, 2022</w:t>
            </w: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By: /s/ Kirkland B. Andrews</w:t>
            </w:r>
          </w:p>
        </w:tc>
      </w:tr>
      <w:tr>
        <w:trPr>
          <w:trHeight w:val="20"/>
        </w:trPr>
        <w:tc>
          <w:tcPr>
            <w:tcW w:w="2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298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(Kirkland B. Andrews)</w:t>
            </w:r>
          </w:p>
        </w:tc>
      </w:tr>
      <w:tr>
        <w:trPr>
          <w:trHeight w:val="250"/>
        </w:trPr>
        <w:tc>
          <w:tcPr>
            <w:tcW w:w="2980" w:type="dxa"/>
            <w:vAlign w:val="bottom"/>
          </w:tcPr>
          <w:p>
            <w:pPr>
              <w:spacing w:after="0"/>
              <w:rPr>
                <w:sz w:val="21"/>
                <w:szCs w:val="21"/>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b w:val="1"/>
                <w:bCs w:val="1"/>
                <w:color w:val="auto"/>
              </w:rPr>
              <w:t>EVERGY METRO, INC.</w:t>
            </w:r>
          </w:p>
        </w:tc>
      </w:tr>
      <w:tr>
        <w:trPr>
          <w:trHeight w:val="441"/>
        </w:trPr>
        <w:tc>
          <w:tcPr>
            <w:tcW w:w="720" w:type="dxa"/>
            <w:vAlign w:val="bottom"/>
          </w:tcPr>
          <w:p>
            <w:pPr>
              <w:spacing w:after="0"/>
              <w:rPr>
                <w:sz w:val="20"/>
                <w:szCs w:val="20"/>
                <w:color w:val="auto"/>
              </w:rPr>
            </w:pPr>
            <w:r>
              <w:rPr>
                <w:rFonts w:ascii="Arial" w:cs="Arial" w:eastAsia="Arial" w:hAnsi="Arial"/>
                <w:sz w:val="20"/>
                <w:szCs w:val="20"/>
                <w:color w:val="auto"/>
              </w:rPr>
              <w:t>Dated:</w:t>
            </w:r>
          </w:p>
        </w:tc>
        <w:tc>
          <w:tcPr>
            <w:tcW w:w="2260" w:type="dxa"/>
            <w:vAlign w:val="bottom"/>
          </w:tcPr>
          <w:p>
            <w:pPr>
              <w:ind w:left="180"/>
              <w:spacing w:after="0"/>
              <w:rPr>
                <w:sz w:val="20"/>
                <w:szCs w:val="20"/>
                <w:color w:val="auto"/>
              </w:rPr>
            </w:pPr>
            <w:r>
              <w:rPr>
                <w:rFonts w:ascii="Arial" w:cs="Arial" w:eastAsia="Arial" w:hAnsi="Arial"/>
                <w:sz w:val="20"/>
                <w:szCs w:val="20"/>
                <w:color w:val="auto"/>
              </w:rPr>
              <w:t>May 4, 2022</w:t>
            </w: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By: /s/ Kirkland B. Andrews</w:t>
            </w:r>
          </w:p>
        </w:tc>
      </w:tr>
      <w:tr>
        <w:trPr>
          <w:trHeight w:val="20"/>
        </w:trPr>
        <w:tc>
          <w:tcPr>
            <w:tcW w:w="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7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rPr>
              <w:t>(Kirkland B. Andrews)</w:t>
            </w:r>
          </w:p>
        </w:tc>
      </w:tr>
      <w:tr>
        <w:trPr>
          <w:trHeight w:val="250"/>
        </w:trPr>
        <w:tc>
          <w:tcPr>
            <w:tcW w:w="7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gridSpan w:val="3"/>
          </w:tcPr>
          <w:p>
            <w:pPr>
              <w:ind w:left="108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122" w:right="4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ind w:left="200"/>
              <w:spacing w:after="0"/>
              <w:rPr>
                <w:sz w:val="20"/>
                <w:szCs w:val="20"/>
                <w:color w:val="auto"/>
              </w:rPr>
            </w:pPr>
            <w:r>
              <w:rPr>
                <w:rFonts w:ascii="Arial" w:cs="Arial" w:eastAsia="Arial" w:hAnsi="Arial"/>
                <w:sz w:val="18"/>
                <w:szCs w:val="18"/>
                <w:color w:val="0038FF"/>
              </w:rPr>
              <w:t>May 4, 2022</w:t>
            </w:r>
          </w:p>
        </w:tc>
        <w:tc>
          <w:tcPr>
            <w:tcW w:w="5120" w:type="dxa"/>
            <w:vAlign w:val="bottom"/>
            <w:gridSpan w:val="3"/>
          </w:tcPr>
          <w:p>
            <w:pPr>
              <w:ind w:left="238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120" w:type="dxa"/>
            <w:vAlign w:val="bottom"/>
            <w:gridSpan w:val="3"/>
          </w:tcPr>
          <w:p>
            <w:pPr>
              <w:ind w:left="238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120" w:type="dxa"/>
            <w:vAlign w:val="bottom"/>
            <w:gridSpan w:val="3"/>
          </w:tcPr>
          <w:p>
            <w:pPr>
              <w:ind w:left="23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0038FF"/>
              </w:rPr>
              <w:t>May 4, 2022</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175"/>
        </w:trPr>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May 4, 2022</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May 4,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May 4, 2022</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May 4,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March 31,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4, 2022</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4, 2022</w:t>
            </w:r>
          </w:p>
        </w:tc>
      </w:tr>
    </w:tbl>
    <w:p>
      <w:pPr>
        <w:sectPr>
          <w:pgSz w:w="11900" w:h="16838" w:orient="portrait"/>
          <w:cols w:equalWidth="0" w:num="1">
            <w:col w:w="11240"/>
          </w:cols>
          <w:pgMar w:left="320" w:top="89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March 31,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4, 2022</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4, 2022</w:t>
            </w:r>
          </w:p>
        </w:tc>
      </w:tr>
    </w:tbl>
    <w:p>
      <w:pPr>
        <w:sectPr>
          <w:pgSz w:w="11900" w:h="16838" w:orient="portrait"/>
          <w:cols w:equalWidth="0" w:num="1">
            <w:col w:w="11240"/>
          </w:cols>
          <w:pgMar w:left="320" w:top="89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March 31,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4, 2022</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May 4, 2022</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4"/>
    </w:lvl>
    <w:lvl w:ilvl="1">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
      <w:numFmt w:val="bullet"/>
      <w:start w:val="1"/>
    </w:lvl>
    <w:lvl w:ilvl="1">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Roman"/>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lvl w:ilvl="1">
      <w:lvlJc w:val="left"/>
      <w:lvlText w:val="(%2)"/>
      <w:numFmt w:val="lowerLetter"/>
      <w:start w:val="1"/>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81" Type="http://schemas.openxmlformats.org/officeDocument/2006/relationships/hyperlink" Target="http://www.sec.gov/Archives/edgar/data/1711269/000119312522066504/d308127dex41.htm" TargetMode="External"/><Relationship Id="rId82" Type="http://schemas.openxmlformats.org/officeDocument/2006/relationships/hyperlink" Target="http://www.sec.gov/Archives/edgar/data/1711269/000119312522066504/d308127dex42.htm" TargetMode="External"/><Relationship Id="rId83" Type="http://schemas.openxmlformats.org/officeDocument/2006/relationships/hyperlink" Target="http://www.sec.gov/Archives/edgar/data/0001711269/000119312522058052/d524870dex101.htm" TargetMode="External"/><Relationship Id="rId84" Type="http://schemas.openxmlformats.org/officeDocument/2006/relationships/hyperlink" Target="http://www.sec.gov/Archives/edgar/data/1711269/000171126922000008/evrg12312021-ex1019rsuagre.htm" TargetMode="External"/><Relationship Id="rId85" Type="http://schemas.openxmlformats.org/officeDocument/2006/relationships/hyperlink" Target="http://www.sec.gov/Archives/edgar/data/1711269/000171126922000008/evrg12312021-ex1020rsuagre.htm" TargetMode="External"/><Relationship Id="rId86" Type="http://schemas.openxmlformats.org/officeDocument/2006/relationships/hyperlink" Target="http://www.sec.gov/Archives/edgar/data/1711269/000171126922000008/evrg12312021-ex1021executi.htm" TargetMode="External"/><Relationship Id="rId87" Type="http://schemas.openxmlformats.org/officeDocument/2006/relationships/hyperlink" Target="http://www.sec.gov/Archives/edgar/data/1711269/000114036122010677/edge20001922x1_def14a.htm#tA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2022-05-05T05:32:25Z</dcterms:created>
  <dcterms:modified xsi:type="dcterms:W3CDTF">2022-05-05T05:32:25Z</dcterms:modified>
</cp:coreProperties>
</file>