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jc w:val="center"/>
        <w:ind w:left="4580" w:right="2240" w:hanging="2337"/>
        <w:spacing w:after="0" w:line="277" w:lineRule="auto"/>
        <w:tabs>
          <w:tab w:leader="none" w:pos="244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June 30, 2021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580" w:right="2220" w:hanging="2346"/>
        <w:spacing w:after="0" w:line="277" w:lineRule="auto"/>
        <w:tabs>
          <w:tab w:leader="none" w:pos="243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151765</wp:posOffset>
            </wp:positionV>
            <wp:extent cx="258000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8000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2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6"/>
              </w:rPr>
              <w:t>Commission</w:t>
            </w: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state of incorporation, address of principal</w:t>
            </w:r>
          </w:p>
        </w:tc>
        <w:tc>
          <w:tcPr>
            <w:tcW w:w="180" w:type="dxa"/>
            <w:vAlign w:val="bottom"/>
          </w:tcPr>
          <w:p>
            <w:pPr>
              <w:spacing w:after="0"/>
              <w:rPr>
                <w:sz w:val="19"/>
                <w:szCs w:val="19"/>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3"/>
              </w:rPr>
              <w:t>I.R.S. Employer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right="760"/>
              <w:spacing w:after="0"/>
              <w:rPr>
                <w:sz w:val="20"/>
                <w:szCs w:val="20"/>
                <w:color w:val="auto"/>
              </w:rPr>
            </w:pPr>
            <w:r>
              <w:rPr>
                <w:rFonts w:ascii="Arial" w:cs="Arial" w:eastAsia="Arial" w:hAnsi="Arial"/>
                <w:sz w:val="18"/>
                <w:szCs w:val="18"/>
                <w:b w:val="1"/>
                <w:bCs w:val="1"/>
                <w:color w:val="auto"/>
                <w:w w:val="94"/>
              </w:rPr>
              <w:t>File Number</w:t>
            </w:r>
          </w:p>
        </w:tc>
        <w:tc>
          <w:tcPr>
            <w:tcW w:w="120" w:type="dxa"/>
            <w:vAlign w:val="bottom"/>
          </w:tcPr>
          <w:p>
            <w:pPr>
              <w:spacing w:after="0"/>
              <w:rPr>
                <w:sz w:val="20"/>
                <w:szCs w:val="20"/>
                <w:color w:val="auto"/>
              </w:rPr>
            </w:pPr>
          </w:p>
        </w:tc>
        <w:tc>
          <w:tcPr>
            <w:tcW w:w="52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executive offices and telephone number</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8"/>
                <w:szCs w:val="18"/>
                <w:b w:val="1"/>
                <w:bCs w:val="1"/>
                <w:color w:val="auto"/>
                <w:w w:val="92"/>
              </w:rPr>
              <w:t>Identification Number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001-38515</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b w:val="1"/>
                <w:bCs w:val="1"/>
                <w:color w:val="auto"/>
              </w:rPr>
              <w:t>EVERGY,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82-2733395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001-03523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rPr>
              <w:t>EVERGY KANSAS CENTRAL,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48-0290150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(a Kansas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818 South Kansas Avenue</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Topeka, Kansas 66612</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(785) 575-6300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120" w:type="dxa"/>
            <w:vAlign w:val="bottom"/>
            <w:gridSpan w:val="3"/>
          </w:tcPr>
          <w:p>
            <w:pPr>
              <w:jc w:val="center"/>
              <w:ind w:left="690"/>
              <w:spacing w:after="0"/>
              <w:rPr>
                <w:sz w:val="20"/>
                <w:szCs w:val="20"/>
                <w:color w:val="auto"/>
              </w:rPr>
            </w:pPr>
            <w:r>
              <w:rPr>
                <w:rFonts w:ascii="Arial" w:cs="Arial" w:eastAsia="Arial" w:hAnsi="Arial"/>
                <w:sz w:val="18"/>
                <w:szCs w:val="18"/>
                <w:color w:val="auto"/>
                <w:w w:val="90"/>
              </w:rPr>
              <w:t>000-51873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rPr>
              <w:t>EVERGY METRO, INC.</w:t>
            </w:r>
          </w:p>
        </w:tc>
        <w:tc>
          <w:tcPr>
            <w:tcW w:w="2700" w:type="dxa"/>
            <w:vAlign w:val="bottom"/>
            <w:gridSpan w:val="4"/>
          </w:tcPr>
          <w:p>
            <w:pPr>
              <w:jc w:val="center"/>
              <w:ind w:left="90"/>
              <w:spacing w:after="0"/>
              <w:rPr>
                <w:sz w:val="20"/>
                <w:szCs w:val="20"/>
                <w:color w:val="auto"/>
              </w:rPr>
            </w:pPr>
            <w:r>
              <w:rPr>
                <w:rFonts w:ascii="Arial" w:cs="Arial" w:eastAsia="Arial" w:hAnsi="Arial"/>
                <w:sz w:val="18"/>
                <w:szCs w:val="18"/>
                <w:color w:val="auto"/>
                <w:w w:val="91"/>
              </w:rPr>
              <w:t>44-0308720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(a Missouri corporation)</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40" w:type="dxa"/>
            <w:vAlign w:val="bottom"/>
            <w:gridSpan w:val="3"/>
          </w:tcPr>
          <w:p>
            <w:pPr>
              <w:jc w:val="center"/>
              <w:ind w:right="2000"/>
              <w:spacing w:after="0"/>
              <w:rPr>
                <w:sz w:val="20"/>
                <w:szCs w:val="20"/>
                <w:color w:val="auto"/>
              </w:rPr>
            </w:pPr>
            <w:r>
              <w:rPr>
                <w:rFonts w:ascii="Arial" w:cs="Arial" w:eastAsia="Arial" w:hAnsi="Arial"/>
                <w:sz w:val="18"/>
                <w:szCs w:val="18"/>
                <w:color w:val="auto"/>
                <w:w w:val="90"/>
              </w:rPr>
              <w:t>1200 Main Street</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4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Kansas City, Missouri 64105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left="1830"/>
              <w:spacing w:after="0"/>
              <w:rPr>
                <w:sz w:val="20"/>
                <w:szCs w:val="20"/>
                <w:color w:val="auto"/>
              </w:rPr>
            </w:pPr>
            <w:r>
              <w:rPr>
                <w:rFonts w:ascii="Arial" w:cs="Arial" w:eastAsia="Arial" w:hAnsi="Arial"/>
                <w:sz w:val="18"/>
                <w:szCs w:val="18"/>
                <w:color w:val="auto"/>
                <w:w w:val="90"/>
              </w:rPr>
              <w:t>(816) 556-2200</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340" w:type="dxa"/>
            <w:vAlign w:val="bottom"/>
            <w:gridSpan w:val="4"/>
          </w:tcPr>
          <w:p>
            <w:pPr>
              <w:ind w:left="540"/>
              <w:spacing w:after="0"/>
              <w:rPr>
                <w:sz w:val="20"/>
                <w:szCs w:val="20"/>
                <w:color w:val="auto"/>
              </w:rPr>
            </w:pPr>
            <w:r>
              <w:rPr>
                <w:rFonts w:ascii="Arial" w:cs="Arial" w:eastAsia="Arial" w:hAnsi="Arial"/>
                <w:sz w:val="18"/>
                <w:szCs w:val="18"/>
                <w:b w:val="1"/>
                <w:bCs w:val="1"/>
                <w:color w:val="auto"/>
                <w:w w:val="96"/>
              </w:rPr>
              <w:t>Securities registered pursuant to Section 12(b) of the Act:</w:t>
            </w:r>
          </w:p>
        </w:tc>
        <w:tc>
          <w:tcPr>
            <w:tcW w:w="180" w:type="dxa"/>
            <w:vAlign w:val="bottom"/>
          </w:tcPr>
          <w:p>
            <w:pPr>
              <w:spacing w:after="0"/>
              <w:rPr>
                <w:sz w:val="22"/>
                <w:szCs w:val="22"/>
                <w:color w:val="auto"/>
              </w:rPr>
            </w:pPr>
          </w:p>
        </w:tc>
        <w:tc>
          <w:tcPr>
            <w:tcW w:w="2720" w:type="dxa"/>
            <w:vAlign w:val="bottom"/>
            <w:gridSpan w:val="5"/>
            <w:vMerge w:val="restart"/>
          </w:tcPr>
          <w:p>
            <w:pPr>
              <w:jc w:val="center"/>
              <w:ind w:right="200"/>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1900" w:type="dxa"/>
            <w:vAlign w:val="bottom"/>
          </w:tcPr>
          <w:p>
            <w:pPr>
              <w:spacing w:after="0"/>
              <w:rPr>
                <w:sz w:val="16"/>
                <w:szCs w:val="16"/>
                <w:color w:val="auto"/>
              </w:rPr>
            </w:pPr>
          </w:p>
        </w:tc>
        <w:tc>
          <w:tcPr>
            <w:tcW w:w="3440" w:type="dxa"/>
            <w:vAlign w:val="bottom"/>
            <w:gridSpan w:val="3"/>
            <w:vMerge w:val="restart"/>
          </w:tcPr>
          <w:p>
            <w:pPr>
              <w:jc w:val="center"/>
              <w:ind w:right="2020"/>
              <w:spacing w:after="0"/>
              <w:rPr>
                <w:sz w:val="20"/>
                <w:szCs w:val="20"/>
                <w:color w:val="auto"/>
              </w:rPr>
            </w:pPr>
            <w:r>
              <w:rPr>
                <w:rFonts w:ascii="Arial" w:cs="Arial" w:eastAsia="Arial" w:hAnsi="Arial"/>
                <w:sz w:val="18"/>
                <w:szCs w:val="18"/>
                <w:b w:val="1"/>
                <w:bCs w:val="1"/>
                <w:color w:val="auto"/>
                <w:w w:val="89"/>
              </w:rPr>
              <w:t>Trading Symbol(s)</w:t>
            </w:r>
          </w:p>
        </w:tc>
        <w:tc>
          <w:tcPr>
            <w:tcW w:w="180" w:type="dxa"/>
            <w:vAlign w:val="bottom"/>
          </w:tcPr>
          <w:p>
            <w:pPr>
              <w:spacing w:after="0"/>
              <w:rPr>
                <w:sz w:val="16"/>
                <w:szCs w:val="16"/>
                <w:color w:val="auto"/>
              </w:rPr>
            </w:pPr>
          </w:p>
        </w:tc>
        <w:tc>
          <w:tcPr>
            <w:tcW w:w="27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gridSpan w:val="4"/>
            <w:vMerge w:val="continue"/>
          </w:tcPr>
          <w:p>
            <w:pPr>
              <w:spacing w:after="0"/>
              <w:rPr>
                <w:sz w:val="5"/>
                <w:szCs w:val="5"/>
                <w:color w:val="auto"/>
              </w:rPr>
            </w:pPr>
          </w:p>
        </w:tc>
        <w:tc>
          <w:tcPr>
            <w:tcW w:w="1900" w:type="dxa"/>
            <w:vAlign w:val="bottom"/>
          </w:tcPr>
          <w:p>
            <w:pPr>
              <w:spacing w:after="0"/>
              <w:rPr>
                <w:sz w:val="5"/>
                <w:szCs w:val="5"/>
                <w:color w:val="auto"/>
              </w:rPr>
            </w:pPr>
          </w:p>
        </w:tc>
        <w:tc>
          <w:tcPr>
            <w:tcW w:w="34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Borders>
              <w:top w:val="single" w:sz="8" w:color="auto"/>
            </w:tcBorders>
            <w:vMerge w:val="restart"/>
          </w:tcPr>
          <w:p>
            <w:pPr>
              <w:spacing w:after="0"/>
              <w:rPr>
                <w:sz w:val="5"/>
                <w:szCs w:val="5"/>
                <w:color w:val="auto"/>
              </w:rPr>
            </w:pPr>
          </w:p>
        </w:tc>
        <w:tc>
          <w:tcPr>
            <w:tcW w:w="1640" w:type="dxa"/>
            <w:vAlign w:val="bottom"/>
            <w:tcBorders>
              <w:top w:val="single" w:sz="8" w:color="auto"/>
            </w:tcBorders>
            <w:gridSpan w:val="2"/>
            <w:vMerge w:val="restart"/>
          </w:tcPr>
          <w:p>
            <w:pPr>
              <w:jc w:val="center"/>
              <w:ind w:right="880"/>
              <w:spacing w:after="0" w:line="156" w:lineRule="exact"/>
              <w:rPr>
                <w:sz w:val="20"/>
                <w:szCs w:val="20"/>
                <w:color w:val="auto"/>
              </w:rPr>
            </w:pPr>
            <w:r>
              <w:rPr>
                <w:rFonts w:ascii="Arial" w:cs="Arial" w:eastAsia="Arial" w:hAnsi="Arial"/>
                <w:sz w:val="18"/>
                <w:szCs w:val="18"/>
                <w:b w:val="1"/>
                <w:bCs w:val="1"/>
                <w:color w:val="auto"/>
                <w:w w:val="87"/>
              </w:rPr>
              <w:t>registered</w:t>
            </w:r>
          </w:p>
        </w:tc>
        <w:tc>
          <w:tcPr>
            <w:tcW w:w="200" w:type="dxa"/>
            <w:vAlign w:val="bottom"/>
            <w:gridSpan w:val="2"/>
            <w:vMerge w:val="restart"/>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Borders>
              <w:top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420" w:type="dxa"/>
            <w:vAlign w:val="bottom"/>
            <w:tcBorders>
              <w:top w:val="single" w:sz="8" w:color="auto"/>
            </w:tcBorders>
          </w:tcPr>
          <w:p>
            <w:pPr>
              <w:spacing w:after="0"/>
              <w:rPr>
                <w:sz w:val="6"/>
                <w:szCs w:val="6"/>
                <w:color w:val="auto"/>
              </w:rPr>
            </w:pPr>
          </w:p>
        </w:tc>
        <w:tc>
          <w:tcPr>
            <w:tcW w:w="1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top w:val="single" w:sz="8" w:color="auto"/>
            </w:tcBorders>
            <w:vMerge w:val="continue"/>
          </w:tcPr>
          <w:p>
            <w:pPr>
              <w:spacing w:after="0"/>
              <w:rPr>
                <w:sz w:val="6"/>
                <w:szCs w:val="6"/>
                <w:color w:val="auto"/>
              </w:rPr>
            </w:pPr>
          </w:p>
        </w:tc>
        <w:tc>
          <w:tcPr>
            <w:tcW w:w="1640" w:type="dxa"/>
            <w:vAlign w:val="bottom"/>
            <w:tcBorders>
              <w:top w:val="single" w:sz="8" w:color="auto"/>
            </w:tcBorders>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gridSpan w:val="4"/>
          </w:tcPr>
          <w:p>
            <w:pPr>
              <w:jc w:val="center"/>
              <w:ind w:right="120"/>
              <w:spacing w:after="0"/>
              <w:rPr>
                <w:sz w:val="20"/>
                <w:szCs w:val="20"/>
                <w:color w:val="auto"/>
              </w:rPr>
            </w:pPr>
            <w:r>
              <w:rPr>
                <w:rFonts w:ascii="Arial" w:cs="Arial" w:eastAsia="Arial" w:hAnsi="Arial"/>
                <w:sz w:val="18"/>
                <w:szCs w:val="18"/>
                <w:color w:val="auto"/>
                <w:w w:val="91"/>
              </w:rPr>
              <w:t>Evergy, Inc. common stock</w:t>
            </w:r>
          </w:p>
        </w:tc>
        <w:tc>
          <w:tcPr>
            <w:tcW w:w="1900" w:type="dxa"/>
            <w:vAlign w:val="bottom"/>
          </w:tcPr>
          <w:p>
            <w:pPr>
              <w:spacing w:after="0"/>
              <w:rPr>
                <w:sz w:val="22"/>
                <w:szCs w:val="22"/>
                <w:color w:val="auto"/>
              </w:rPr>
            </w:pPr>
          </w:p>
        </w:tc>
        <w:tc>
          <w:tcPr>
            <w:tcW w:w="3440" w:type="dxa"/>
            <w:vAlign w:val="bottom"/>
            <w:gridSpan w:val="3"/>
          </w:tcPr>
          <w:p>
            <w:pPr>
              <w:jc w:val="center"/>
              <w:ind w:right="2020"/>
              <w:spacing w:after="0"/>
              <w:rPr>
                <w:sz w:val="20"/>
                <w:szCs w:val="20"/>
                <w:color w:val="auto"/>
              </w:rPr>
            </w:pPr>
            <w:r>
              <w:rPr>
                <w:rFonts w:ascii="Arial" w:cs="Arial" w:eastAsia="Arial" w:hAnsi="Arial"/>
                <w:sz w:val="18"/>
                <w:szCs w:val="18"/>
                <w:color w:val="auto"/>
                <w:w w:val="97"/>
              </w:rPr>
              <w:t>EVRG</w:t>
            </w:r>
          </w:p>
        </w:tc>
        <w:tc>
          <w:tcPr>
            <w:tcW w:w="180" w:type="dxa"/>
            <w:vAlign w:val="bottom"/>
          </w:tcPr>
          <w:p>
            <w:pPr>
              <w:spacing w:after="0"/>
              <w:rPr>
                <w:sz w:val="22"/>
                <w:szCs w:val="22"/>
                <w:color w:val="auto"/>
              </w:rPr>
            </w:pPr>
          </w:p>
        </w:tc>
        <w:tc>
          <w:tcPr>
            <w:tcW w:w="2720" w:type="dxa"/>
            <w:vAlign w:val="bottom"/>
            <w:gridSpan w:val="5"/>
          </w:tcPr>
          <w:p>
            <w:pPr>
              <w:jc w:val="center"/>
              <w:ind w:right="200"/>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1019"/>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900" w:type="dxa"/>
            <w:vAlign w:val="bottom"/>
            <w:tcBorders>
              <w:top w:val="single" w:sz="8" w:color="auto"/>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sectPr>
      </w:pPr>
    </w:p>
    <w:bookmarkStart w:id="1" w:name="page2"/>
    <w:bookmarkEnd w:id="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right="340"/>
        <w:spacing w:after="0" w:line="23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360"/>
        <w:spacing w:after="0" w:line="27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80" w:type="dxa"/>
            <w:vAlign w:val="bottom"/>
          </w:tcPr>
          <w:p>
            <w:pPr>
              <w:ind w:left="960"/>
              <w:spacing w:after="0"/>
              <w:rPr>
                <w:sz w:val="20"/>
                <w:szCs w:val="20"/>
                <w:color w:val="auto"/>
              </w:rPr>
            </w:pPr>
            <w:r>
              <w:rPr>
                <w:rFonts w:ascii="Arial" w:cs="Arial" w:eastAsia="Arial" w:hAnsi="Arial"/>
                <w:sz w:val="16"/>
                <w:szCs w:val="16"/>
                <w:color w:val="auto"/>
              </w:rPr>
              <w:t>Yes</w:t>
            </w:r>
          </w:p>
        </w:tc>
        <w:tc>
          <w:tcPr>
            <w:tcW w:w="700" w:type="dxa"/>
            <w:vAlign w:val="bottom"/>
          </w:tcPr>
          <w:p>
            <w:pPr>
              <w:ind w:left="200"/>
              <w:spacing w:after="0"/>
              <w:rPr>
                <w:sz w:val="20"/>
                <w:szCs w:val="20"/>
                <w:color w:val="auto"/>
              </w:rPr>
            </w:pPr>
            <w:r>
              <w:rPr>
                <w:rFonts w:ascii="Arial" w:cs="Arial" w:eastAsia="Arial" w:hAnsi="Arial"/>
                <w:sz w:val="18"/>
                <w:szCs w:val="18"/>
                <w:color w:val="auto"/>
              </w:rPr>
              <w:t>x</w:t>
            </w:r>
          </w:p>
        </w:tc>
        <w:tc>
          <w:tcPr>
            <w:tcW w:w="760" w:type="dxa"/>
            <w:vAlign w:val="bottom"/>
          </w:tcPr>
          <w:p>
            <w:pPr>
              <w:ind w:left="4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0"/>
          <w:szCs w:val="20"/>
          <w:color w:val="auto"/>
        </w:rPr>
      </w:pPr>
    </w:p>
    <w:p>
      <w:pPr>
        <w:ind w:left="20" w:right="12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color w:val="auto"/>
              </w:rPr>
              <w:t>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Kansas Central,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80" w:type="dxa"/>
            <w:vAlign w:val="bottom"/>
            <w:vMerge w:val="restart"/>
          </w:tcPr>
          <w:p>
            <w:pPr>
              <w:spacing w:after="0"/>
              <w:rPr>
                <w:sz w:val="20"/>
                <w:szCs w:val="20"/>
                <w:color w:val="auto"/>
              </w:rPr>
            </w:pPr>
            <w:r>
              <w:rPr>
                <w:rFonts w:ascii="Arial" w:cs="Arial" w:eastAsia="Arial" w:hAnsi="Arial"/>
                <w:sz w:val="16"/>
                <w:szCs w:val="16"/>
                <w:color w:val="auto"/>
              </w:rPr>
              <w:t>Evergy Metro, Inc.</w:t>
            </w: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0"/>
              </w:rPr>
              <w:t>Large Accelerated</w:t>
            </w:r>
          </w:p>
        </w:tc>
        <w:tc>
          <w:tcPr>
            <w:tcW w:w="1560" w:type="dxa"/>
            <w:vAlign w:val="bottom"/>
            <w:vMerge w:val="restart"/>
          </w:tcPr>
          <w:p>
            <w:pPr>
              <w:jc w:val="right"/>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w:t>
            </w:r>
          </w:p>
        </w:tc>
        <w:tc>
          <w:tcPr>
            <w:tcW w:w="32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w w:val="90"/>
              </w:rPr>
              <w:t>Non-accelerated</w:t>
            </w:r>
          </w:p>
        </w:tc>
        <w:tc>
          <w:tcPr>
            <w:tcW w:w="380" w:type="dxa"/>
            <w:vAlign w:val="bottom"/>
            <w:vMerge w:val="restart"/>
          </w:tcPr>
          <w:p>
            <w:pPr>
              <w:jc w:val="center"/>
              <w:spacing w:after="0"/>
              <w:rPr>
                <w:sz w:val="20"/>
                <w:szCs w:val="20"/>
                <w:color w:val="auto"/>
              </w:rPr>
            </w:pPr>
            <w:r>
              <w:rPr>
                <w:rFonts w:ascii="Arial" w:cs="Arial" w:eastAsia="Arial" w:hAnsi="Arial"/>
                <w:sz w:val="18"/>
                <w:szCs w:val="18"/>
                <w:color w:val="auto"/>
                <w:w w:val="88"/>
              </w:rPr>
              <w:t>x</w:t>
            </w:r>
          </w:p>
        </w:tc>
        <w:tc>
          <w:tcPr>
            <w:tcW w:w="1420" w:type="dxa"/>
            <w:vAlign w:val="bottom"/>
          </w:tcPr>
          <w:p>
            <w:pPr>
              <w:jc w:val="center"/>
              <w:spacing w:after="0"/>
              <w:rPr>
                <w:sz w:val="20"/>
                <w:szCs w:val="20"/>
                <w:color w:val="auto"/>
              </w:rPr>
            </w:pPr>
            <w:r>
              <w:rPr>
                <w:rFonts w:ascii="Arial" w:cs="Arial" w:eastAsia="Arial" w:hAnsi="Arial"/>
                <w:sz w:val="16"/>
                <w:szCs w:val="16"/>
                <w:color w:val="auto"/>
                <w:w w:val="92"/>
              </w:rPr>
              <w:t>Smaller Reporting</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60" w:type="dxa"/>
            <w:vAlign w:val="bottom"/>
          </w:tcPr>
          <w:p>
            <w:pPr>
              <w:jc w:val="center"/>
              <w:spacing w:after="0"/>
              <w:rPr>
                <w:sz w:val="20"/>
                <w:szCs w:val="20"/>
                <w:color w:val="auto"/>
              </w:rPr>
            </w:pPr>
            <w:r>
              <w:rPr>
                <w:rFonts w:ascii="Arial" w:cs="Arial" w:eastAsia="Arial" w:hAnsi="Arial"/>
                <w:sz w:val="16"/>
                <w:szCs w:val="16"/>
                <w:color w:val="auto"/>
                <w:w w:val="94"/>
              </w:rPr>
              <w:t>Emerging Growth</w:t>
            </w:r>
          </w:p>
        </w:tc>
        <w:tc>
          <w:tcPr>
            <w:tcW w:w="240" w:type="dxa"/>
            <w:vAlign w:val="bottom"/>
            <w:vMerge w:val="restart"/>
          </w:tcPr>
          <w:p>
            <w:pPr>
              <w:ind w:left="1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2380" w:type="dxa"/>
            <w:vAlign w:val="bottom"/>
            <w:vMerge w:val="continue"/>
          </w:tcPr>
          <w:p>
            <w:pPr>
              <w:spacing w:after="0"/>
              <w:rPr>
                <w:sz w:val="19"/>
                <w:szCs w:val="19"/>
                <w:color w:val="auto"/>
              </w:rPr>
            </w:pPr>
          </w:p>
        </w:tc>
        <w:tc>
          <w:tcPr>
            <w:tcW w:w="1840" w:type="dxa"/>
            <w:vAlign w:val="bottom"/>
          </w:tcPr>
          <w:p>
            <w:pPr>
              <w:jc w:val="center"/>
              <w:ind w:left="339"/>
              <w:spacing w:after="0"/>
              <w:rPr>
                <w:sz w:val="20"/>
                <w:szCs w:val="20"/>
                <w:color w:val="auto"/>
              </w:rPr>
            </w:pPr>
            <w:r>
              <w:rPr>
                <w:rFonts w:ascii="Arial" w:cs="Arial" w:eastAsia="Arial" w:hAnsi="Arial"/>
                <w:sz w:val="16"/>
                <w:szCs w:val="16"/>
                <w:color w:val="auto"/>
                <w:w w:val="96"/>
              </w:rPr>
              <w:t>Filer</w:t>
            </w:r>
          </w:p>
        </w:tc>
        <w:tc>
          <w:tcPr>
            <w:tcW w:w="156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Filer</w:t>
            </w:r>
          </w:p>
        </w:tc>
        <w:tc>
          <w:tcPr>
            <w:tcW w:w="380" w:type="dxa"/>
            <w:vAlign w:val="bottom"/>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360" w:type="dxa"/>
            <w:vAlign w:val="bottom"/>
            <w:vMerge w:val="continue"/>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20" w:right="54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w:t>
      </w:r>
    </w:p>
    <w:p>
      <w:pPr>
        <w:sectPr>
          <w:pgSz w:w="11900" w:h="16838" w:orient="portrait"/>
          <w:cols w:equalWidth="0" w:num="1">
            <w:col w:w="11220"/>
          </w:cols>
          <w:pgMar w:left="320" w:top="121" w:right="359" w:bottom="1440" w:gutter="0" w:footer="0" w:header="0"/>
        </w:sectPr>
      </w:pPr>
    </w:p>
    <w:p>
      <w:pPr>
        <w:spacing w:after="0" w:line="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Inc.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Evergy Kansas Central,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spacing w:after="0" w:line="51" w:lineRule="exact"/>
        <w:rPr>
          <w:sz w:val="20"/>
          <w:szCs w:val="20"/>
          <w:color w:val="auto"/>
        </w:rPr>
      </w:pPr>
    </w:p>
    <w:p>
      <w:pPr>
        <w:ind w:left="20"/>
        <w:spacing w:after="0"/>
        <w:rPr>
          <w:sz w:val="20"/>
          <w:szCs w:val="20"/>
          <w:color w:val="auto"/>
        </w:rPr>
      </w:pPr>
      <w:r>
        <w:rPr>
          <w:rFonts w:ascii="Arial" w:cs="Arial" w:eastAsia="Arial" w:hAnsi="Arial"/>
          <w:sz w:val="15"/>
          <w:szCs w:val="15"/>
          <w:color w:val="auto"/>
        </w:rPr>
        <w:t>Evergy Metro, Inc.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1" w:lineRule="exact"/>
        <w:rPr>
          <w:sz w:val="20"/>
          <w:szCs w:val="20"/>
          <w:color w:val="auto"/>
        </w:rPr>
      </w:pPr>
    </w:p>
    <w:p>
      <w:pPr>
        <w:sectPr>
          <w:pgSz w:w="11900" w:h="16838" w:orient="portrait"/>
          <w:cols w:equalWidth="0" w:num="2">
            <w:col w:w="2460" w:space="720"/>
            <w:col w:w="8040"/>
          </w:cols>
          <w:pgMar w:left="320" w:top="121"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780" w:type="dxa"/>
            <w:vAlign w:val="bottom"/>
          </w:tcPr>
          <w:p>
            <w:pPr>
              <w:spacing w:after="0"/>
              <w:rPr>
                <w:sz w:val="20"/>
                <w:szCs w:val="20"/>
                <w:color w:val="auto"/>
              </w:rPr>
            </w:pPr>
            <w:r>
              <w:rPr>
                <w:rFonts w:ascii="Arial" w:cs="Arial" w:eastAsia="Arial" w:hAnsi="Arial"/>
                <w:sz w:val="16"/>
                <w:szCs w:val="16"/>
                <w:color w:val="auto"/>
              </w:rPr>
              <w:t>Evergy,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r>
        <w:trPr>
          <w:trHeight w:val="283"/>
        </w:trPr>
        <w:tc>
          <w:tcPr>
            <w:tcW w:w="2780" w:type="dxa"/>
            <w:vAlign w:val="bottom"/>
          </w:tcPr>
          <w:p>
            <w:pPr>
              <w:spacing w:after="0"/>
              <w:rPr>
                <w:sz w:val="20"/>
                <w:szCs w:val="20"/>
                <w:color w:val="auto"/>
              </w:rPr>
            </w:pPr>
            <w:r>
              <w:rPr>
                <w:rFonts w:ascii="Arial" w:cs="Arial" w:eastAsia="Arial" w:hAnsi="Arial"/>
                <w:sz w:val="16"/>
                <w:szCs w:val="16"/>
                <w:color w:val="auto"/>
              </w:rPr>
              <w:t>Evergy Metro, Inc.</w:t>
            </w:r>
          </w:p>
        </w:tc>
        <w:tc>
          <w:tcPr>
            <w:tcW w:w="1360" w:type="dxa"/>
            <w:vAlign w:val="bottom"/>
          </w:tcPr>
          <w:p>
            <w:pPr>
              <w:ind w:left="960"/>
              <w:spacing w:after="0"/>
              <w:rPr>
                <w:sz w:val="20"/>
                <w:szCs w:val="20"/>
                <w:color w:val="auto"/>
              </w:rPr>
            </w:pPr>
            <w:r>
              <w:rPr>
                <w:rFonts w:ascii="Arial" w:cs="Arial" w:eastAsia="Arial" w:hAnsi="Arial"/>
                <w:sz w:val="16"/>
                <w:szCs w:val="16"/>
                <w:color w:val="auto"/>
              </w:rPr>
              <w:t>Yes</w:t>
            </w:r>
          </w:p>
        </w:tc>
        <w:tc>
          <w:tcPr>
            <w:tcW w:w="7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800" w:type="dxa"/>
            <w:vAlign w:val="bottom"/>
          </w:tcPr>
          <w:p>
            <w:pPr>
              <w:ind w:left="420"/>
              <w:spacing w:after="0"/>
              <w:rPr>
                <w:sz w:val="20"/>
                <w:szCs w:val="20"/>
                <w:color w:val="auto"/>
              </w:rPr>
            </w:pPr>
            <w:r>
              <w:rPr>
                <w:rFonts w:ascii="Arial" w:cs="Arial" w:eastAsia="Arial" w:hAnsi="Arial"/>
                <w:sz w:val="16"/>
                <w:szCs w:val="16"/>
                <w:color w:val="auto"/>
              </w:rPr>
              <w:t>No</w:t>
            </w:r>
          </w:p>
        </w:tc>
        <w:tc>
          <w:tcPr>
            <w:tcW w:w="280" w:type="dxa"/>
            <w:vAlign w:val="bottom"/>
          </w:tcPr>
          <w:p>
            <w:pPr>
              <w:ind w:left="180"/>
              <w:spacing w:after="0"/>
              <w:rPr>
                <w:sz w:val="20"/>
                <w:szCs w:val="20"/>
                <w:color w:val="auto"/>
              </w:rPr>
            </w:pPr>
            <w:r>
              <w:rPr>
                <w:rFonts w:ascii="Arial" w:cs="Arial" w:eastAsia="Arial" w:hAnsi="Arial"/>
                <w:sz w:val="18"/>
                <w:szCs w:val="18"/>
                <w:color w:val="auto"/>
                <w:w w:val="88"/>
              </w:rPr>
              <w:t>x</w:t>
            </w:r>
          </w:p>
        </w:tc>
      </w:tr>
    </w:tbl>
    <w:p>
      <w:pPr>
        <w:spacing w:after="0" w:line="12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On July 30, 2021, Evergy, Inc. had 229,297,836 shares of common stock outstanding. On July 30, 2021, Evergy Metro, Inc. and Evergy Kansas Central, Inc. each had one share of common stock outstanding and held by Evergy, Inc.</w:t>
      </w:r>
    </w:p>
    <w:p>
      <w:pPr>
        <w:spacing w:after="0" w:line="155" w:lineRule="exact"/>
        <w:rPr>
          <w:sz w:val="20"/>
          <w:szCs w:val="20"/>
          <w:color w:val="auto"/>
        </w:rPr>
      </w:pPr>
    </w:p>
    <w:p>
      <w:pPr>
        <w:ind w:left="20" w:right="580"/>
        <w:spacing w:after="0" w:line="245" w:lineRule="auto"/>
        <w:rPr>
          <w:sz w:val="20"/>
          <w:szCs w:val="20"/>
          <w:color w:val="auto"/>
        </w:rPr>
      </w:pPr>
      <w:r>
        <w:rPr>
          <w:rFonts w:ascii="Arial" w:cs="Arial" w:eastAsia="Arial" w:hAnsi="Arial"/>
          <w:sz w:val="16"/>
          <w:szCs w:val="16"/>
          <w:b w:val="1"/>
          <w:bCs w:val="1"/>
          <w:color w:val="auto"/>
        </w:rPr>
        <w:t>Evergy Kansas Central, Inc. and Evergy Metro, Inc. meet the conditions set forth in General Instruction (H)(1)(a) and (b) of Form 10-Q and are therefore filing this Form 10-Q with the reduced disclosure format.</w:t>
      </w:r>
    </w:p>
    <w:p>
      <w:pPr>
        <w:spacing w:after="0" w:line="22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This combined Quarterly Report on Form 10-Q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pacing w:after="0" w:line="19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This report should be read in its entirety. No one section of the report deals with all aspects of the subject matter. It should be read in conjunction with the consolidated financial statements and related notes and with the management's discussion and analysis of financial condition and results of operations included in the 2020 Form 10-K for each of Evergy, Evergy Kansas Central and Evergy Metro.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 w:name="page3"/>
    <w:bookmarkEnd w:id="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20" w:type="dxa"/>
            <w:vAlign w:val="bottom"/>
            <w:gridSpan w:val="11"/>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1920" w:type="dxa"/>
            <w:vAlign w:val="bottom"/>
            <w:gridSpan w:val="5"/>
            <w:vMerge w:val="restart"/>
          </w:tcPr>
          <w:p>
            <w:pPr>
              <w:ind w:left="38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240" w:type="dxa"/>
            <w:vAlign w:val="bottom"/>
            <w:gridSpan w:val="24"/>
          </w:tcPr>
          <w:p>
            <w:pPr>
              <w:spacing w:after="0"/>
              <w:rPr>
                <w:rFonts w:ascii="Arial" w:cs="Arial" w:eastAsia="Arial" w:hAnsi="Arial"/>
                <w:sz w:val="18"/>
                <w:szCs w:val="18"/>
                <w:color w:val="0000FF"/>
                <w:w w:val="91"/>
              </w:rPr>
            </w:pPr>
            <w:hyperlink w:anchor="page3">
              <w:r>
                <w:rPr>
                  <w:rFonts w:ascii="Arial" w:cs="Arial" w:eastAsia="Arial" w:hAnsi="Arial"/>
                  <w:sz w:val="18"/>
                  <w:szCs w:val="18"/>
                  <w:color w:val="0000FF"/>
                  <w:w w:val="91"/>
                </w:rPr>
                <w:t>Cautionary Statements Regarding Certain Forward-Looking Information</w:t>
              </w:r>
            </w:hyperlink>
          </w:p>
        </w:tc>
        <w:tc>
          <w:tcPr>
            <w:tcW w:w="4020" w:type="dxa"/>
            <w:vAlign w:val="bottom"/>
            <w:gridSpan w:val="8"/>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Borders>
              <w:top w:val="single" w:sz="8" w:color="auto"/>
            </w:tcBorders>
            <w:gridSpan w:val="2"/>
          </w:tcPr>
          <w:p>
            <w:pPr>
              <w:jc w:val="center"/>
              <w:ind w:left="39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48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2620" w:type="dxa"/>
            <w:vAlign w:val="bottom"/>
            <w:gridSpan w:val="1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Glossary of Terms</w:t>
              </w:r>
            </w:hyperlink>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620" w:type="dxa"/>
            <w:vAlign w:val="bottom"/>
            <w:gridSpan w:val="11"/>
          </w:tcPr>
          <w:p>
            <w:pPr>
              <w:spacing w:after="0"/>
              <w:rPr>
                <w:rFonts w:ascii="Arial" w:cs="Arial" w:eastAsia="Arial" w:hAnsi="Arial"/>
                <w:sz w:val="18"/>
                <w:szCs w:val="18"/>
                <w:b w:val="1"/>
                <w:bCs w:val="1"/>
                <w:color w:val="0000FF"/>
              </w:rPr>
            </w:pPr>
            <w:hyperlink w:anchor="page7">
              <w:r>
                <w:rPr>
                  <w:rFonts w:ascii="Arial" w:cs="Arial" w:eastAsia="Arial" w:hAnsi="Arial"/>
                  <w:sz w:val="18"/>
                  <w:szCs w:val="18"/>
                  <w:b w:val="1"/>
                  <w:bCs w:val="1"/>
                  <w:color w:val="0000FF"/>
                </w:rPr>
                <w:t>Part I - Financial Information</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80" w:type="dxa"/>
            <w:vAlign w:val="bottom"/>
            <w:gridSpan w:val="3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Financial Statements</w:t>
              </w:r>
            </w:hyperlink>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Borders>
              <w:top w:val="single" w:sz="8" w:color="0000FF"/>
              <w:bottom w:val="single" w:sz="8" w:color="0000FF"/>
            </w:tcBorders>
            <w:gridSpan w:val="5"/>
          </w:tcPr>
          <w:p>
            <w:pPr>
              <w:spacing w:after="0"/>
              <w:rPr>
                <w:rFonts w:ascii="Arial" w:cs="Arial" w:eastAsia="Arial" w:hAnsi="Arial"/>
                <w:sz w:val="18"/>
                <w:szCs w:val="18"/>
                <w:b w:val="1"/>
                <w:bCs w:val="1"/>
                <w:color w:val="0000FF"/>
                <w:w w:val="89"/>
              </w:rPr>
            </w:pPr>
            <w:hyperlink w:anchor="page8">
              <w:r>
                <w:rPr>
                  <w:rFonts w:ascii="Arial" w:cs="Arial" w:eastAsia="Arial" w:hAnsi="Arial"/>
                  <w:sz w:val="18"/>
                  <w:szCs w:val="18"/>
                  <w:b w:val="1"/>
                  <w:bCs w:val="1"/>
                  <w:color w:val="0000FF"/>
                  <w:w w:val="89"/>
                </w:rPr>
                <w:t>Evergy, Inc.</w:t>
              </w:r>
            </w:hyperlink>
          </w:p>
        </w:tc>
        <w:tc>
          <w:tcPr>
            <w:tcW w:w="520" w:type="dxa"/>
            <w:vAlign w:val="bottom"/>
            <w:tcBorders>
              <w:top w:val="single" w:sz="8" w:color="0000FF"/>
            </w:tcBorders>
            <w:gridSpan w:val="4"/>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8</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4"/>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Unaudited Consolidated Statements of Comprehensive Income</w:t>
              </w:r>
            </w:hyperlink>
          </w:p>
        </w:tc>
        <w:tc>
          <w:tcPr>
            <w:tcW w:w="3400" w:type="dxa"/>
            <w:vAlign w:val="bottom"/>
            <w:gridSpan w:val="4"/>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Borders>
              <w:top w:val="single" w:sz="8" w:color="0000FF"/>
            </w:tcBorders>
            <w:gridSpan w:val="19"/>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Unaudited Consolidated Statements of Cash Flows</w:t>
              </w:r>
            </w:hyperlink>
          </w:p>
        </w:tc>
        <w:tc>
          <w:tcPr>
            <w:tcW w:w="860" w:type="dxa"/>
            <w:vAlign w:val="bottom"/>
            <w:tcBorders>
              <w:top w:val="single" w:sz="8" w:color="0000FF"/>
            </w:tcBorders>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8"/>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Unaudited Consolidated Statements of Changes in Equity</w:t>
              </w:r>
            </w:hyperlink>
          </w:p>
        </w:tc>
        <w:tc>
          <w:tcPr>
            <w:tcW w:w="940" w:type="dxa"/>
            <w:vAlign w:val="bottom"/>
            <w:gridSpan w:val="3"/>
          </w:tcPr>
          <w:p>
            <w:pPr>
              <w:jc w:val="center"/>
              <w:ind w:left="770"/>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0"/>
          </w:tcPr>
          <w:p>
            <w:pPr>
              <w:spacing w:after="0"/>
              <w:rPr>
                <w:rFonts w:ascii="Arial" w:cs="Arial" w:eastAsia="Arial" w:hAnsi="Arial"/>
                <w:sz w:val="18"/>
                <w:szCs w:val="18"/>
                <w:b w:val="1"/>
                <w:bCs w:val="1"/>
                <w:color w:val="0000FF"/>
              </w:rPr>
            </w:pPr>
            <w:hyperlink w:anchor="page13">
              <w:r>
                <w:rPr>
                  <w:rFonts w:ascii="Arial" w:cs="Arial" w:eastAsia="Arial" w:hAnsi="Arial"/>
                  <w:sz w:val="18"/>
                  <w:szCs w:val="18"/>
                  <w:b w:val="1"/>
                  <w:bCs w:val="1"/>
                  <w:color w:val="0000FF"/>
                </w:rPr>
                <w:t>Evergy Kansas Central, Inc.</w:t>
              </w:r>
            </w:hyperlink>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rFonts w:ascii="Arial" w:cs="Arial" w:eastAsia="Arial" w:hAnsi="Arial"/>
                <w:sz w:val="18"/>
                <w:szCs w:val="18"/>
                <w:color w:val="0000FF"/>
                <w:w w:val="88"/>
              </w:rPr>
            </w:pPr>
            <w:hyperlink w:anchor="page13">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5</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20" w:type="dxa"/>
            <w:vAlign w:val="bottom"/>
            <w:gridSpan w:val="18"/>
          </w:tcPr>
          <w:p>
            <w:pPr>
              <w:spacing w:after="0"/>
              <w:rPr>
                <w:rFonts w:ascii="Arial" w:cs="Arial" w:eastAsia="Arial" w:hAnsi="Arial"/>
                <w:sz w:val="18"/>
                <w:szCs w:val="18"/>
                <w:color w:val="0000FF"/>
                <w:w w:val="88"/>
              </w:rPr>
            </w:pPr>
            <w:hyperlink w:anchor="page15">
              <w:r>
                <w:rPr>
                  <w:rFonts w:ascii="Arial" w:cs="Arial" w:eastAsia="Arial" w:hAnsi="Arial"/>
                  <w:sz w:val="18"/>
                  <w:szCs w:val="18"/>
                  <w:color w:val="0000FF"/>
                  <w:w w:val="88"/>
                </w:rPr>
                <w:t>Unaudited Consolidated Statements of Income</w:t>
              </w:r>
            </w:hyperlink>
          </w:p>
        </w:tc>
        <w:tc>
          <w:tcPr>
            <w:tcW w:w="4600" w:type="dxa"/>
            <w:vAlign w:val="bottom"/>
            <w:gridSpan w:val="10"/>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7</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9"/>
          </w:tcPr>
          <w:p>
            <w:pP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Unaudited Consolidated Statements of Cash Flows</w:t>
              </w:r>
            </w:hyperlink>
          </w:p>
        </w:tc>
        <w:tc>
          <w:tcPr>
            <w:tcW w:w="4260" w:type="dxa"/>
            <w:vAlign w:val="bottom"/>
            <w:gridSpan w:val="9"/>
          </w:tcPr>
          <w:p>
            <w:pPr>
              <w:spacing w:after="0"/>
              <w:rPr>
                <w:sz w:val="18"/>
                <w:szCs w:val="18"/>
                <w:color w:val="auto"/>
              </w:rPr>
            </w:pPr>
          </w:p>
        </w:tc>
        <w:tc>
          <w:tcPr>
            <w:tcW w:w="940" w:type="dxa"/>
            <w:vAlign w:val="bottom"/>
            <w:gridSpan w:val="3"/>
          </w:tcPr>
          <w:p>
            <w:pPr>
              <w:jc w:val="center"/>
              <w:ind w:left="77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8</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8"/>
          </w:tcPr>
          <w:p>
            <w:pPr>
              <w:spacing w:after="0"/>
              <w:rPr>
                <w:sz w:val="20"/>
                <w:szCs w:val="20"/>
                <w:color w:val="auto"/>
              </w:rPr>
            </w:pPr>
            <w:r>
              <w:rPr>
                <w:rFonts w:ascii="Arial" w:cs="Arial" w:eastAsia="Arial" w:hAnsi="Arial"/>
                <w:sz w:val="18"/>
                <w:szCs w:val="18"/>
                <w:color w:val="0000FF"/>
              </w:rPr>
              <w:t>Unaudited Consolidated Statements of Changes in Equity</w:t>
            </w:r>
          </w:p>
        </w:tc>
        <w:tc>
          <w:tcPr>
            <w:tcW w:w="940" w:type="dxa"/>
            <w:vAlign w:val="bottom"/>
            <w:gridSpan w:val="3"/>
          </w:tcPr>
          <w:p>
            <w:pPr>
              <w:jc w:val="center"/>
              <w:ind w:left="770"/>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9</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gridSpan w:val="30"/>
          </w:tcPr>
          <w:p>
            <w:pPr>
              <w:spacing w:after="0"/>
              <w:rPr>
                <w:rFonts w:ascii="Arial" w:cs="Arial" w:eastAsia="Arial" w:hAnsi="Arial"/>
                <w:sz w:val="18"/>
                <w:szCs w:val="18"/>
                <w:b w:val="1"/>
                <w:bCs w:val="1"/>
                <w:color w:val="0000FF"/>
              </w:rPr>
            </w:pPr>
            <w:hyperlink w:anchor="page18">
              <w:r>
                <w:rPr>
                  <w:rFonts w:ascii="Arial" w:cs="Arial" w:eastAsia="Arial" w:hAnsi="Arial"/>
                  <w:sz w:val="18"/>
                  <w:szCs w:val="18"/>
                  <w:b w:val="1"/>
                  <w:bCs w:val="1"/>
                  <w:color w:val="0000FF"/>
                </w:rPr>
                <w:t>Evergy Metro, Inc.</w:t>
              </w:r>
            </w:hyperlink>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80" w:type="dxa"/>
            <w:vAlign w:val="bottom"/>
            <w:gridSpan w:val="16"/>
          </w:tcPr>
          <w:p>
            <w:pPr>
              <w:spacing w:after="0"/>
              <w:rPr>
                <w:rFonts w:ascii="Arial" w:cs="Arial" w:eastAsia="Arial" w:hAnsi="Arial"/>
                <w:sz w:val="18"/>
                <w:szCs w:val="18"/>
                <w:color w:val="0000FF"/>
                <w:w w:val="88"/>
              </w:rPr>
            </w:pPr>
            <w:hyperlink w:anchor="page18">
              <w:r>
                <w:rPr>
                  <w:rFonts w:ascii="Arial" w:cs="Arial" w:eastAsia="Arial" w:hAnsi="Arial"/>
                  <w:sz w:val="18"/>
                  <w:szCs w:val="18"/>
                  <w:color w:val="0000FF"/>
                  <w:w w:val="88"/>
                </w:rPr>
                <w:t>Unaudited Consolidated Balance Sheets</w:t>
              </w:r>
            </w:hyperlink>
          </w:p>
        </w:tc>
        <w:tc>
          <w:tcPr>
            <w:tcW w:w="5040" w:type="dxa"/>
            <w:vAlign w:val="bottom"/>
            <w:gridSpan w:val="12"/>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24"/>
          </w:tcPr>
          <w:p>
            <w:pP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Unaudited Consolidated Statements of Comprehensive Income</w:t>
              </w:r>
            </w:hyperlink>
          </w:p>
        </w:tc>
        <w:tc>
          <w:tcPr>
            <w:tcW w:w="3400" w:type="dxa"/>
            <w:vAlign w:val="bottom"/>
            <w:gridSpan w:val="4"/>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gridSpan w:val="19"/>
          </w:tcPr>
          <w:p>
            <w:pPr>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Unaudited Consolidated Statements of Cash Flows</w:t>
              </w:r>
            </w:hyperlink>
          </w:p>
        </w:tc>
        <w:tc>
          <w:tcPr>
            <w:tcW w:w="860" w:type="dxa"/>
            <w:vAlign w:val="bottom"/>
            <w:gridSpan w:val="5"/>
          </w:tcPr>
          <w:p>
            <w:pPr>
              <w:spacing w:after="0"/>
              <w:rPr>
                <w:sz w:val="18"/>
                <w:szCs w:val="18"/>
                <w:color w:val="auto"/>
              </w:rPr>
            </w:pPr>
          </w:p>
        </w:tc>
        <w:tc>
          <w:tcPr>
            <w:tcW w:w="3400" w:type="dxa"/>
            <w:vAlign w:val="bottom"/>
            <w:gridSpan w:val="4"/>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20" w:type="dxa"/>
            <w:vAlign w:val="bottom"/>
            <w:gridSpan w:val="28"/>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Unaudited Consolidated Statements of Changes in Equity</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14</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gridSpan w:val="30"/>
          </w:tcPr>
          <w:p>
            <w:pPr>
              <w:spacing w:after="0"/>
              <w:rPr>
                <w:rFonts w:ascii="Arial" w:cs="Arial" w:eastAsia="Arial" w:hAnsi="Arial"/>
                <w:sz w:val="18"/>
                <w:szCs w:val="18"/>
                <w:color w:val="0000FF"/>
                <w:w w:val="94"/>
              </w:rPr>
            </w:pPr>
            <w:hyperlink w:anchor="page23">
              <w:r>
                <w:rPr>
                  <w:rFonts w:ascii="Arial" w:cs="Arial" w:eastAsia="Arial" w:hAnsi="Arial"/>
                  <w:sz w:val="18"/>
                  <w:szCs w:val="18"/>
                  <w:color w:val="0000FF"/>
                  <w:w w:val="94"/>
                </w:rPr>
                <w:t>Combined Notes to Unaudited Consolidated Financial Statements for Evergy, Inc., Evergy Kansas Central,</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15</w:t>
              </w:r>
            </w:hyperlink>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5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w:anchor="page23">
              <w:r>
                <w:rPr>
                  <w:rFonts w:ascii="Arial" w:cs="Arial" w:eastAsia="Arial" w:hAnsi="Arial"/>
                  <w:sz w:val="18"/>
                  <w:szCs w:val="18"/>
                  <w:color w:val="0000FF"/>
                </w:rPr>
                <w:t>Inc. and Evergy Metro, Inc.</w:t>
              </w:r>
            </w:hyperlink>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w:t>
            </w:r>
          </w:p>
        </w:tc>
        <w:tc>
          <w:tcPr>
            <w:tcW w:w="2800" w:type="dxa"/>
            <w:vAlign w:val="bottom"/>
            <w:gridSpan w:val="14"/>
          </w:tcPr>
          <w:p>
            <w:pPr>
              <w:spacing w:after="0"/>
              <w:rPr>
                <w:rFonts w:ascii="Arial" w:cs="Arial" w:eastAsia="Arial" w:hAnsi="Arial"/>
                <w:sz w:val="18"/>
                <w:szCs w:val="18"/>
                <w:color w:val="0000FF"/>
                <w:w w:val="88"/>
              </w:rPr>
            </w:pPr>
            <w:hyperlink w:anchor="page24">
              <w:r>
                <w:rPr>
                  <w:rFonts w:ascii="Arial" w:cs="Arial" w:eastAsia="Arial" w:hAnsi="Arial"/>
                  <w:sz w:val="18"/>
                  <w:szCs w:val="18"/>
                  <w:color w:val="0000FF"/>
                  <w:w w:val="88"/>
                </w:rPr>
                <w:t>Organization and Basis of Presentation</w:t>
              </w:r>
            </w:hyperlink>
          </w:p>
        </w:tc>
        <w:tc>
          <w:tcPr>
            <w:tcW w:w="3840" w:type="dxa"/>
            <w:vAlign w:val="bottom"/>
            <w:gridSpan w:val="7"/>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15</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2:</w:t>
            </w:r>
          </w:p>
        </w:tc>
        <w:tc>
          <w:tcPr>
            <w:tcW w:w="620" w:type="dxa"/>
            <w:vAlign w:val="bottom"/>
            <w:gridSpan w:val="3"/>
          </w:tcPr>
          <w:p>
            <w:pPr>
              <w:spacing w:after="0"/>
              <w:rPr>
                <w:rFonts w:ascii="Arial" w:cs="Arial" w:eastAsia="Arial" w:hAnsi="Arial"/>
                <w:sz w:val="18"/>
                <w:szCs w:val="18"/>
                <w:color w:val="0000FF"/>
                <w:w w:val="83"/>
              </w:rPr>
            </w:pPr>
            <w:hyperlink w:anchor="page29">
              <w:r>
                <w:rPr>
                  <w:rFonts w:ascii="Arial" w:cs="Arial" w:eastAsia="Arial" w:hAnsi="Arial"/>
                  <w:sz w:val="18"/>
                  <w:szCs w:val="18"/>
                  <w:color w:val="0000FF"/>
                  <w:w w:val="83"/>
                </w:rPr>
                <w:t>Revenue</w:t>
              </w:r>
            </w:hyperlink>
          </w:p>
        </w:tc>
        <w:tc>
          <w:tcPr>
            <w:tcW w:w="2180" w:type="dxa"/>
            <w:vAlign w:val="bottom"/>
            <w:gridSpan w:val="11"/>
          </w:tcPr>
          <w:p>
            <w:pPr>
              <w:spacing w:after="0"/>
              <w:rPr>
                <w:sz w:val="18"/>
                <w:szCs w:val="18"/>
                <w:color w:val="auto"/>
              </w:rPr>
            </w:pPr>
          </w:p>
        </w:tc>
        <w:tc>
          <w:tcPr>
            <w:tcW w:w="3840" w:type="dxa"/>
            <w:vAlign w:val="bottom"/>
            <w:gridSpan w:val="7"/>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21</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3:</w:t>
            </w:r>
          </w:p>
        </w:tc>
        <w:tc>
          <w:tcPr>
            <w:tcW w:w="860" w:type="dxa"/>
            <w:vAlign w:val="bottom"/>
            <w:gridSpan w:val="5"/>
          </w:tcPr>
          <w:p>
            <w:pPr>
              <w:spacing w:after="0"/>
              <w:rPr>
                <w:rFonts w:ascii="Arial" w:cs="Arial" w:eastAsia="Arial" w:hAnsi="Arial"/>
                <w:sz w:val="18"/>
                <w:szCs w:val="18"/>
                <w:color w:val="0000FF"/>
                <w:w w:val="85"/>
              </w:rPr>
            </w:pPr>
            <w:hyperlink w:anchor="page31">
              <w:r>
                <w:rPr>
                  <w:rFonts w:ascii="Arial" w:cs="Arial" w:eastAsia="Arial" w:hAnsi="Arial"/>
                  <w:sz w:val="18"/>
                  <w:szCs w:val="18"/>
                  <w:color w:val="0000FF"/>
                  <w:w w:val="85"/>
                </w:rPr>
                <w:t>Receivables</w:t>
              </w:r>
            </w:hyperlink>
          </w:p>
        </w:tc>
        <w:tc>
          <w:tcPr>
            <w:tcW w:w="5780" w:type="dxa"/>
            <w:vAlign w:val="bottom"/>
            <w:gridSpan w:val="16"/>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4:</w:t>
            </w:r>
          </w:p>
        </w:tc>
        <w:tc>
          <w:tcPr>
            <w:tcW w:w="6640" w:type="dxa"/>
            <w:vAlign w:val="bottom"/>
            <w:gridSpan w:val="21"/>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Rate Matters and Regulation</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24</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5:</w:t>
            </w:r>
          </w:p>
        </w:tc>
        <w:tc>
          <w:tcPr>
            <w:tcW w:w="2040" w:type="dxa"/>
            <w:vAlign w:val="bottom"/>
            <w:gridSpan w:val="11"/>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Goodwill</w:t>
              </w:r>
            </w:hyperlink>
          </w:p>
        </w:tc>
        <w:tc>
          <w:tcPr>
            <w:tcW w:w="4600" w:type="dxa"/>
            <w:vAlign w:val="bottom"/>
            <w:gridSpan w:val="10"/>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26</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6:</w:t>
            </w:r>
          </w:p>
        </w:tc>
        <w:tc>
          <w:tcPr>
            <w:tcW w:w="3160" w:type="dxa"/>
            <w:vAlign w:val="bottom"/>
            <w:gridSpan w:val="16"/>
          </w:tcPr>
          <w:p>
            <w:pPr>
              <w:spacing w:after="0"/>
              <w:rPr>
                <w:rFonts w:ascii="Arial" w:cs="Arial" w:eastAsia="Arial" w:hAnsi="Arial"/>
                <w:sz w:val="18"/>
                <w:szCs w:val="18"/>
                <w:color w:val="0000FF"/>
                <w:w w:val="88"/>
              </w:rPr>
            </w:pPr>
            <w:hyperlink w:anchor="page35">
              <w:r>
                <w:rPr>
                  <w:rFonts w:ascii="Arial" w:cs="Arial" w:eastAsia="Arial" w:hAnsi="Arial"/>
                  <w:sz w:val="18"/>
                  <w:szCs w:val="18"/>
                  <w:color w:val="0000FF"/>
                  <w:w w:val="88"/>
                </w:rPr>
                <w:t>Pension Plans and Post-Retirement Benefits</w:t>
              </w:r>
            </w:hyperlink>
          </w:p>
        </w:tc>
        <w:tc>
          <w:tcPr>
            <w:tcW w:w="3480" w:type="dxa"/>
            <w:vAlign w:val="bottom"/>
            <w:gridSpan w:val="5"/>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27</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7:</w:t>
            </w:r>
          </w:p>
        </w:tc>
        <w:tc>
          <w:tcPr>
            <w:tcW w:w="6640" w:type="dxa"/>
            <w:vAlign w:val="bottom"/>
            <w:gridSpan w:val="2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Short-Term Borrowings and Short-Term Bank Lines of Credit</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29</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8:</w:t>
            </w:r>
          </w:p>
        </w:tc>
        <w:tc>
          <w:tcPr>
            <w:tcW w:w="1200" w:type="dxa"/>
            <w:vAlign w:val="bottom"/>
            <w:gridSpan w:val="7"/>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Long-Term Debt</w:t>
              </w:r>
            </w:hyperlink>
          </w:p>
        </w:tc>
        <w:tc>
          <w:tcPr>
            <w:tcW w:w="3240" w:type="dxa"/>
            <w:vAlign w:val="bottom"/>
            <w:gridSpan w:val="11"/>
          </w:tcPr>
          <w:p>
            <w:pPr>
              <w:spacing w:after="0"/>
              <w:rPr>
                <w:sz w:val="18"/>
                <w:szCs w:val="18"/>
                <w:color w:val="auto"/>
              </w:rPr>
            </w:pPr>
          </w:p>
        </w:tc>
        <w:tc>
          <w:tcPr>
            <w:tcW w:w="2200" w:type="dxa"/>
            <w:vAlign w:val="bottom"/>
            <w:gridSpan w:val="3"/>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9:</w:t>
            </w:r>
          </w:p>
        </w:tc>
        <w:tc>
          <w:tcPr>
            <w:tcW w:w="6640" w:type="dxa"/>
            <w:vAlign w:val="bottom"/>
            <w:gridSpan w:val="21"/>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Fair Value Measurements</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10:</w:t>
            </w:r>
          </w:p>
        </w:tc>
        <w:tc>
          <w:tcPr>
            <w:tcW w:w="6640" w:type="dxa"/>
            <w:vAlign w:val="bottom"/>
            <w:gridSpan w:val="21"/>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Commitments and Contingencies</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35</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11:</w:t>
            </w:r>
          </w:p>
        </w:tc>
        <w:tc>
          <w:tcPr>
            <w:tcW w:w="6640" w:type="dxa"/>
            <w:vAlign w:val="bottom"/>
            <w:gridSpan w:val="21"/>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Related Party Transactions and Relationships</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38</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20" w:type="dxa"/>
            <w:vAlign w:val="bottom"/>
            <w:gridSpan w:val="7"/>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12:</w:t>
            </w:r>
          </w:p>
        </w:tc>
        <w:tc>
          <w:tcPr>
            <w:tcW w:w="3240" w:type="dxa"/>
            <w:vAlign w:val="bottom"/>
            <w:gridSpan w:val="1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Shareholders' Equity</w:t>
              </w:r>
            </w:hyperlink>
          </w:p>
        </w:tc>
        <w:tc>
          <w:tcPr>
            <w:tcW w:w="3400" w:type="dxa"/>
            <w:vAlign w:val="bottom"/>
            <w:gridSpan w:val="4"/>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39</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7"/>
          </w:tcPr>
          <w:p>
            <w:pPr>
              <w:ind w:left="160"/>
              <w:spacing w:after="0"/>
              <w:rPr>
                <w:sz w:val="20"/>
                <w:szCs w:val="20"/>
                <w:color w:val="auto"/>
              </w:rPr>
            </w:pPr>
            <w:r>
              <w:rPr>
                <w:rFonts w:ascii="Arial" w:cs="Arial" w:eastAsia="Arial" w:hAnsi="Arial"/>
                <w:sz w:val="18"/>
                <w:szCs w:val="18"/>
                <w:color w:val="auto"/>
              </w:rPr>
              <w:t>Note 13:</w:t>
            </w:r>
          </w:p>
        </w:tc>
        <w:tc>
          <w:tcPr>
            <w:tcW w:w="1480" w:type="dxa"/>
            <w:vAlign w:val="bottom"/>
            <w:gridSpan w:val="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Taxes</w:t>
              </w:r>
            </w:hyperlink>
          </w:p>
        </w:tc>
        <w:tc>
          <w:tcPr>
            <w:tcW w:w="5160" w:type="dxa"/>
            <w:vAlign w:val="bottom"/>
            <w:gridSpan w:val="13"/>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gridSpan w:val="28"/>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Management's Discussion and Analysis of Financial Condition and Results of Operations</w:t>
              </w:r>
            </w:hyperlink>
          </w:p>
        </w:tc>
        <w:tc>
          <w:tcPr>
            <w:tcW w:w="1640" w:type="dxa"/>
            <w:vAlign w:val="bottom"/>
            <w:gridSpan w:val="2"/>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43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24"/>
          </w:tcPr>
          <w:p>
            <w:pPr>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Quantitative and Qualitative Disclosures About Market Risk</w:t>
              </w:r>
            </w:hyperlink>
          </w:p>
        </w:tc>
        <w:tc>
          <w:tcPr>
            <w:tcW w:w="2100" w:type="dxa"/>
            <w:vAlign w:val="bottom"/>
            <w:gridSpan w:val="4"/>
          </w:tcPr>
          <w:p>
            <w:pPr>
              <w:spacing w:after="0"/>
              <w:rPr>
                <w:sz w:val="18"/>
                <w:szCs w:val="18"/>
                <w:color w:val="auto"/>
              </w:rPr>
            </w:pPr>
          </w:p>
        </w:tc>
        <w:tc>
          <w:tcPr>
            <w:tcW w:w="1640" w:type="dxa"/>
            <w:vAlign w:val="bottom"/>
            <w:gridSpan w:val="2"/>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5"/>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3740" w:type="dxa"/>
            <w:vAlign w:val="bottom"/>
            <w:tcBorders>
              <w:left w:val="single" w:sz="8" w:color="0000FF"/>
            </w:tcBorders>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24"/>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Controls and Procedures</w:t>
              </w:r>
            </w:hyperlink>
          </w:p>
        </w:tc>
        <w:tc>
          <w:tcPr>
            <w:tcW w:w="3740" w:type="dxa"/>
            <w:vAlign w:val="bottom"/>
            <w:gridSpan w:val="6"/>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69">
              <w:r>
                <w:rPr>
                  <w:rFonts w:ascii="Arial" w:cs="Arial" w:eastAsia="Arial" w:hAnsi="Arial"/>
                  <w:sz w:val="18"/>
                  <w:szCs w:val="18"/>
                  <w:color w:val="0000FF"/>
                  <w:w w:val="89"/>
                </w:rPr>
                <w:t>60</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2120" w:type="dxa"/>
            <w:vAlign w:val="bottom"/>
            <w:tcBorders>
              <w:bottom w:val="single" w:sz="8" w:color="0000FF"/>
            </w:tcBorders>
            <w:gridSpan w:val="8"/>
          </w:tcPr>
          <w:p>
            <w:pPr>
              <w:spacing w:after="0"/>
              <w:rPr>
                <w:rFonts w:ascii="Arial" w:cs="Arial" w:eastAsia="Arial" w:hAnsi="Arial"/>
                <w:sz w:val="18"/>
                <w:szCs w:val="18"/>
                <w:b w:val="1"/>
                <w:bCs w:val="1"/>
                <w:color w:val="0000FF"/>
                <w:w w:val="96"/>
              </w:rPr>
            </w:pPr>
            <w:hyperlink w:anchor="page70">
              <w:r>
                <w:rPr>
                  <w:rFonts w:ascii="Arial" w:cs="Arial" w:eastAsia="Arial" w:hAnsi="Arial"/>
                  <w:sz w:val="18"/>
                  <w:szCs w:val="18"/>
                  <w:b w:val="1"/>
                  <w:bCs w:val="1"/>
                  <w:color w:val="0000FF"/>
                  <w:w w:val="96"/>
                </w:rPr>
                <w:t>Part II - Other Information</w:t>
              </w:r>
            </w:hyperlink>
          </w:p>
        </w:tc>
        <w:tc>
          <w:tcPr>
            <w:tcW w:w="50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40" w:type="dxa"/>
            <w:vAlign w:val="bottom"/>
            <w:gridSpan w:val="9"/>
          </w:tcPr>
          <w:p>
            <w:pPr>
              <w:spacing w:after="0"/>
              <w:rPr>
                <w:rFonts w:ascii="Arial" w:cs="Arial" w:eastAsia="Arial" w:hAnsi="Arial"/>
                <w:sz w:val="18"/>
                <w:szCs w:val="18"/>
                <w:color w:val="0000FF"/>
                <w:w w:val="93"/>
              </w:rPr>
            </w:pPr>
            <w:hyperlink w:anchor="page71">
              <w:r>
                <w:rPr>
                  <w:rFonts w:ascii="Arial" w:cs="Arial" w:eastAsia="Arial" w:hAnsi="Arial"/>
                  <w:sz w:val="18"/>
                  <w:szCs w:val="18"/>
                  <w:color w:val="0000FF"/>
                  <w:w w:val="93"/>
                </w:rPr>
                <w:t>Legal Proceedings</w:t>
              </w:r>
            </w:hyperlink>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62</w:t>
              </w:r>
            </w:hyperlink>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71">
              <w:r>
                <w:rPr>
                  <w:rFonts w:ascii="Arial" w:cs="Arial" w:eastAsia="Arial" w:hAnsi="Arial"/>
                  <w:sz w:val="18"/>
                  <w:szCs w:val="18"/>
                  <w:color w:val="0000FF"/>
                  <w:w w:val="87"/>
                </w:rPr>
                <w:t>Risk Factors</w:t>
              </w:r>
            </w:hyperlink>
          </w:p>
        </w:tc>
        <w:tc>
          <w:tcPr>
            <w:tcW w:w="400" w:type="dxa"/>
            <w:vAlign w:val="bottom"/>
            <w:gridSpan w:val="4"/>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080" w:type="dxa"/>
            <w:vAlign w:val="bottom"/>
            <w:gridSpan w:val="30"/>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Unregistered Sales of Equity Securities and Use of Proceeds</w:t>
              </w:r>
            </w:hyperlink>
          </w:p>
        </w:tc>
        <w:tc>
          <w:tcPr>
            <w:tcW w:w="940" w:type="dxa"/>
            <w:vAlign w:val="bottom"/>
            <w:gridSpan w:val="3"/>
          </w:tcPr>
          <w:p>
            <w:pPr>
              <w:jc w:val="center"/>
              <w:ind w:left="6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2020" w:type="dxa"/>
            <w:vAlign w:val="bottom"/>
            <w:gridSpan w:val="9"/>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15"/>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Defaults Upon Senior Securities</w:t>
              </w:r>
            </w:hyperlink>
          </w:p>
        </w:tc>
        <w:tc>
          <w:tcPr>
            <w:tcW w:w="2020" w:type="dxa"/>
            <w:vAlign w:val="bottom"/>
            <w:gridSpan w:val="9"/>
          </w:tcPr>
          <w:p>
            <w:pPr>
              <w:spacing w:after="0"/>
              <w:rPr>
                <w:sz w:val="18"/>
                <w:szCs w:val="18"/>
                <w:color w:val="auto"/>
              </w:rPr>
            </w:pPr>
          </w:p>
        </w:tc>
        <w:tc>
          <w:tcPr>
            <w:tcW w:w="3740" w:type="dxa"/>
            <w:vAlign w:val="bottom"/>
            <w:gridSpan w:val="6"/>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020" w:type="dxa"/>
            <w:vAlign w:val="bottom"/>
            <w:tcBorders>
              <w:left w:val="single" w:sz="8" w:color="0000FF"/>
            </w:tcBorders>
            <w:gridSpan w:val="7"/>
            <w:shd w:val="clear" w:color="auto" w:fill="0000FF"/>
          </w:tcPr>
          <w:p>
            <w:pPr>
              <w:spacing w:after="0" w:line="20" w:lineRule="exact"/>
              <w:rPr>
                <w:sz w:val="1"/>
                <w:szCs w:val="1"/>
                <w:color w:val="auto"/>
              </w:rPr>
            </w:pPr>
          </w:p>
        </w:tc>
        <w:tc>
          <w:tcPr>
            <w:tcW w:w="5760" w:type="dxa"/>
            <w:vAlign w:val="bottom"/>
            <w:gridSpan w:val="15"/>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15"/>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Mine Safety Disclosures</w:t>
              </w:r>
            </w:hyperlink>
          </w:p>
        </w:tc>
        <w:tc>
          <w:tcPr>
            <w:tcW w:w="5760" w:type="dxa"/>
            <w:vAlign w:val="bottom"/>
            <w:gridSpan w:val="15"/>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62</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440" w:type="dxa"/>
            <w:vAlign w:val="bottom"/>
            <w:gridSpan w:val="9"/>
          </w:tcPr>
          <w:p>
            <w:pPr>
              <w:spacing w:after="0"/>
              <w:rPr>
                <w:rFonts w:ascii="Arial" w:cs="Arial" w:eastAsia="Arial" w:hAnsi="Arial"/>
                <w:sz w:val="18"/>
                <w:szCs w:val="18"/>
                <w:color w:val="0000FF"/>
                <w:w w:val="99"/>
              </w:rPr>
            </w:pPr>
            <w:hyperlink w:anchor="page71">
              <w:r>
                <w:rPr>
                  <w:rFonts w:ascii="Arial" w:cs="Arial" w:eastAsia="Arial" w:hAnsi="Arial"/>
                  <w:sz w:val="18"/>
                  <w:szCs w:val="18"/>
                  <w:color w:val="0000FF"/>
                  <w:w w:val="99"/>
                </w:rPr>
                <w:t>Other Information</w:t>
              </w:r>
            </w:hyperlink>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63</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rFonts w:ascii="Arial" w:cs="Arial" w:eastAsia="Arial" w:hAnsi="Arial"/>
                <w:sz w:val="18"/>
                <w:szCs w:val="18"/>
                <w:color w:val="0000FF"/>
                <w:w w:val="91"/>
              </w:rPr>
            </w:pPr>
            <w:hyperlink w:anchor="page72">
              <w:r>
                <w:rPr>
                  <w:rFonts w:ascii="Arial" w:cs="Arial" w:eastAsia="Arial" w:hAnsi="Arial"/>
                  <w:sz w:val="18"/>
                  <w:szCs w:val="18"/>
                  <w:color w:val="0000FF"/>
                  <w:w w:val="91"/>
                </w:rPr>
                <w:t>Exhibits</w:t>
              </w:r>
            </w:hyperlink>
          </w:p>
        </w:tc>
        <w:tc>
          <w:tcPr>
            <w:tcW w:w="70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64</w:t>
              </w:r>
            </w:hyperlink>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 w:type="dxa"/>
            <w:vAlign w:val="bottom"/>
          </w:tcPr>
          <w:p>
            <w:pPr>
              <w:spacing w:after="0"/>
              <w:rPr>
                <w:sz w:val="24"/>
                <w:szCs w:val="24"/>
                <w:color w:val="auto"/>
              </w:rPr>
            </w:pPr>
          </w:p>
        </w:tc>
        <w:tc>
          <w:tcPr>
            <w:tcW w:w="1180" w:type="dxa"/>
            <w:vAlign w:val="bottom"/>
            <w:gridSpan w:val="2"/>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Signatures</w:t>
              </w:r>
            </w:hyperlink>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gridSpan w:val="3"/>
          </w:tcPr>
          <w:p>
            <w:pPr>
              <w:jc w:val="center"/>
              <w:ind w:left="670"/>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66</w:t>
              </w:r>
            </w:hyperlink>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6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16"/>
          </w:tcPr>
          <w:p>
            <w:pPr>
              <w:jc w:val="right"/>
              <w:ind w:right="1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STATEMENTS REGARDING CERTAIN FORWARD-LOOKING INFORMATION</w:t>
      </w:r>
    </w:p>
    <w:p>
      <w:pPr>
        <w:spacing w:after="0" w:line="22"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auto"/>
        </w:rPr>
        <w:t>Statements made in this report that are not based on historical facts are forward-looking,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future power prices; plans with respect to existing and potential future generation resources; the availability and cost of generation resources and energy storage; target emissions reductions; and other matters relating to expected financial performance or affecting future operations. Forward-looking statements are often accompanied by forward-looking words such as "anticipates," "believes," "expects," "estimates," "forecasts," "should," "could," "may," "seeks," "intends," "proposed," "projects," "planned," "target," "outlook," "remain confident," "goal," "will" or other words of similar meaning. Forward-looking statements involve risks, uncertainties and other factors that could cause actual results to differ materially from the forward-looking information.</w:t>
      </w:r>
    </w:p>
    <w:p>
      <w:pPr>
        <w:spacing w:after="0" w:line="16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securitization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the extent to which counterparties are willing to do business with, finance the operations of or purchase energy from the Evergy Companies due to the fact that the Evergy Companies operate coal-fired generation; prices and availability of electricity in wholesale markets; market perception of the energy industry and the Evergy Companies; the impact of the Coronavirus (COVID-19) pandemic on, among other things, sales, results of operations, financial condition, liquidity and cash flows, and also on operational issues, such as the availability and ability of the Evergy Companies' employees and suppliers to perform the functions that are necessary to operate the Evergy Companies; changes in the energy trading markets in which the Evergy Companies participate, including retroactive repricing of transactions by regional transmission organizations (RTO) and independent system operators; financial market conditions and performance, including changes in interest rates and credit spreads and in availability and cost of capital and the effects on derivatives and hedges, nuclear decommissioning trust and pension plan assets and costs; impairments of long-lived assets or goodwill; credit ratings; inflation rates; the transition to a replacement for the London Interbank Offered Rate (LIBOR) benchmark interest rate; effectiveness of risk management policies and procedures and the ability of counterparties to satisfy their contractual commitments; impact of physical and cybersecurity breaches, criminal activity, terrorist attacks and other disruptions to the Evergy Companies' facilities or information technology infrastructure or the facilities and infrastructure of third-party service providers on which the Evergy Companies rely; ability to carry out marketing and sales plans; cost, availability, quality and timely provision of equipment, supplies, labor and fuel;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the Evergy Companies' ability to attract and retain qualified personnel, maintain satisfactory relationships with their labor unions and manage costs of, or changes in, retirement, health care and other benefits; disruption, costs and uncertainties caused by or related to the actions of individuals or entities, such as activist shareholders or special interest groups, that seek to influence Evergy's strategic plan, financial results or operations; the possibility that strategic initiatives, including mergers, acquisitions and divestitures, and long-term financial plans, may not create the value that they are expected to achieve in a timely manner or at all; difficulties in maintaining relationships with customers, employees, regulators or suppliers; and other risks and uncertainties.</w:t>
      </w:r>
    </w:p>
    <w:p>
      <w:pPr>
        <w:spacing w:after="0" w:line="223"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This list of factors is not all-inclusive because it is not possible to predict all factors. Additional risks and uncertainties are discussed from time to time in current, quarterly and annual reports filed by the Evergy Companies with the Securities and Exchange Commission (SEC). Reports filed by the Evergy Companies with the SEC should also be read for more information regarding risk factors. Each forward-looking statement speaks only as of the date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of the particular statement. The Evergy Companies undertake no obligation to publicly update or revise any forward-looking statement,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www.evergy.com. Such reports are accessible at no charge and are made available as soon as reasonably practical after such material is filed with or furnished to the SEC.</w:t>
      </w:r>
    </w:p>
    <w:p>
      <w:pPr>
        <w:spacing w:after="0" w:line="182"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www.evergy.com,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5" w:name="page6"/>
    <w:bookmarkEnd w:id="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GLOSSARY OF TERMS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glossary of frequently used abbreviations or acronyms that are found throughout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200" w:type="dxa"/>
            <w:vAlign w:val="bottom"/>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10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c>
          <w:tcPr>
            <w:tcW w:w="0" w:type="dxa"/>
            <w:vAlign w:val="bottom"/>
          </w:tcPr>
          <w:p>
            <w:pPr>
              <w:spacing w:after="0"/>
              <w:rPr>
                <w:sz w:val="1"/>
                <w:szCs w:val="1"/>
                <w:color w:val="auto"/>
              </w:rPr>
            </w:pPr>
          </w:p>
        </w:tc>
      </w:tr>
      <w:tr>
        <w:trPr>
          <w:trHeight w:val="497"/>
        </w:trPr>
        <w:tc>
          <w:tcPr>
            <w:tcW w:w="20" w:type="dxa"/>
            <w:vAlign w:val="bottom"/>
          </w:tcPr>
          <w:p>
            <w:pPr>
              <w:spacing w:after="0"/>
              <w:rPr>
                <w:sz w:val="24"/>
                <w:szCs w:val="24"/>
                <w:color w:val="auto"/>
              </w:rPr>
            </w:pPr>
          </w:p>
        </w:tc>
        <w:tc>
          <w:tcPr>
            <w:tcW w:w="220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AAO</w:t>
            </w:r>
          </w:p>
        </w:tc>
        <w:tc>
          <w:tcPr>
            <w:tcW w:w="1080" w:type="dxa"/>
            <w:vAlign w:val="bottom"/>
          </w:tcPr>
          <w:p>
            <w:pPr>
              <w:spacing w:after="0"/>
              <w:rPr>
                <w:sz w:val="24"/>
                <w:szCs w:val="24"/>
                <w:color w:val="auto"/>
              </w:rPr>
            </w:pPr>
          </w:p>
        </w:tc>
        <w:tc>
          <w:tcPr>
            <w:tcW w:w="3620" w:type="dxa"/>
            <w:vAlign w:val="bottom"/>
          </w:tcPr>
          <w:p>
            <w:pPr>
              <w:ind w:left="200"/>
              <w:spacing w:after="0"/>
              <w:rPr>
                <w:sz w:val="20"/>
                <w:szCs w:val="20"/>
                <w:color w:val="auto"/>
              </w:rPr>
            </w:pPr>
            <w:r>
              <w:rPr>
                <w:rFonts w:ascii="Arial" w:cs="Arial" w:eastAsia="Arial" w:hAnsi="Arial"/>
                <w:sz w:val="20"/>
                <w:szCs w:val="20"/>
                <w:color w:val="auto"/>
              </w:rPr>
              <w:t>Accounting authority order</w:t>
            </w:r>
          </w:p>
        </w:tc>
        <w:tc>
          <w:tcPr>
            <w:tcW w:w="840" w:type="dxa"/>
            <w:vAlign w:val="bottom"/>
            <w:tcBorders>
              <w:top w:val="single" w:sz="8" w:color="auto"/>
            </w:tcBorders>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ACE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Affordable Clean Energy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AEP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American Electric Power Company, Inc.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AFUDC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Allowance for funds used during construction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AROs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Asset retirement obligations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Bluescape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Bluescape Energy Partners, LLC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BSER</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Best system of emission reduction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CAA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Air Act Amendments of 1990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CCRs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Coal combustion residuals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line="242" w:lineRule="exact"/>
              <w:rPr>
                <w:sz w:val="20"/>
                <w:szCs w:val="20"/>
                <w:color w:val="auto"/>
              </w:rPr>
            </w:pPr>
            <w:r>
              <w:rPr>
                <w:rFonts w:ascii="Arial" w:cs="Arial" w:eastAsia="Arial" w:hAnsi="Arial"/>
                <w:sz w:val="20"/>
                <w:szCs w:val="20"/>
                <w:b w:val="1"/>
                <w:bCs w:val="1"/>
                <w:color w:val="auto"/>
              </w:rPr>
              <w:t>CO</w:t>
            </w:r>
            <w:r>
              <w:rPr>
                <w:rFonts w:ascii="Arial" w:cs="Arial" w:eastAsia="Arial" w:hAnsi="Arial"/>
                <w:sz w:val="25"/>
                <w:szCs w:val="25"/>
                <w:b w:val="1"/>
                <w:bCs w:val="1"/>
                <w:color w:val="auto"/>
                <w:vertAlign w:val="subscript"/>
              </w:rPr>
              <w:t>2</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Carbon dioxide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COLI</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Corporate-owned life insurance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COVID-19</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Coronavirus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CPP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Clean Power Plan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ELG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Effluent limitations guidelines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Environmental Protection Agency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EPS</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per common share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ERCOT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Electric Reliability Council of Texas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ERISA</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Employee Retirement Income Security Act of 1974, as amended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ERSP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Earnings Review and Sharing Plan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Inc. and its consolidated subsidiaries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Board</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Board of Directors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2"/>
          </w:tcPr>
          <w:p>
            <w:pPr>
              <w:spacing w:after="0" w:line="198" w:lineRule="exact"/>
              <w:rPr>
                <w:sz w:val="20"/>
                <w:szCs w:val="20"/>
                <w:color w:val="auto"/>
              </w:rPr>
            </w:pPr>
            <w:r>
              <w:rPr>
                <w:rFonts w:ascii="Arial" w:cs="Arial" w:eastAsia="Arial" w:hAnsi="Arial"/>
                <w:sz w:val="20"/>
                <w:szCs w:val="20"/>
                <w:b w:val="1"/>
                <w:bCs w:val="1"/>
                <w:color w:val="auto"/>
              </w:rPr>
              <w:t>Evergy Companies</w:t>
            </w:r>
          </w:p>
        </w:tc>
        <w:tc>
          <w:tcPr>
            <w:tcW w:w="7940" w:type="dxa"/>
            <w:vAlign w:val="bottom"/>
            <w:gridSpan w:val="3"/>
          </w:tcPr>
          <w:p>
            <w:pPr>
              <w:ind w:left="200"/>
              <w:spacing w:after="0" w:line="198" w:lineRule="exact"/>
              <w:rPr>
                <w:sz w:val="20"/>
                <w:szCs w:val="20"/>
                <w:color w:val="auto"/>
              </w:rPr>
            </w:pPr>
            <w:r>
              <w:rPr>
                <w:rFonts w:ascii="Arial" w:cs="Arial" w:eastAsia="Arial" w:hAnsi="Arial"/>
                <w:sz w:val="20"/>
                <w:szCs w:val="20"/>
                <w:color w:val="auto"/>
                <w:w w:val="91"/>
              </w:rPr>
              <w:t>Evergy, Evergy Kansas Central, and Evergy Metro, collectively, which are individual registrants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Central</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within the Evergy consolidated group</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80" w:type="dxa"/>
            <w:vAlign w:val="bottom"/>
            <w:gridSpan w:val="2"/>
            <w:vMerge w:val="continue"/>
          </w:tcPr>
          <w:p>
            <w:pPr>
              <w:spacing w:after="0"/>
              <w:rPr>
                <w:sz w:val="16"/>
                <w:szCs w:val="16"/>
                <w:color w:val="auto"/>
              </w:rPr>
            </w:pPr>
          </w:p>
        </w:tc>
        <w:tc>
          <w:tcPr>
            <w:tcW w:w="7940" w:type="dxa"/>
            <w:vAlign w:val="bottom"/>
            <w:gridSpan w:val="3"/>
          </w:tcPr>
          <w:p>
            <w:pPr>
              <w:ind w:left="200"/>
              <w:spacing w:after="0" w:line="192" w:lineRule="exact"/>
              <w:rPr>
                <w:sz w:val="20"/>
                <w:szCs w:val="20"/>
                <w:color w:val="auto"/>
              </w:rPr>
            </w:pPr>
            <w:r>
              <w:rPr>
                <w:rFonts w:ascii="Arial" w:cs="Arial" w:eastAsia="Arial" w:hAnsi="Arial"/>
                <w:sz w:val="20"/>
                <w:szCs w:val="20"/>
                <w:color w:val="auto"/>
              </w:rPr>
              <w:t>Evergy Kansas Central, Inc., a wholly-owned subsidiary of Evergy, and its consolidated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Evergy Kansas South</w:t>
            </w:r>
          </w:p>
        </w:tc>
        <w:tc>
          <w:tcPr>
            <w:tcW w:w="7940" w:type="dxa"/>
            <w:vAlign w:val="bottom"/>
            <w:gridSpan w:val="3"/>
          </w:tcPr>
          <w:p>
            <w:pPr>
              <w:ind w:left="360"/>
              <w:spacing w:after="0"/>
              <w:rPr>
                <w:sz w:val="20"/>
                <w:szCs w:val="20"/>
                <w:color w:val="auto"/>
              </w:rPr>
            </w:pPr>
            <w:r>
              <w:rPr>
                <w:rFonts w:ascii="Arial" w:cs="Arial" w:eastAsia="Arial" w:hAnsi="Arial"/>
                <w:sz w:val="20"/>
                <w:szCs w:val="20"/>
                <w:color w:val="auto"/>
              </w:rPr>
              <w:t>subsidiaries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2"/>
            <w:vMerge w:val="continue"/>
          </w:tcPr>
          <w:p>
            <w:pPr>
              <w:spacing w:after="0"/>
              <w:rPr>
                <w:sz w:val="20"/>
                <w:szCs w:val="20"/>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Kansas South, Inc., a wholly-owned subsidiary of Evergy Kansas Central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Metro</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w w:val="96"/>
              </w:rPr>
              <w:t>Evergy Metro, Inc., a wholly-owned subsidiary of Evergy, and its consolidated subsidiaries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Missouri West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Missouri West, Inc., a wholly-owned subsidiary of Evergy</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Evergy Transmission Company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Evergy Transmission Company, LLC</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Exchange Act</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The Securities Exchange Act of 1934, as amended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gridSpan w:val="2"/>
          </w:tcPr>
          <w:p>
            <w:pPr>
              <w:spacing w:after="0" w:line="198" w:lineRule="exact"/>
              <w:rPr>
                <w:sz w:val="20"/>
                <w:szCs w:val="20"/>
                <w:color w:val="auto"/>
              </w:rPr>
            </w:pPr>
            <w:r>
              <w:rPr>
                <w:rFonts w:ascii="Arial" w:cs="Arial" w:eastAsia="Arial" w:hAnsi="Arial"/>
                <w:sz w:val="20"/>
                <w:szCs w:val="20"/>
                <w:b w:val="1"/>
                <w:bCs w:val="1"/>
                <w:color w:val="auto"/>
                <w:w w:val="96"/>
              </w:rPr>
              <w:t>February 2021 winter weather event</w:t>
            </w:r>
          </w:p>
        </w:tc>
        <w:tc>
          <w:tcPr>
            <w:tcW w:w="7940" w:type="dxa"/>
            <w:vAlign w:val="bottom"/>
            <w:gridSpan w:val="3"/>
          </w:tcPr>
          <w:p>
            <w:pPr>
              <w:ind w:left="200"/>
              <w:spacing w:after="0" w:line="198" w:lineRule="exact"/>
              <w:rPr>
                <w:sz w:val="20"/>
                <w:szCs w:val="20"/>
                <w:color w:val="auto"/>
              </w:rPr>
            </w:pPr>
            <w:r>
              <w:rPr>
                <w:rFonts w:ascii="Arial" w:cs="Arial" w:eastAsia="Arial" w:hAnsi="Arial"/>
                <w:sz w:val="20"/>
                <w:szCs w:val="20"/>
                <w:color w:val="auto"/>
                <w:w w:val="92"/>
              </w:rPr>
              <w:t>Significant winter weather event in February 2021 that resulted in extremely cold temperatures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2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FERC</w:t>
            </w:r>
          </w:p>
        </w:tc>
        <w:tc>
          <w:tcPr>
            <w:tcW w:w="7940" w:type="dxa"/>
            <w:vAlign w:val="bottom"/>
            <w:gridSpan w:val="3"/>
          </w:tcPr>
          <w:p>
            <w:pPr>
              <w:ind w:left="280"/>
              <w:spacing w:after="0"/>
              <w:rPr>
                <w:sz w:val="20"/>
                <w:szCs w:val="20"/>
                <w:color w:val="auto"/>
              </w:rPr>
            </w:pPr>
            <w:r>
              <w:rPr>
                <w:rFonts w:ascii="Arial" w:cs="Arial" w:eastAsia="Arial" w:hAnsi="Arial"/>
                <w:sz w:val="20"/>
                <w:szCs w:val="20"/>
                <w:color w:val="auto"/>
              </w:rPr>
              <w:t>over a multi-day period across much of the central and southern United States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80" w:type="dxa"/>
            <w:vAlign w:val="bottom"/>
            <w:gridSpan w:val="2"/>
            <w:vMerge w:val="continue"/>
          </w:tcPr>
          <w:p>
            <w:pPr>
              <w:spacing w:after="0"/>
              <w:rPr>
                <w:sz w:val="20"/>
                <w:szCs w:val="20"/>
                <w:color w:val="auto"/>
              </w:rPr>
            </w:pP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Federal Energy Regulatory Commission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FGD</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Flue Gas Desulfurization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GAAP</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Generally Accepted Accounting Principles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GHG</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Greenhouse gas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Great Plains Energy</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Great Plains Energy Incorporated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JEC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Jeffrey Energy Center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KCC</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State Corporation Commission of the State of Kansas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Arial" w:cs="Arial" w:eastAsia="Arial" w:hAnsi="Arial"/>
                <w:sz w:val="20"/>
                <w:szCs w:val="20"/>
                <w:b w:val="1"/>
                <w:bCs w:val="1"/>
                <w:color w:val="auto"/>
              </w:rPr>
              <w:t>KDHE</w:t>
            </w:r>
          </w:p>
        </w:tc>
        <w:tc>
          <w:tcPr>
            <w:tcW w:w="7940" w:type="dxa"/>
            <w:vAlign w:val="bottom"/>
            <w:gridSpan w:val="3"/>
          </w:tcPr>
          <w:p>
            <w:pPr>
              <w:ind w:left="200"/>
              <w:spacing w:after="0"/>
              <w:rPr>
                <w:sz w:val="20"/>
                <w:szCs w:val="20"/>
                <w:color w:val="auto"/>
              </w:rPr>
            </w:pPr>
            <w:r>
              <w:rPr>
                <w:rFonts w:ascii="Arial" w:cs="Arial" w:eastAsia="Arial" w:hAnsi="Arial"/>
                <w:sz w:val="20"/>
                <w:szCs w:val="20"/>
                <w:color w:val="auto"/>
              </w:rPr>
              <w:t>Kansas Department of Health &amp; Environment</w:t>
            </w:r>
          </w:p>
        </w:tc>
        <w:tc>
          <w:tcPr>
            <w:tcW w:w="0" w:type="dxa"/>
            <w:vAlign w:val="bottom"/>
          </w:tcPr>
          <w:p>
            <w:pPr>
              <w:spacing w:after="0"/>
              <w:rPr>
                <w:sz w:val="1"/>
                <w:szCs w:val="1"/>
                <w:color w:val="auto"/>
              </w:rPr>
            </w:pPr>
          </w:p>
        </w:tc>
      </w:tr>
      <w:tr>
        <w:trPr>
          <w:trHeight w:val="860"/>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20" w:type="dxa"/>
            <w:vAlign w:val="bottom"/>
          </w:tcPr>
          <w:p>
            <w:pPr>
              <w:ind w:left="2280"/>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2"/>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1440" w:type="dxa"/>
            <w:vAlign w:val="bottom"/>
            <w:gridSpan w:val="2"/>
          </w:tcPr>
          <w:p>
            <w:pPr>
              <w:spacing w:after="0"/>
              <w:rPr>
                <w:sz w:val="19"/>
                <w:szCs w:val="19"/>
                <w:color w:val="auto"/>
              </w:rPr>
            </w:pPr>
          </w:p>
        </w:tc>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885"/>
        </w:trPr>
        <w:tc>
          <w:tcPr>
            <w:tcW w:w="2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20"/>
                <w:szCs w:val="20"/>
                <w:b w:val="1"/>
                <w:bCs w:val="1"/>
                <w:color w:val="auto"/>
                <w:w w:val="90"/>
              </w:rPr>
              <w:t>Abbreviation or Acronym</w:t>
            </w:r>
          </w:p>
        </w:tc>
        <w:tc>
          <w:tcPr>
            <w:tcW w:w="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r>
      <w:tr>
        <w:trPr>
          <w:trHeight w:val="254"/>
        </w:trPr>
        <w:tc>
          <w:tcPr>
            <w:tcW w:w="20" w:type="dxa"/>
            <w:vAlign w:val="bottom"/>
          </w:tcPr>
          <w:p>
            <w:pPr>
              <w:spacing w:after="0"/>
              <w:rPr>
                <w:sz w:val="22"/>
                <w:szCs w:val="22"/>
                <w:color w:val="auto"/>
              </w:rPr>
            </w:pPr>
          </w:p>
        </w:tc>
        <w:tc>
          <w:tcPr>
            <w:tcW w:w="2200" w:type="dxa"/>
            <w:vAlign w:val="bottom"/>
            <w:tcBorders>
              <w:top w:val="single" w:sz="8" w:color="auto"/>
            </w:tcBorders>
            <w:gridSpan w:val="2"/>
          </w:tcPr>
          <w:p>
            <w:pPr>
              <w:spacing w:after="0"/>
              <w:rPr>
                <w:sz w:val="20"/>
                <w:szCs w:val="20"/>
                <w:color w:val="auto"/>
              </w:rPr>
            </w:pPr>
            <w:r>
              <w:rPr>
                <w:rFonts w:ascii="Arial" w:cs="Arial" w:eastAsia="Arial" w:hAnsi="Arial"/>
                <w:sz w:val="20"/>
                <w:szCs w:val="20"/>
                <w:b w:val="1"/>
                <w:bCs w:val="1"/>
                <w:color w:val="auto"/>
              </w:rPr>
              <w:t>kV</w:t>
            </w:r>
          </w:p>
        </w:tc>
        <w:tc>
          <w:tcPr>
            <w:tcW w:w="640" w:type="dxa"/>
            <w:vAlign w:val="bottom"/>
          </w:tcPr>
          <w:p>
            <w:pPr>
              <w:spacing w:after="0"/>
              <w:rPr>
                <w:sz w:val="22"/>
                <w:szCs w:val="22"/>
                <w:color w:val="auto"/>
              </w:rPr>
            </w:pPr>
          </w:p>
        </w:tc>
        <w:tc>
          <w:tcPr>
            <w:tcW w:w="4060" w:type="dxa"/>
            <w:vAlign w:val="bottom"/>
          </w:tcPr>
          <w:p>
            <w:pPr>
              <w:ind w:left="640"/>
              <w:spacing w:after="0"/>
              <w:rPr>
                <w:sz w:val="20"/>
                <w:szCs w:val="20"/>
                <w:color w:val="auto"/>
              </w:rPr>
            </w:pPr>
            <w:r>
              <w:rPr>
                <w:rFonts w:ascii="Arial" w:cs="Arial" w:eastAsia="Arial" w:hAnsi="Arial"/>
                <w:sz w:val="20"/>
                <w:szCs w:val="20"/>
                <w:color w:val="auto"/>
              </w:rPr>
              <w:t>Kilovolt</w:t>
            </w:r>
          </w:p>
        </w:tc>
        <w:tc>
          <w:tcPr>
            <w:tcW w:w="840" w:type="dxa"/>
            <w:vAlign w:val="bottom"/>
            <w:tcBorders>
              <w:top w:val="single" w:sz="8" w:color="auto"/>
            </w:tcBorders>
          </w:tcPr>
          <w:p>
            <w:pPr>
              <w:spacing w:after="0"/>
              <w:rPr>
                <w:sz w:val="22"/>
                <w:szCs w:val="22"/>
                <w:color w:val="auto"/>
              </w:rPr>
            </w:pPr>
          </w:p>
        </w:tc>
        <w:tc>
          <w:tcPr>
            <w:tcW w:w="348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kWh</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Kilowatt hour</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MDNR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Missouri Department of Natural Resources</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MECG</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Midwest Energy Consumers Group</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MPSC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Public Service Commission of the State of Missouri</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MWh</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Megawatt hour</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NAAQS</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National Ambient Air Quality Standards</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NAV</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Net asset value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OCI</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Other comprehensive income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OPC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Office of the Public Counsel</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Prairie Wind</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Prairie Wind Transmission, LLC, 50% owned by Evergy Kansas Central</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RSU</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Restricted share unit</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RTO</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Regional transmission organization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SEC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Securities and Exchange Commission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SIP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State implementation plan</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SPP</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Southwest Power Pool, Inc.</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TDC</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delivery charge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TFR</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Transmission formula rate</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Transource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w w:val="92"/>
              </w:rPr>
              <w:t>Transource Energy, LLC and its subsidiaries, 13.5% owned by Evergy Transmission Company</w:t>
            </w:r>
          </w:p>
        </w:tc>
      </w:tr>
      <w:tr>
        <w:trPr>
          <w:trHeight w:val="243"/>
        </w:trPr>
        <w:tc>
          <w:tcPr>
            <w:tcW w:w="2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VIE</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Variable interest entity</w:t>
            </w:r>
          </w:p>
        </w:tc>
      </w:tr>
      <w:tr>
        <w:trPr>
          <w:trHeight w:val="256"/>
        </w:trPr>
        <w:tc>
          <w:tcPr>
            <w:tcW w:w="20" w:type="dxa"/>
            <w:vAlign w:val="bottom"/>
          </w:tcPr>
          <w:p>
            <w:pPr>
              <w:spacing w:after="0"/>
              <w:rPr>
                <w:sz w:val="22"/>
                <w:szCs w:val="22"/>
                <w:color w:val="auto"/>
              </w:rPr>
            </w:pPr>
          </w:p>
        </w:tc>
        <w:tc>
          <w:tcPr>
            <w:tcW w:w="2840" w:type="dxa"/>
            <w:vAlign w:val="bottom"/>
            <w:gridSpan w:val="3"/>
          </w:tcPr>
          <w:p>
            <w:pPr>
              <w:spacing w:after="0"/>
              <w:rPr>
                <w:sz w:val="20"/>
                <w:szCs w:val="20"/>
                <w:color w:val="auto"/>
              </w:rPr>
            </w:pPr>
            <w:r>
              <w:rPr>
                <w:rFonts w:ascii="Arial" w:cs="Arial" w:eastAsia="Arial" w:hAnsi="Arial"/>
                <w:sz w:val="20"/>
                <w:szCs w:val="20"/>
                <w:b w:val="1"/>
                <w:bCs w:val="1"/>
                <w:color w:val="auto"/>
              </w:rPr>
              <w:t>Wolf Creek</w:t>
            </w:r>
          </w:p>
        </w:tc>
        <w:tc>
          <w:tcPr>
            <w:tcW w:w="8380" w:type="dxa"/>
            <w:vAlign w:val="bottom"/>
            <w:gridSpan w:val="3"/>
          </w:tcPr>
          <w:p>
            <w:pPr>
              <w:ind w:left="640"/>
              <w:spacing w:after="0"/>
              <w:rPr>
                <w:sz w:val="20"/>
                <w:szCs w:val="20"/>
                <w:color w:val="auto"/>
              </w:rPr>
            </w:pPr>
            <w:r>
              <w:rPr>
                <w:rFonts w:ascii="Arial" w:cs="Arial" w:eastAsia="Arial" w:hAnsi="Arial"/>
                <w:sz w:val="20"/>
                <w:szCs w:val="20"/>
                <w:color w:val="auto"/>
              </w:rPr>
              <w:t>Wolf Creek Generating Station</w:t>
            </w:r>
          </w:p>
        </w:tc>
      </w:tr>
      <w:tr>
        <w:trPr>
          <w:trHeight w:val="84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60" w:type="dxa"/>
            <w:vAlign w:val="bottom"/>
          </w:tcPr>
          <w:p>
            <w:pPr>
              <w:ind w:left="272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 w:right="339" w:bottom="1440" w:gutter="0" w:footer="0" w:header="0"/>
        </w:sectPr>
      </w:pPr>
    </w:p>
    <w:bookmarkStart w:id="7" w:name="page8"/>
    <w:bookmarkEnd w:id="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w w:val="97"/>
              </w:rPr>
              <w:t>June 30</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18"/>
                <w:szCs w:val="18"/>
                <w:color w:val="auto"/>
              </w:rPr>
            </w:pPr>
          </w:p>
        </w:tc>
        <w:tc>
          <w:tcPr>
            <w:tcW w:w="2440" w:type="dxa"/>
            <w:vAlign w:val="bottom"/>
            <w:gridSpan w:val="3"/>
          </w:tcPr>
          <w:p>
            <w:pPr>
              <w:jc w:val="right"/>
              <w:ind w:right="35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58.4</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144.9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$20.0 and $19.3, respectively</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398.4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273.9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326.0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360.0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Fuel inventory and supplies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538.1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504.5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receivable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57.7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62.9</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272.7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206.2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78.3</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71.9</w:t>
            </w: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1,729.6</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1,624.3</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20,324.1</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19,951.0</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151.4</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154.9</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assets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2,214.4</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1,868.2</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Nuclear decommissioning trust fund</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729.4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652.1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2,336.6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2,336.6</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523.3</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527.7</w:t>
            </w: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Assets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5,803.7</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5,384.6</w:t>
            </w:r>
          </w:p>
        </w:tc>
      </w:tr>
      <w:tr>
        <w:trPr>
          <w:trHeight w:val="219"/>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28,008.8</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27,114.8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w w:val="97"/>
              </w:rPr>
              <w:t>June 30</w:t>
            </w:r>
          </w:p>
        </w:tc>
        <w:tc>
          <w:tcPr>
            <w:tcW w:w="138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3"/>
          </w:tcPr>
          <w:p>
            <w:pPr>
              <w:jc w:val="right"/>
              <w:ind w:right="359"/>
              <w:spacing w:after="0"/>
              <w:rPr>
                <w:sz w:val="20"/>
                <w:szCs w:val="20"/>
                <w:color w:val="auto"/>
              </w:rPr>
            </w:pPr>
            <w:r>
              <w:rPr>
                <w:rFonts w:ascii="Arial" w:cs="Arial" w:eastAsia="Arial" w:hAnsi="Arial"/>
                <w:sz w:val="14"/>
                <w:szCs w:val="14"/>
                <w:color w:val="auto"/>
                <w:w w:val="98"/>
              </w:rPr>
              <w:t>(millions, except share amounts)</w:t>
            </w:r>
          </w:p>
        </w:tc>
        <w:tc>
          <w:tcPr>
            <w:tcW w:w="0" w:type="dxa"/>
            <w:vAlign w:val="bottom"/>
          </w:tcPr>
          <w:p>
            <w:pPr>
              <w:spacing w:after="0"/>
              <w:rPr>
                <w:sz w:val="1"/>
                <w:szCs w:val="1"/>
                <w:color w:val="auto"/>
              </w:rPr>
            </w:pP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472.9</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436.4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Current maturities of long-term debt of variable interest entities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Notes payable and commercial paper</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913.0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315.0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Collateralized note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326.0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390.0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654.0</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201.0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143.8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94.4</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123.4</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48.5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28.7</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59.8</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169.6</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182.6</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2,703.9</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2,355.8</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9,297.3</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9,190.9</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1,745.3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1,664.8</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184.1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186.7</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2,731.1</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2,638.8</w:t>
            </w: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1,136.7</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1,149.4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926.8</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901.7</w:t>
            </w:r>
          </w:p>
        </w:tc>
        <w:tc>
          <w:tcPr>
            <w:tcW w:w="0" w:type="dxa"/>
            <w:vAlign w:val="bottom"/>
          </w:tcPr>
          <w:p>
            <w:pPr>
              <w:spacing w:after="0"/>
              <w:rPr>
                <w:sz w:val="1"/>
                <w:szCs w:val="1"/>
                <w:color w:val="auto"/>
              </w:rPr>
            </w:pP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306.5</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308.2</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16,327.8</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16,040.5</w:t>
            </w:r>
          </w:p>
        </w:tc>
        <w:tc>
          <w:tcPr>
            <w:tcW w:w="0" w:type="dxa"/>
            <w:vAlign w:val="bottom"/>
          </w:tcPr>
          <w:p>
            <w:pPr>
              <w:spacing w:after="0"/>
              <w:rPr>
                <w:sz w:val="1"/>
                <w:szCs w:val="1"/>
                <w:color w:val="auto"/>
              </w:rPr>
            </w:pP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Evergy, Inc. Shareholders' Equity: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400" w:type="dxa"/>
            <w:vAlign w:val="bottom"/>
            <w:shd w:val="clear" w:color="auto" w:fill="CCEEFF"/>
          </w:tcPr>
          <w:p>
            <w:pPr>
              <w:ind w:left="360"/>
              <w:spacing w:after="0" w:line="169" w:lineRule="exact"/>
              <w:rPr>
                <w:sz w:val="20"/>
                <w:szCs w:val="20"/>
                <w:color w:val="auto"/>
              </w:rPr>
            </w:pPr>
            <w:r>
              <w:rPr>
                <w:rFonts w:ascii="Arial" w:cs="Arial" w:eastAsia="Arial" w:hAnsi="Arial"/>
                <w:sz w:val="16"/>
                <w:szCs w:val="16"/>
                <w:color w:val="auto"/>
              </w:rPr>
              <w:t>Common stock - 600,000,000 shares authorized, without par value</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7,197.6</w:t>
            </w:r>
          </w:p>
        </w:tc>
        <w:tc>
          <w:tcPr>
            <w:tcW w:w="4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7,080.0</w:t>
            </w:r>
          </w:p>
        </w:tc>
        <w:tc>
          <w:tcPr>
            <w:tcW w:w="0" w:type="dxa"/>
            <w:vAlign w:val="bottom"/>
          </w:tcPr>
          <w:p>
            <w:pPr>
              <w:spacing w:after="0"/>
              <w:rPr>
                <w:sz w:val="1"/>
                <w:szCs w:val="1"/>
                <w:color w:val="auto"/>
              </w:rPr>
            </w:pPr>
          </w:p>
        </w:tc>
      </w:tr>
      <w:tr>
        <w:trPr>
          <w:trHeight w:val="212"/>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229,296,214 and 226,836,670 shares issued, stated value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00" w:type="dxa"/>
            <w:vAlign w:val="bottom"/>
          </w:tcPr>
          <w:p>
            <w:pPr>
              <w:ind w:left="360"/>
              <w:spacing w:after="0"/>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1,835.0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1,702.8</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(46.6)</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07"/>
        </w:trPr>
        <w:tc>
          <w:tcPr>
            <w:tcW w:w="8400" w:type="dxa"/>
            <w:vAlign w:val="bottom"/>
          </w:tcPr>
          <w:p>
            <w:pPr>
              <w:ind w:left="480"/>
              <w:spacing w:after="0"/>
              <w:rPr>
                <w:sz w:val="20"/>
                <w:szCs w:val="20"/>
                <w:color w:val="auto"/>
              </w:rPr>
            </w:pPr>
            <w:r>
              <w:rPr>
                <w:rFonts w:ascii="Arial" w:cs="Arial" w:eastAsia="Arial" w:hAnsi="Arial"/>
                <w:sz w:val="16"/>
                <w:szCs w:val="16"/>
                <w:color w:val="auto"/>
              </w:rPr>
              <w:t>Total Evergy, Inc. Shareholders' Equity</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8,986.0</w:t>
            </w:r>
          </w:p>
        </w:tc>
        <w:tc>
          <w:tcPr>
            <w:tcW w:w="44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8,733.4</w:t>
            </w:r>
          </w:p>
        </w:tc>
        <w:tc>
          <w:tcPr>
            <w:tcW w:w="0" w:type="dxa"/>
            <w:vAlign w:val="bottom"/>
          </w:tcPr>
          <w:p>
            <w:pPr>
              <w:spacing w:after="0"/>
              <w:rPr>
                <w:sz w:val="1"/>
                <w:szCs w:val="1"/>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(8.9)</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7"/>
        </w:trPr>
        <w:tc>
          <w:tcPr>
            <w:tcW w:w="84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Equity</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8,977.1</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8,718.5</w:t>
            </w:r>
          </w:p>
        </w:tc>
        <w:tc>
          <w:tcPr>
            <w:tcW w:w="0" w:type="dxa"/>
            <w:vAlign w:val="bottom"/>
          </w:tcPr>
          <w:p>
            <w:pPr>
              <w:spacing w:after="0"/>
              <w:rPr>
                <w:sz w:val="1"/>
                <w:szCs w:val="1"/>
                <w:color w:val="auto"/>
              </w:rPr>
            </w:pPr>
          </w:p>
        </w:tc>
      </w:tr>
      <w:tr>
        <w:trPr>
          <w:trHeight w:val="219"/>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28,008.8</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27,114.8</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320" w:type="dxa"/>
            <w:vAlign w:val="bottom"/>
          </w:tcPr>
          <w:p>
            <w:pPr>
              <w:jc w:val="center"/>
              <w:ind w:left="4779"/>
              <w:spacing w:after="0"/>
              <w:rPr>
                <w:sz w:val="20"/>
                <w:szCs w:val="20"/>
                <w:color w:val="auto"/>
              </w:rPr>
            </w:pPr>
            <w:r>
              <w:rPr>
                <w:rFonts w:ascii="Arial" w:cs="Arial" w:eastAsia="Arial" w:hAnsi="Arial"/>
                <w:sz w:val="16"/>
                <w:szCs w:val="16"/>
                <w:b w:val="1"/>
                <w:bCs w:val="1"/>
                <w:color w:val="auto"/>
              </w:rPr>
              <w:t>EVERGY, INC.</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600" w:type="dxa"/>
            <w:vAlign w:val="bottom"/>
            <w:gridSpan w:val="3"/>
          </w:tcPr>
          <w:p>
            <w:pPr>
              <w:jc w:val="center"/>
              <w:ind w:left="3479"/>
              <w:spacing w:after="0"/>
              <w:rPr>
                <w:sz w:val="20"/>
                <w:szCs w:val="20"/>
                <w:color w:val="auto"/>
              </w:rPr>
            </w:pPr>
            <w:r>
              <w:rPr>
                <w:rFonts w:ascii="Arial" w:cs="Arial" w:eastAsia="Arial" w:hAnsi="Arial"/>
                <w:sz w:val="16"/>
                <w:szCs w:val="16"/>
                <w:b w:val="1"/>
                <w:bCs w:val="1"/>
                <w:color w:val="auto"/>
                <w:w w:val="89"/>
              </w:rPr>
              <w:t>Consolidated Statements of Comprehensive Income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320" w:type="dxa"/>
            <w:vAlign w:val="bottom"/>
          </w:tcPr>
          <w:p>
            <w:pPr>
              <w:jc w:val="center"/>
              <w:ind w:left="4779"/>
              <w:spacing w:after="0"/>
              <w:rPr>
                <w:sz w:val="20"/>
                <w:szCs w:val="20"/>
                <w:color w:val="auto"/>
              </w:rPr>
            </w:pPr>
            <w:r>
              <w:rPr>
                <w:rFonts w:ascii="Arial" w:cs="Arial" w:eastAsia="Arial" w:hAnsi="Arial"/>
                <w:sz w:val="16"/>
                <w:szCs w:val="16"/>
                <w:color w:val="auto"/>
                <w:w w:val="93"/>
              </w:rPr>
              <w:t>(Unaudited)</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68"/>
        </w:trPr>
        <w:tc>
          <w:tcPr>
            <w:tcW w:w="6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3"/>
          </w:tcPr>
          <w:p>
            <w:pPr>
              <w:jc w:val="right"/>
              <w:ind w:right="399"/>
              <w:spacing w:after="0" w:line="168" w:lineRule="exact"/>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Year to Date</w:t>
            </w:r>
          </w:p>
        </w:tc>
        <w:tc>
          <w:tcPr>
            <w:tcW w:w="720" w:type="dxa"/>
            <w:vAlign w:val="bottom"/>
          </w:tcPr>
          <w:p>
            <w:pPr>
              <w:spacing w:after="0"/>
              <w:rPr>
                <w:sz w:val="14"/>
                <w:szCs w:val="14"/>
                <w:color w:val="auto"/>
              </w:rPr>
            </w:pPr>
          </w:p>
        </w:tc>
      </w:tr>
      <w:tr>
        <w:trPr>
          <w:trHeight w:val="210"/>
        </w:trPr>
        <w:tc>
          <w:tcPr>
            <w:tcW w:w="6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229"/>
        </w:trPr>
        <w:tc>
          <w:tcPr>
            <w:tcW w:w="63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2020</w:t>
            </w:r>
          </w:p>
        </w:tc>
      </w:tr>
      <w:tr>
        <w:trPr>
          <w:trHeight w:val="186"/>
        </w:trPr>
        <w:tc>
          <w:tcPr>
            <w:tcW w:w="6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40" w:type="dxa"/>
            <w:vAlign w:val="bottom"/>
            <w:gridSpan w:val="4"/>
          </w:tcPr>
          <w:p>
            <w:pPr>
              <w:jc w:val="right"/>
              <w:ind w:right="79"/>
              <w:spacing w:after="0"/>
              <w:rPr>
                <w:sz w:val="20"/>
                <w:szCs w:val="20"/>
                <w:color w:val="auto"/>
              </w:rPr>
            </w:pPr>
            <w:r>
              <w:rPr>
                <w:rFonts w:ascii="Arial" w:cs="Arial" w:eastAsia="Arial" w:hAnsi="Arial"/>
                <w:sz w:val="14"/>
                <w:szCs w:val="14"/>
                <w:color w:val="auto"/>
              </w:rPr>
              <w:t>(millions, except per share amounts)</w:t>
            </w: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1,236.2</w:t>
            </w:r>
          </w:p>
        </w:tc>
        <w:tc>
          <w:tcPr>
            <w:tcW w:w="3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1,184.7</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2,848.1</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2,301.4</w:t>
            </w: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284.1</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258.1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919.2</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4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73.8</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69.7</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143.2</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131.7</w:t>
            </w: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259.9</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272.7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535.4</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560.9</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225.2</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221.6</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444.5</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440.1</w:t>
            </w: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97.9</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90.9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192.8</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r>
      <w:tr>
        <w:trPr>
          <w:trHeight w:val="207"/>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940.9</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913.0</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2,235.1</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1,832.2</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295.3</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271.7</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613.0</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469.2</w:t>
            </w: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10.0</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4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14.7</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7.6</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25.9</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(18.8)</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(39.7)</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r>
      <w:tr>
        <w:trPr>
          <w:trHeight w:val="207"/>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Income (Expense), Net</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4.3</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93.8</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99.5</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187.8</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w:t>
            </w:r>
          </w:p>
        </w:tc>
      </w:tr>
      <w:tr>
        <w:trPr>
          <w:trHeight w:val="207"/>
        </w:trPr>
        <w:tc>
          <w:tcPr>
            <w:tcW w:w="63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40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205.8</w:t>
            </w:r>
          </w:p>
        </w:tc>
        <w:tc>
          <w:tcPr>
            <w:tcW w:w="36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168.0</w:t>
            </w:r>
          </w:p>
        </w:tc>
        <w:tc>
          <w:tcPr>
            <w:tcW w:w="320" w:type="dxa"/>
            <w:vAlign w:val="bottom"/>
          </w:tcPr>
          <w:p>
            <w:pPr>
              <w:spacing w:after="0"/>
              <w:rPr>
                <w:sz w:val="17"/>
                <w:szCs w:val="17"/>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421.4</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248.1</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19.6</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42.6</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4.1</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188.3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382.9</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6.0</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EVERGY, INC.</w:t>
            </w: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185.3</w:t>
            </w:r>
          </w:p>
        </w:tc>
        <w:tc>
          <w:tcPr>
            <w:tcW w:w="3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133.4</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376.9</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w:t>
            </w:r>
          </w:p>
        </w:tc>
      </w:tr>
      <w:tr>
        <w:trPr>
          <w:trHeight w:val="166"/>
        </w:trPr>
        <w:tc>
          <w:tcPr>
            <w:tcW w:w="6320" w:type="dxa"/>
            <w:vAlign w:val="bottom"/>
          </w:tcPr>
          <w:p>
            <w:pPr>
              <w:ind w:left="20"/>
              <w:spacing w:after="0" w:line="166" w:lineRule="exact"/>
              <w:rPr>
                <w:sz w:val="20"/>
                <w:szCs w:val="20"/>
                <w:color w:val="auto"/>
              </w:rPr>
            </w:pPr>
            <w:r>
              <w:rPr>
                <w:rFonts w:ascii="Arial" w:cs="Arial" w:eastAsia="Arial" w:hAnsi="Arial"/>
                <w:sz w:val="16"/>
                <w:szCs w:val="16"/>
                <w:color w:val="auto"/>
              </w:rPr>
              <w:t>BASIC AND DILUTED EARNINGS PER AVERAGE COMMON SHARE OUTSTANDING</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09"/>
        </w:trPr>
        <w:tc>
          <w:tcPr>
            <w:tcW w:w="6320" w:type="dxa"/>
            <w:vAlign w:val="bottom"/>
          </w:tcPr>
          <w:p>
            <w:pPr>
              <w:ind w:left="180"/>
              <w:spacing w:after="0"/>
              <w:rPr>
                <w:sz w:val="20"/>
                <w:szCs w:val="20"/>
                <w:color w:val="auto"/>
              </w:rPr>
            </w:pPr>
            <w:r>
              <w:rPr>
                <w:rFonts w:ascii="Arial" w:cs="Arial" w:eastAsia="Arial" w:hAnsi="Arial"/>
                <w:sz w:val="16"/>
                <w:szCs w:val="16"/>
                <w:color w:val="auto"/>
              </w:rPr>
              <w:t>ATTRIBUTABLE TO EVERGY, INC. (see Note 1)</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earnings per common share</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0.81</w:t>
            </w:r>
          </w:p>
        </w:tc>
        <w:tc>
          <w:tcPr>
            <w:tcW w:w="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0.59</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1.65</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0.89</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4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0.81</w:t>
            </w:r>
          </w:p>
        </w:tc>
        <w:tc>
          <w:tcPr>
            <w:tcW w:w="3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0.59</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1.65</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0.89</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COMMON SHARES OUTSTANDING</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229.3</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227.2</w:t>
            </w:r>
          </w:p>
        </w:tc>
        <w:tc>
          <w:tcPr>
            <w:tcW w:w="32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228.3</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227.1</w:t>
            </w:r>
          </w:p>
        </w:tc>
      </w:tr>
      <w:tr>
        <w:trPr>
          <w:trHeight w:val="226"/>
        </w:trPr>
        <w:tc>
          <w:tcPr>
            <w:tcW w:w="63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229.7</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228.7</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227.6</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188.3</w:t>
            </w:r>
          </w:p>
        </w:tc>
        <w:tc>
          <w:tcPr>
            <w:tcW w:w="3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136.3</w:t>
            </w:r>
          </w:p>
        </w:tc>
        <w:tc>
          <w:tcPr>
            <w:tcW w:w="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382.9</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Derivative hedging activity</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7"/>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Derivative hedging activity, net of tax</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1.4</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19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Defined benefit pension plans</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3"/>
        </w:trPr>
        <w:tc>
          <w:tcPr>
            <w:tcW w:w="63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Amortization of net losses included in net periodic benefit costs, net of tax</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63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 in unrecognized pension expense, net of tax</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comprehensive income (loss)</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1.4</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189.7</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135.2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385.7</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w:t>
            </w:r>
          </w:p>
        </w:tc>
      </w:tr>
      <w:tr>
        <w:trPr>
          <w:trHeight w:val="213"/>
        </w:trPr>
        <w:tc>
          <w:tcPr>
            <w:tcW w:w="6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6.0</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EVERGY, INC.</w:t>
            </w: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186.7</w:t>
            </w:r>
          </w:p>
        </w:tc>
        <w:tc>
          <w:tcPr>
            <w:tcW w:w="3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132.3</w:t>
            </w:r>
          </w:p>
        </w:tc>
        <w:tc>
          <w:tcPr>
            <w:tcW w:w="3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379.7</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203.0</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June 30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380" w:type="dxa"/>
            <w:vAlign w:val="bottom"/>
            <w:gridSpan w:val="2"/>
          </w:tcPr>
          <w:p>
            <w:pPr>
              <w:jc w:val="right"/>
              <w:ind w:right="19"/>
              <w:spacing w:after="0"/>
              <w:rPr>
                <w:sz w:val="20"/>
                <w:szCs w:val="20"/>
                <w:color w:val="auto"/>
              </w:rPr>
            </w:pPr>
            <w:r>
              <w:rPr>
                <w:rFonts w:ascii="Arial" w:cs="Arial" w:eastAsia="Arial" w:hAnsi="Arial"/>
                <w:sz w:val="14"/>
                <w:szCs w:val="14"/>
                <w:color w:val="auto"/>
              </w:rPr>
              <w:t>(millions)</w:t>
            </w: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382.9</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444.5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19.8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12.6</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11.2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37.1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69.7</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(102.9)</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34.0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(88.0)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(232.3)</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(123.6)</w:t>
            </w:r>
          </w:p>
        </w:tc>
      </w:tr>
      <w:tr>
        <w:trPr>
          <w:trHeight w:val="213"/>
        </w:trPr>
        <w:tc>
          <w:tcPr>
            <w:tcW w:w="872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62.4</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19"/>
        </w:trPr>
        <w:tc>
          <w:tcPr>
            <w:tcW w:w="8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(322.1)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43.1</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224.6</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522.5</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(891.1)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(635.6)</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44.9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30.3</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58.6</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(918.2)</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(601.2)</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598.0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(94.9)</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short-term borrowings,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(34.0)</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Issuance of common stock</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112.5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long-term debt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497.7</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889.5</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Retirements of long-term debt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(351.1)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(251.1)</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 of variable interest entities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51.8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(244.0)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(229.0)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07"/>
        </w:trPr>
        <w:tc>
          <w:tcPr>
            <w:tcW w:w="87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607.1</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(86.5)</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144.9</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5100" w:type="dxa"/>
            <w:vAlign w:val="bottom"/>
          </w:tcPr>
          <w:p>
            <w:pPr>
              <w:spacing w:after="0"/>
              <w:rPr>
                <w:sz w:val="19"/>
                <w:szCs w:val="19"/>
                <w:color w:val="auto"/>
              </w:rPr>
            </w:pPr>
          </w:p>
        </w:tc>
        <w:tc>
          <w:tcPr>
            <w:tcW w:w="322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6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Common</w:t>
            </w:r>
          </w:p>
        </w:tc>
        <w:tc>
          <w:tcPr>
            <w:tcW w:w="12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AOCI</w:t>
            </w: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226,641,443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7,070.4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8,545.3</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169"/>
        </w:trPr>
        <w:tc>
          <w:tcPr>
            <w:tcW w:w="51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97,305</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2"/>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Dividends declared on common stock ($0.505 per share)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226,738,748</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7,072.2</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8,505.4</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169"/>
        </w:trPr>
        <w:tc>
          <w:tcPr>
            <w:tcW w:w="51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86,357</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2"/>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Dividends declared on common stock ($0.505 per share)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(114.6)</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equivalents declared</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Stock compensation expense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100" w:type="dxa"/>
            <w:vAlign w:val="bottom"/>
          </w:tcPr>
          <w:p>
            <w:pPr>
              <w:ind w:left="20"/>
              <w:spacing w:after="0"/>
              <w:rPr>
                <w:sz w:val="20"/>
                <w:szCs w:val="20"/>
                <w:color w:val="auto"/>
              </w:rPr>
            </w:pPr>
            <w:r>
              <w:rPr>
                <w:rFonts w:ascii="Arial" w:cs="Arial" w:eastAsia="Arial" w:hAnsi="Arial"/>
                <w:sz w:val="16"/>
                <w:szCs w:val="16"/>
                <w:color w:val="auto"/>
              </w:rPr>
              <w:t>Change in unrecognized pension expense, net of tax</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226,825,105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7,073.5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8,526.9</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EVERGY,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5080" w:type="dxa"/>
            <w:vAlign w:val="bottom"/>
          </w:tcPr>
          <w:p>
            <w:pPr>
              <w:spacing w:after="0"/>
              <w:rPr>
                <w:sz w:val="19"/>
                <w:szCs w:val="19"/>
                <w:color w:val="auto"/>
              </w:rPr>
            </w:pPr>
          </w:p>
        </w:tc>
        <w:tc>
          <w:tcPr>
            <w:tcW w:w="3200" w:type="dxa"/>
            <w:vAlign w:val="bottom"/>
            <w:tcBorders>
              <w:bottom w:val="single" w:sz="8" w:color="auto"/>
            </w:tcBorders>
            <w:gridSpan w:val="5"/>
          </w:tcPr>
          <w:p>
            <w:pPr>
              <w:jc w:val="right"/>
              <w:ind w:right="219"/>
              <w:spacing w:after="0"/>
              <w:rPr>
                <w:sz w:val="20"/>
                <w:szCs w:val="20"/>
                <w:color w:val="auto"/>
              </w:rPr>
            </w:pPr>
            <w:r>
              <w:rPr>
                <w:rFonts w:ascii="Arial" w:cs="Arial" w:eastAsia="Arial" w:hAnsi="Arial"/>
                <w:sz w:val="16"/>
                <w:szCs w:val="16"/>
                <w:b w:val="1"/>
                <w:bCs w:val="1"/>
                <w:color w:val="auto"/>
              </w:rPr>
              <w:t>Evergy, Inc. Shareholders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6"/>
              </w:rPr>
              <w:t>Common stock</w:t>
            </w:r>
          </w:p>
        </w:tc>
        <w:tc>
          <w:tcPr>
            <w:tcW w:w="160" w:type="dxa"/>
            <w:vAlign w:val="bottom"/>
          </w:tcPr>
          <w:p>
            <w:pPr>
              <w:spacing w:after="0"/>
              <w:rPr>
                <w:sz w:val="12"/>
                <w:szCs w:val="12"/>
                <w:color w:val="auto"/>
              </w:rPr>
            </w:pPr>
          </w:p>
        </w:tc>
        <w:tc>
          <w:tcPr>
            <w:tcW w:w="8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Common</w:t>
            </w:r>
          </w:p>
        </w:tc>
        <w:tc>
          <w:tcPr>
            <w:tcW w:w="120" w:type="dxa"/>
            <w:vAlign w:val="bottom"/>
          </w:tcPr>
          <w:p>
            <w:pPr>
              <w:spacing w:after="0"/>
              <w:rPr>
                <w:sz w:val="12"/>
                <w:szCs w:val="12"/>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AOCI</w:t>
            </w: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Total equity</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2"/>
              </w:rPr>
              <w:t>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color w:val="auto"/>
              </w:rPr>
              <w:t>(millions, except share amounts)</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226,836,670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8,718.5</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194.6</w:t>
            </w:r>
          </w:p>
        </w:tc>
        <w:tc>
          <w:tcPr>
            <w:tcW w:w="0" w:type="dxa"/>
            <w:vAlign w:val="bottom"/>
          </w:tcPr>
          <w:p>
            <w:pPr>
              <w:spacing w:after="0"/>
              <w:rPr>
                <w:sz w:val="1"/>
                <w:szCs w:val="1"/>
                <w:color w:val="auto"/>
              </w:rPr>
            </w:pPr>
          </w:p>
        </w:tc>
      </w:tr>
      <w:tr>
        <w:trPr>
          <w:trHeight w:val="169"/>
        </w:trPr>
        <w:tc>
          <w:tcPr>
            <w:tcW w:w="5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104,896</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2"/>
        </w:trPr>
        <w:tc>
          <w:tcPr>
            <w:tcW w:w="5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Issuance of restricted common stock</w:t>
            </w:r>
          </w:p>
        </w:tc>
        <w:tc>
          <w:tcPr>
            <w:tcW w:w="1220" w:type="dxa"/>
            <w:vAlign w:val="bottom"/>
          </w:tcPr>
          <w:p>
            <w:pPr>
              <w:jc w:val="right"/>
              <w:spacing w:after="0"/>
              <w:rPr>
                <w:sz w:val="20"/>
                <w:szCs w:val="20"/>
                <w:color w:val="auto"/>
              </w:rPr>
            </w:pPr>
            <w:r>
              <w:rPr>
                <w:rFonts w:ascii="Arial" w:cs="Arial" w:eastAsia="Arial" w:hAnsi="Arial"/>
                <w:sz w:val="16"/>
                <w:szCs w:val="16"/>
                <w:color w:val="auto"/>
              </w:rPr>
              <w:t>54,054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($0.535 per share)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restricted common stock</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3"/>
        </w:trPr>
        <w:tc>
          <w:tcPr>
            <w:tcW w:w="5080" w:type="dxa"/>
            <w:vAlign w:val="bottom"/>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3"/>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226,995,620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7,081.5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8,794.4</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188.3</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stock, net of issuance costs</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2,269,447</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166"/>
        </w:trPr>
        <w:tc>
          <w:tcPr>
            <w:tcW w:w="5080" w:type="dxa"/>
            <w:vAlign w:val="bottom"/>
          </w:tcPr>
          <w:p>
            <w:pPr>
              <w:ind w:left="20"/>
              <w:spacing w:after="0" w:line="166" w:lineRule="exact"/>
              <w:rPr>
                <w:sz w:val="20"/>
                <w:szCs w:val="20"/>
                <w:color w:val="auto"/>
              </w:rPr>
            </w:pPr>
            <w:r>
              <w:rPr>
                <w:rFonts w:ascii="Arial" w:cs="Arial" w:eastAsia="Arial" w:hAnsi="Arial"/>
                <w:sz w:val="16"/>
                <w:szCs w:val="16"/>
                <w:color w:val="auto"/>
              </w:rPr>
              <w:t>Issuance of stock compensation and reinvested dividends, net of tax</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31,147</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9"/>
        </w:trPr>
        <w:tc>
          <w:tcPr>
            <w:tcW w:w="5080" w:type="dxa"/>
            <w:vAlign w:val="bottom"/>
          </w:tcPr>
          <w:p>
            <w:pPr>
              <w:ind w:left="180"/>
              <w:spacing w:after="0"/>
              <w:rPr>
                <w:sz w:val="20"/>
                <w:szCs w:val="20"/>
                <w:color w:val="auto"/>
              </w:rPr>
            </w:pPr>
            <w:r>
              <w:rPr>
                <w:rFonts w:ascii="Arial" w:cs="Arial" w:eastAsia="Arial" w:hAnsi="Arial"/>
                <w:sz w:val="16"/>
                <w:szCs w:val="16"/>
                <w:color w:val="auto"/>
              </w:rPr>
              <w:t>withholding</w:t>
            </w:r>
          </w:p>
        </w:tc>
        <w:tc>
          <w:tcPr>
            <w:tcW w:w="1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 ($0.535 per share)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Dividend equivalents declared</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compensation expense</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Unearned compensation</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expense recognized</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3"/>
        </w:trPr>
        <w:tc>
          <w:tcPr>
            <w:tcW w:w="5080" w:type="dxa"/>
            <w:vAlign w:val="bottom"/>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229,296,214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7,197.6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8,977.1</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1400" w:type="dxa"/>
            <w:vAlign w:val="bottom"/>
            <w:gridSpan w:val="2"/>
          </w:tcPr>
          <w:p>
            <w:pPr>
              <w:jc w:val="right"/>
              <w:ind w:right="139"/>
              <w:spacing w:after="0"/>
              <w:rPr>
                <w:sz w:val="20"/>
                <w:szCs w:val="20"/>
                <w:color w:val="auto"/>
              </w:rPr>
            </w:pPr>
            <w:r>
              <w:rPr>
                <w:rFonts w:ascii="Arial" w:cs="Arial" w:eastAsia="Arial" w:hAnsi="Arial"/>
                <w:sz w:val="16"/>
                <w:szCs w:val="16"/>
                <w:color w:val="auto"/>
              </w:rPr>
              <w:t>December 31</w:t>
            </w:r>
          </w:p>
        </w:tc>
      </w:tr>
      <w:tr>
        <w:trPr>
          <w:trHeight w:val="223"/>
        </w:trPr>
        <w:tc>
          <w:tcPr>
            <w:tcW w:w="8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r>
      <w:tr>
        <w:trPr>
          <w:trHeight w:val="210"/>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18"/>
                <w:szCs w:val="18"/>
                <w:color w:val="auto"/>
              </w:rPr>
            </w:pPr>
          </w:p>
        </w:tc>
        <w:tc>
          <w:tcPr>
            <w:tcW w:w="2480" w:type="dxa"/>
            <w:vAlign w:val="bottom"/>
            <w:gridSpan w:val="3"/>
          </w:tcPr>
          <w:p>
            <w:pPr>
              <w:jc w:val="right"/>
              <w:ind w:right="399"/>
              <w:spacing w:after="0"/>
              <w:rPr>
                <w:sz w:val="20"/>
                <w:szCs w:val="20"/>
                <w:color w:val="auto"/>
              </w:rPr>
            </w:pPr>
            <w:r>
              <w:rPr>
                <w:rFonts w:ascii="Arial" w:cs="Arial" w:eastAsia="Arial" w:hAnsi="Arial"/>
                <w:sz w:val="14"/>
                <w:szCs w:val="14"/>
                <w:color w:val="auto"/>
                <w:w w:val="98"/>
              </w:rPr>
              <w:t>(millions, except share amounts)</w:t>
            </w:r>
          </w:p>
        </w:tc>
      </w:tr>
      <w:tr>
        <w:trPr>
          <w:trHeight w:val="219"/>
        </w:trPr>
        <w:tc>
          <w:tcPr>
            <w:tcW w:w="84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27.8</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28.7</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Receivables, net of allowance for credit losses of $7.6 and $7.5, respectively</w:t>
            </w:r>
          </w:p>
        </w:tc>
        <w:tc>
          <w:tcPr>
            <w:tcW w:w="3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292.7</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218.9</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receivables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13.2</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Accounts receivable pledged as collateral</w:t>
            </w:r>
          </w:p>
        </w:tc>
        <w:tc>
          <w:tcPr>
            <w:tcW w:w="3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156.0</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180.0</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inventory and supplies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281.1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276.4</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Income taxes receivable</w:t>
            </w:r>
          </w:p>
        </w:tc>
        <w:tc>
          <w:tcPr>
            <w:tcW w:w="3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41.3</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25.3</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147.3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96.2</w:t>
            </w:r>
          </w:p>
        </w:tc>
      </w:tr>
      <w:tr>
        <w:trPr>
          <w:trHeight w:val="213"/>
        </w:trPr>
        <w:tc>
          <w:tcPr>
            <w:tcW w:w="8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31.2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27.4</w:t>
            </w:r>
          </w:p>
        </w:tc>
      </w:tr>
      <w:tr>
        <w:trPr>
          <w:trHeight w:val="212"/>
        </w:trPr>
        <w:tc>
          <w:tcPr>
            <w:tcW w:w="84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990.6</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859.6</w:t>
            </w:r>
          </w:p>
        </w:tc>
      </w:tr>
      <w:tr>
        <w:trPr>
          <w:trHeight w:val="20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10,325.8</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10,193.6</w:t>
            </w:r>
          </w:p>
        </w:tc>
      </w:tr>
      <w:tr>
        <w:trPr>
          <w:trHeight w:val="212"/>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OF VARIABLE INTEREST ENTITIES, NET</w:t>
            </w: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151.4</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154.9</w:t>
            </w:r>
          </w:p>
        </w:tc>
      </w:tr>
      <w:tr>
        <w:trPr>
          <w:trHeight w:val="207"/>
        </w:trPr>
        <w:tc>
          <w:tcPr>
            <w:tcW w:w="84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889.7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800.1</w:t>
            </w:r>
          </w:p>
        </w:tc>
      </w:tr>
      <w:tr>
        <w:trPr>
          <w:trHeight w:val="213"/>
        </w:trPr>
        <w:tc>
          <w:tcPr>
            <w:tcW w:w="8420" w:type="dxa"/>
            <w:vAlign w:val="bottom"/>
          </w:tcPr>
          <w:p>
            <w:pPr>
              <w:ind w:left="140"/>
              <w:spacing w:after="0"/>
              <w:rPr>
                <w:sz w:val="20"/>
                <w:szCs w:val="20"/>
                <w:color w:val="auto"/>
              </w:rPr>
            </w:pPr>
            <w:r>
              <w:rPr>
                <w:rFonts w:ascii="Arial" w:cs="Arial" w:eastAsia="Arial" w:hAnsi="Arial"/>
                <w:sz w:val="16"/>
                <w:szCs w:val="16"/>
                <w:color w:val="auto"/>
              </w:rPr>
              <w:t>Nuclear decommissioning trust fund</w:t>
            </w:r>
          </w:p>
        </w:tc>
        <w:tc>
          <w:tcPr>
            <w:tcW w:w="340" w:type="dxa"/>
            <w:vAlign w:val="bottom"/>
          </w:tcPr>
          <w:p>
            <w:pPr>
              <w:spacing w:after="0"/>
              <w:rPr>
                <w:sz w:val="18"/>
                <w:szCs w:val="18"/>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349.6</w:t>
            </w:r>
          </w:p>
        </w:tc>
        <w:tc>
          <w:tcPr>
            <w:tcW w:w="460" w:type="dxa"/>
            <w:vAlign w:val="bottom"/>
          </w:tcPr>
          <w:p>
            <w:pPr>
              <w:spacing w:after="0"/>
              <w:rPr>
                <w:sz w:val="18"/>
                <w:szCs w:val="18"/>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309.8</w:t>
            </w:r>
          </w:p>
        </w:tc>
      </w:tr>
      <w:tr>
        <w:trPr>
          <w:trHeight w:val="219"/>
        </w:trPr>
        <w:tc>
          <w:tcPr>
            <w:tcW w:w="8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255.0</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271.1</w:t>
            </w:r>
          </w:p>
        </w:tc>
      </w:tr>
      <w:tr>
        <w:trPr>
          <w:trHeight w:val="20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Other Assets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1,494.3</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1,381.0</w:t>
            </w:r>
          </w:p>
        </w:tc>
      </w:tr>
      <w:tr>
        <w:trPr>
          <w:trHeight w:val="219"/>
        </w:trPr>
        <w:tc>
          <w:tcPr>
            <w:tcW w:w="8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12,962.1</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12,589.1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w w:val="97"/>
              </w:rPr>
              <w:t>June 30</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Arial" w:cs="Arial" w:eastAsia="Arial" w:hAnsi="Arial"/>
                <w:sz w:val="14"/>
                <w:szCs w:val="14"/>
                <w:color w:val="auto"/>
                <w:w w:val="97"/>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maturities of long-term debt of variable interest entities</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18.8</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Notes payable and commercial paper</w:t>
            </w:r>
          </w:p>
        </w:tc>
        <w:tc>
          <w:tcPr>
            <w:tcW w:w="34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294.0</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50.0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156.0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180.0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166.4</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280.1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23.5</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21.7</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4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105.5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101.5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46.4</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72.8</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4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11.9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11.2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4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26.1</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122.3</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133.5</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963.3</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892.6</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4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3,932.9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3,931.5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843.2</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824.5</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4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63.9</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65.7</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1,482.4</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1,461.0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40" w:type="dxa"/>
            <w:vAlign w:val="bottom"/>
          </w:tcPr>
          <w:p>
            <w:pPr>
              <w:spacing w:after="0"/>
              <w:rPr>
                <w:sz w:val="18"/>
                <w:szCs w:val="18"/>
                <w:color w:val="auto"/>
              </w:rPr>
            </w:pPr>
          </w:p>
        </w:tc>
        <w:tc>
          <w:tcPr>
            <w:tcW w:w="1060" w:type="dxa"/>
            <w:vAlign w:val="bottom"/>
          </w:tcPr>
          <w:p>
            <w:pPr>
              <w:jc w:val="right"/>
              <w:ind w:right="219"/>
              <w:spacing w:after="0"/>
              <w:rPr>
                <w:sz w:val="20"/>
                <w:szCs w:val="20"/>
                <w:color w:val="auto"/>
              </w:rPr>
            </w:pPr>
            <w:r>
              <w:rPr>
                <w:rFonts w:ascii="Arial" w:cs="Arial" w:eastAsia="Arial" w:hAnsi="Arial"/>
                <w:sz w:val="16"/>
                <w:szCs w:val="16"/>
                <w:b w:val="1"/>
                <w:bCs w:val="1"/>
                <w:color w:val="auto"/>
              </w:rPr>
              <w:t>540.5</w:t>
            </w:r>
          </w:p>
        </w:tc>
        <w:tc>
          <w:tcPr>
            <w:tcW w:w="44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560.3</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427.8</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416.0</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166.6</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156.7</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7,457.3</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7,415.7</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Evergy Kansas Central, Inc. Shareholder's Equity:</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- 1,000 shares authorized, $0.01 par value, 1 share issued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2,737.6</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2,737.6</w:t>
            </w:r>
          </w:p>
        </w:tc>
      </w:tr>
      <w:tr>
        <w:trPr>
          <w:trHeight w:val="213"/>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Retained earnings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1,812.8</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1,558.1</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Evergy Kansas Central, Inc. Shareholder's Equity</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4,550.4</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4,295.7</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(8.9)</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(14.9)</w:t>
            </w:r>
          </w:p>
        </w:tc>
      </w:tr>
      <w:tr>
        <w:trPr>
          <w:trHeight w:val="212"/>
        </w:trPr>
        <w:tc>
          <w:tcPr>
            <w:tcW w:w="84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4,541.5</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4,280.8</w:t>
            </w:r>
          </w:p>
        </w:tc>
      </w:tr>
      <w:tr>
        <w:trPr>
          <w:trHeight w:val="21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12,962.1</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12,589.1</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0" w:type="dxa"/>
            <w:vAlign w:val="bottom"/>
            <w:gridSpan w:val="3"/>
          </w:tcPr>
          <w:p>
            <w:pPr>
              <w:jc w:val="center"/>
              <w:ind w:left="3479"/>
              <w:spacing w:after="0"/>
              <w:rPr>
                <w:sz w:val="20"/>
                <w:szCs w:val="20"/>
                <w:color w:val="auto"/>
              </w:rPr>
            </w:pPr>
            <w:r>
              <w:rPr>
                <w:rFonts w:ascii="Arial" w:cs="Arial" w:eastAsia="Arial" w:hAnsi="Arial"/>
                <w:sz w:val="16"/>
                <w:szCs w:val="16"/>
                <w:b w:val="1"/>
                <w:bCs w:val="1"/>
                <w:color w:val="auto"/>
              </w:rPr>
              <w:t>EVERGY KANSAS CENTRAL, INC.</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820" w:type="dxa"/>
            <w:vAlign w:val="bottom"/>
            <w:gridSpan w:val="2"/>
          </w:tcPr>
          <w:p>
            <w:pPr>
              <w:jc w:val="center"/>
              <w:ind w:left="4259"/>
              <w:spacing w:after="0"/>
              <w:rPr>
                <w:sz w:val="20"/>
                <w:szCs w:val="20"/>
                <w:color w:val="auto"/>
              </w:rPr>
            </w:pPr>
            <w:r>
              <w:rPr>
                <w:rFonts w:ascii="Arial" w:cs="Arial" w:eastAsia="Arial" w:hAnsi="Arial"/>
                <w:sz w:val="16"/>
                <w:szCs w:val="16"/>
                <w:b w:val="1"/>
                <w:bCs w:val="1"/>
                <w:color w:val="auto"/>
                <w:w w:val="89"/>
              </w:rPr>
              <w:t>Consolidated Statements of Income</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320" w:type="dxa"/>
            <w:vAlign w:val="bottom"/>
          </w:tcPr>
          <w:p>
            <w:pPr>
              <w:jc w:val="center"/>
              <w:ind w:left="4779"/>
              <w:spacing w:after="0"/>
              <w:rPr>
                <w:sz w:val="20"/>
                <w:szCs w:val="20"/>
                <w:color w:val="auto"/>
              </w:rPr>
            </w:pPr>
            <w:r>
              <w:rPr>
                <w:rFonts w:ascii="Arial" w:cs="Arial" w:eastAsia="Arial" w:hAnsi="Arial"/>
                <w:sz w:val="16"/>
                <w:szCs w:val="16"/>
                <w:color w:val="auto"/>
                <w:w w:val="93"/>
              </w:rPr>
              <w:t>(Unaudited)</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68"/>
        </w:trPr>
        <w:tc>
          <w:tcPr>
            <w:tcW w:w="6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3"/>
          </w:tcPr>
          <w:p>
            <w:pPr>
              <w:jc w:val="right"/>
              <w:ind w:right="399"/>
              <w:spacing w:after="0" w:line="168" w:lineRule="exact"/>
              <w:rPr>
                <w:sz w:val="20"/>
                <w:szCs w:val="20"/>
                <w:color w:val="auto"/>
              </w:rPr>
            </w:pPr>
            <w:r>
              <w:rPr>
                <w:rFonts w:ascii="Arial" w:cs="Arial" w:eastAsia="Arial" w:hAnsi="Arial"/>
                <w:sz w:val="16"/>
                <w:szCs w:val="16"/>
                <w:b w:val="1"/>
                <w:bCs w:val="1"/>
                <w:color w:val="auto"/>
                <w:w w:val="94"/>
              </w:rPr>
              <w:t>Three Months Ended</w:t>
            </w:r>
          </w:p>
        </w:tc>
        <w:tc>
          <w:tcPr>
            <w:tcW w:w="360" w:type="dxa"/>
            <w:vAlign w:val="bottom"/>
          </w:tcPr>
          <w:p>
            <w:pPr>
              <w:spacing w:after="0"/>
              <w:rPr>
                <w:sz w:val="14"/>
                <w:szCs w:val="14"/>
                <w:color w:val="auto"/>
              </w:rPr>
            </w:pPr>
          </w:p>
        </w:tc>
        <w:tc>
          <w:tcPr>
            <w:tcW w:w="128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Year to Date</w:t>
            </w:r>
          </w:p>
        </w:tc>
        <w:tc>
          <w:tcPr>
            <w:tcW w:w="720" w:type="dxa"/>
            <w:vAlign w:val="bottom"/>
          </w:tcPr>
          <w:p>
            <w:pPr>
              <w:spacing w:after="0"/>
              <w:rPr>
                <w:sz w:val="14"/>
                <w:szCs w:val="14"/>
                <w:color w:val="auto"/>
              </w:rPr>
            </w:pPr>
          </w:p>
        </w:tc>
      </w:tr>
      <w:tr>
        <w:trPr>
          <w:trHeight w:val="210"/>
        </w:trPr>
        <w:tc>
          <w:tcPr>
            <w:tcW w:w="6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229"/>
        </w:trPr>
        <w:tc>
          <w:tcPr>
            <w:tcW w:w="6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2021</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2020</w:t>
            </w:r>
          </w:p>
        </w:tc>
      </w:tr>
      <w:tr>
        <w:trPr>
          <w:trHeight w:val="186"/>
        </w:trPr>
        <w:tc>
          <w:tcPr>
            <w:tcW w:w="6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598.5</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570.8</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1,499.6</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1,130.9</w:t>
            </w: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105.7</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102.1</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400.5</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SPP network transmission costs</w:t>
            </w:r>
          </w:p>
        </w:tc>
        <w:tc>
          <w:tcPr>
            <w:tcW w:w="5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73.8</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69.7</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143.2</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131.7</w:t>
            </w: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and maintenance</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130.2</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115.2</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261.0</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116.3</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113.5</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231.8</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225.6</w:t>
            </w: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income tax</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52.0</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49.1</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102.3</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97.7</w:t>
            </w:r>
          </w:p>
        </w:tc>
      </w:tr>
      <w:tr>
        <w:trPr>
          <w:trHeight w:val="207"/>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478.0</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449.6</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1,138.8</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895.2</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120.5</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121.2</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360.8</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235.7</w:t>
            </w:r>
          </w:p>
        </w:tc>
      </w:tr>
      <w:tr>
        <w:trPr>
          <w:trHeight w:val="193"/>
        </w:trPr>
        <w:tc>
          <w:tcPr>
            <w:tcW w:w="63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earnings</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0.5</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632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5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11.1</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6.5</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17.6</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9"/>
        </w:trPr>
        <w:tc>
          <w:tcPr>
            <w:tcW w:w="6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w:t>
            </w:r>
          </w:p>
        </w:tc>
        <w:tc>
          <w:tcPr>
            <w:tcW w:w="5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(7.7)</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(16.9)</w:t>
            </w: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07"/>
        </w:trPr>
        <w:tc>
          <w:tcPr>
            <w:tcW w:w="63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Income (Expense), Net</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39.8</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45.8</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80.1</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w:t>
            </w:r>
          </w:p>
        </w:tc>
      </w:tr>
      <w:tr>
        <w:trPr>
          <w:trHeight w:val="207"/>
        </w:trPr>
        <w:tc>
          <w:tcPr>
            <w:tcW w:w="63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50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85.1</w:t>
            </w:r>
          </w:p>
        </w:tc>
        <w:tc>
          <w:tcPr>
            <w:tcW w:w="36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80.3</w:t>
            </w:r>
          </w:p>
        </w:tc>
        <w:tc>
          <w:tcPr>
            <w:tcW w:w="36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281.9</w:t>
            </w:r>
          </w:p>
        </w:tc>
        <w:tc>
          <w:tcPr>
            <w:tcW w:w="4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142.1</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6.5</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118.9</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23.1</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2"/>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79.6</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260.7</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6.0</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6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EVERGY KANSAS CENTRAL, INC.</w:t>
            </w:r>
          </w:p>
        </w:tc>
        <w:tc>
          <w:tcPr>
            <w:tcW w:w="5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76.6</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(40.5)</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254.7</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6" w:name="page17"/>
    <w:bookmarkEnd w:id="1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June 30</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6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260.7</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231.8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9.8</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Amortization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11.2</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working capital items: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(58.6)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(79.3)</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Fuel inventory and supplies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(63.3)</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(90.6)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19"/>
        </w:trPr>
        <w:tc>
          <w:tcPr>
            <w:tcW w:w="8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taxes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3"/>
        </w:trPr>
        <w:tc>
          <w:tcPr>
            <w:tcW w:w="876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(65.8)</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Changes in other liabilities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r>
      <w:tr>
        <w:trPr>
          <w:trHeight w:val="210"/>
        </w:trPr>
        <w:tc>
          <w:tcPr>
            <w:tcW w:w="8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159.9</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261.8</w:t>
            </w:r>
          </w:p>
        </w:tc>
      </w:tr>
      <w:tr>
        <w:trPr>
          <w:trHeight w:val="209"/>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(394.7)</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(284.0)</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Purchase of securities - trusts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(39.5)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securities - trusts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36.4</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Investment in corporate-owned life insurance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(13.5)</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investment in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r>
      <w:tr>
        <w:trPr>
          <w:trHeight w:val="213"/>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10"/>
        </w:trPr>
        <w:tc>
          <w:tcPr>
            <w:tcW w:w="87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(408.8)</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w:t>
            </w:r>
          </w:p>
        </w:tc>
      </w:tr>
      <w:tr>
        <w:trPr>
          <w:trHeight w:val="209"/>
        </w:trPr>
        <w:tc>
          <w:tcPr>
            <w:tcW w:w="876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244.0</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(24.0)</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long-term debt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493.0</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Retirements of long-term debt</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Retirements of long-term debt of variable interest entities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48.9</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50.4</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(0.1)</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6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(120.0)</w:t>
            </w:r>
          </w:p>
        </w:tc>
      </w:tr>
      <w:tr>
        <w:trPr>
          <w:trHeight w:val="219"/>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7"/>
        </w:trPr>
        <w:tc>
          <w:tcPr>
            <w:tcW w:w="87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248.0</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r>
      <w:tr>
        <w:trPr>
          <w:trHeight w:val="212"/>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(0.9)</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r>
      <w:tr>
        <w:trPr>
          <w:trHeight w:val="213"/>
        </w:trPr>
        <w:tc>
          <w:tcPr>
            <w:tcW w:w="87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28.7</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6"/>
        </w:trPr>
        <w:tc>
          <w:tcPr>
            <w:tcW w:w="87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27.8</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KANSAS CENTRAL,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139"/>
              <w:spacing w:after="0"/>
              <w:rPr>
                <w:sz w:val="20"/>
                <w:szCs w:val="20"/>
                <w:color w:val="auto"/>
              </w:rPr>
            </w:pPr>
            <w:r>
              <w:rPr>
                <w:rFonts w:ascii="Arial" w:cs="Arial" w:eastAsia="Arial" w:hAnsi="Arial"/>
                <w:sz w:val="16"/>
                <w:szCs w:val="16"/>
                <w:b w:val="1"/>
                <w:bCs w:val="1"/>
                <w:color w:val="auto"/>
                <w:w w:val="99"/>
              </w:rPr>
              <w:t>Evergy Kansas Central, Inc. Shareholder</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180" w:type="dxa"/>
            <w:vAlign w:val="bottom"/>
          </w:tcPr>
          <w:p>
            <w:pPr>
              <w:spacing w:after="0"/>
              <w:rPr>
                <w:sz w:val="12"/>
                <w:szCs w:val="12"/>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w w:val="95"/>
              </w:rPr>
              <w:t>Common</w:t>
            </w:r>
          </w:p>
        </w:tc>
        <w:tc>
          <w:tcPr>
            <w:tcW w:w="160" w:type="dxa"/>
            <w:vAlign w:val="bottom"/>
          </w:tcPr>
          <w:p>
            <w:pPr>
              <w:spacing w:after="0"/>
              <w:rPr>
                <w:sz w:val="12"/>
                <w:szCs w:val="12"/>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Retained</w:t>
            </w:r>
          </w:p>
        </w:tc>
        <w:tc>
          <w:tcPr>
            <w:tcW w:w="120" w:type="dxa"/>
            <w:vAlign w:val="bottom"/>
          </w:tcPr>
          <w:p>
            <w:pPr>
              <w:spacing w:after="0"/>
              <w:rPr>
                <w:sz w:val="12"/>
                <w:szCs w:val="12"/>
                <w:color w:val="auto"/>
              </w:rPr>
            </w:pPr>
          </w:p>
        </w:tc>
        <w:tc>
          <w:tcPr>
            <w:tcW w:w="940" w:type="dxa"/>
            <w:vAlign w:val="bottom"/>
          </w:tcPr>
          <w:p>
            <w:pPr>
              <w:jc w:val="center"/>
              <w:ind w:right="39"/>
              <w:spacing w:after="0" w:line="148" w:lineRule="exact"/>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controlling</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Total equity</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stock</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earnings</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6"/>
              </w:rPr>
              <w:t>interests</w:t>
            </w:r>
          </w:p>
        </w:tc>
        <w:tc>
          <w:tcPr>
            <w:tcW w:w="9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40" w:type="dxa"/>
            <w:vAlign w:val="bottom"/>
            <w:gridSpan w:val="5"/>
          </w:tcPr>
          <w:p>
            <w:pPr>
              <w:jc w:val="right"/>
              <w:ind w:right="679"/>
              <w:spacing w:after="0"/>
              <w:rPr>
                <w:sz w:val="20"/>
                <w:szCs w:val="20"/>
                <w:color w:val="auto"/>
              </w:rPr>
            </w:pPr>
            <w:r>
              <w:rPr>
                <w:rFonts w:ascii="Arial" w:cs="Arial" w:eastAsia="Arial" w:hAnsi="Arial"/>
                <w:sz w:val="14"/>
                <w:szCs w:val="14"/>
                <w:color w:val="auto"/>
              </w:rPr>
              <w:t>(millions, except share amounts)</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4,205.0</w:t>
            </w:r>
          </w:p>
        </w:tc>
        <w:tc>
          <w:tcPr>
            <w:tcW w:w="0" w:type="dxa"/>
            <w:vAlign w:val="bottom"/>
          </w:tcPr>
          <w:p>
            <w:pPr>
              <w:spacing w:after="0"/>
              <w:rPr>
                <w:sz w:val="1"/>
                <w:szCs w:val="1"/>
                <w:color w:val="auto"/>
              </w:rPr>
            </w:pPr>
          </w:p>
        </w:tc>
      </w:tr>
      <w:tr>
        <w:trPr>
          <w:trHeight w:val="213"/>
        </w:trPr>
        <w:tc>
          <w:tcPr>
            <w:tcW w:w="5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6"/>
        </w:trPr>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1,486.4</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w:t>
            </w: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4,200.2</w:t>
            </w:r>
          </w:p>
        </w:tc>
        <w:tc>
          <w:tcPr>
            <w:tcW w:w="0" w:type="dxa"/>
            <w:vAlign w:val="bottom"/>
          </w:tcPr>
          <w:p>
            <w:pPr>
              <w:spacing w:after="0"/>
              <w:rPr>
                <w:sz w:val="1"/>
                <w:szCs w:val="1"/>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Dividends declared on common stock</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06"/>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4,102.6</w:t>
            </w:r>
          </w:p>
        </w:tc>
        <w:tc>
          <w:tcPr>
            <w:tcW w:w="0" w:type="dxa"/>
            <w:vAlign w:val="bottom"/>
          </w:tcPr>
          <w:p>
            <w:pPr>
              <w:spacing w:after="0"/>
              <w:rPr>
                <w:sz w:val="1"/>
                <w:szCs w:val="1"/>
                <w:color w:val="auto"/>
              </w:rPr>
            </w:pPr>
          </w:p>
        </w:tc>
      </w:tr>
      <w:tr>
        <w:trPr>
          <w:trHeight w:val="203"/>
        </w:trPr>
        <w:tc>
          <w:tcPr>
            <w:tcW w:w="5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4,280.8</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0" w:type="dxa"/>
            <w:vAlign w:val="bottom"/>
          </w:tcPr>
          <w:p>
            <w:pPr>
              <w:spacing w:after="0"/>
              <w:rPr>
                <w:sz w:val="1"/>
                <w:szCs w:val="1"/>
                <w:color w:val="auto"/>
              </w:rPr>
            </w:pPr>
          </w:p>
        </w:tc>
      </w:tr>
      <w:tr>
        <w:trPr>
          <w:trHeight w:val="213"/>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4,461.9</w:t>
            </w:r>
          </w:p>
        </w:tc>
        <w:tc>
          <w:tcPr>
            <w:tcW w:w="0" w:type="dxa"/>
            <w:vAlign w:val="bottom"/>
          </w:tcPr>
          <w:p>
            <w:pPr>
              <w:spacing w:after="0"/>
              <w:rPr>
                <w:sz w:val="1"/>
                <w:szCs w:val="1"/>
                <w:color w:val="auto"/>
              </w:rPr>
            </w:pPr>
          </w:p>
        </w:tc>
      </w:tr>
      <w:tr>
        <w:trPr>
          <w:trHeight w:val="213"/>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2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4,541.5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Unaudited Notes to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 w:name="page19"/>
    <w:bookmarkEnd w:id="1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w w:val="97"/>
              </w:rPr>
              <w:t>June 30</w:t>
            </w:r>
          </w:p>
        </w:tc>
        <w:tc>
          <w:tcPr>
            <w:tcW w:w="144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2020</w:t>
            </w:r>
          </w:p>
        </w:tc>
      </w:tr>
      <w:tr>
        <w:trPr>
          <w:trHeight w:val="210"/>
        </w:trPr>
        <w:tc>
          <w:tcPr>
            <w:tcW w:w="8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18"/>
                <w:szCs w:val="18"/>
                <w:color w:val="auto"/>
              </w:rPr>
            </w:pPr>
          </w:p>
        </w:tc>
        <w:tc>
          <w:tcPr>
            <w:tcW w:w="2480" w:type="dxa"/>
            <w:vAlign w:val="bottom"/>
            <w:gridSpan w:val="3"/>
          </w:tcPr>
          <w:p>
            <w:pPr>
              <w:jc w:val="right"/>
              <w:ind w:right="379"/>
              <w:spacing w:after="0"/>
              <w:rPr>
                <w:sz w:val="20"/>
                <w:szCs w:val="20"/>
                <w:color w:val="auto"/>
              </w:rPr>
            </w:pPr>
            <w:r>
              <w:rPr>
                <w:rFonts w:ascii="Arial" w:cs="Arial" w:eastAsia="Arial" w:hAnsi="Arial"/>
                <w:sz w:val="14"/>
                <w:szCs w:val="14"/>
                <w:color w:val="auto"/>
                <w:w w:val="99"/>
              </w:rPr>
              <w:t>(millions, except share amounts)</w:t>
            </w:r>
          </w:p>
        </w:tc>
      </w:tr>
      <w:tr>
        <w:trPr>
          <w:trHeight w:val="219"/>
        </w:trPr>
        <w:tc>
          <w:tcPr>
            <w:tcW w:w="8380" w:type="dxa"/>
            <w:vAlign w:val="bottom"/>
          </w:tcPr>
          <w:p>
            <w:pPr>
              <w:spacing w:after="0"/>
              <w:rPr>
                <w:sz w:val="20"/>
                <w:szCs w:val="20"/>
                <w:color w:val="auto"/>
              </w:rPr>
            </w:pPr>
            <w:r>
              <w:rPr>
                <w:rFonts w:ascii="Arial" w:cs="Arial" w:eastAsia="Arial" w:hAnsi="Arial"/>
                <w:sz w:val="16"/>
                <w:szCs w:val="16"/>
                <w:color w:val="auto"/>
              </w:rPr>
              <w:t>CURRENT ASSETS: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16.7</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71.6</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Receivables, net of allowance for credit losses of $8.7 and $8.1, respectively</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89.7</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45.0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Related party receivables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223.9</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225.6</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Accounts receivable pledged as collateral</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118.0</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130.0</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Fuel inventory and supplies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192.3</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170.4</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3.2</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91.0</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82.0</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25.2</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22.9</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14.3</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14.2</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Assets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771.1</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764.9</w:t>
            </w:r>
          </w:p>
        </w:tc>
      </w:tr>
      <w:tr>
        <w:trPr>
          <w:trHeight w:val="212"/>
        </w:trPr>
        <w:tc>
          <w:tcPr>
            <w:tcW w:w="83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7,236.1</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7,141.2</w:t>
            </w:r>
          </w:p>
        </w:tc>
      </w:tr>
      <w:tr>
        <w:trPr>
          <w:trHeight w:val="206"/>
        </w:trPr>
        <w:tc>
          <w:tcPr>
            <w:tcW w:w="8380" w:type="dxa"/>
            <w:vAlign w:val="bottom"/>
          </w:tcPr>
          <w:p>
            <w:pPr>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Regulatory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508.3</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533.5</w:t>
            </w:r>
          </w:p>
        </w:tc>
      </w:tr>
      <w:tr>
        <w:trPr>
          <w:trHeight w:val="213"/>
        </w:trPr>
        <w:tc>
          <w:tcPr>
            <w:tcW w:w="8380" w:type="dxa"/>
            <w:vAlign w:val="bottom"/>
          </w:tcPr>
          <w:p>
            <w:pPr>
              <w:ind w:left="120"/>
              <w:spacing w:after="0"/>
              <w:rPr>
                <w:sz w:val="20"/>
                <w:szCs w:val="20"/>
                <w:color w:val="auto"/>
              </w:rPr>
            </w:pPr>
            <w:r>
              <w:rPr>
                <w:rFonts w:ascii="Arial" w:cs="Arial" w:eastAsia="Arial" w:hAnsi="Arial"/>
                <w:sz w:val="16"/>
                <w:szCs w:val="16"/>
                <w:color w:val="auto"/>
              </w:rPr>
              <w:t>Nuclear decommissioning trust fund</w:t>
            </w:r>
          </w:p>
        </w:tc>
        <w:tc>
          <w:tcPr>
            <w:tcW w:w="32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379.8</w:t>
            </w:r>
          </w:p>
        </w:tc>
        <w:tc>
          <w:tcPr>
            <w:tcW w:w="48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color w:val="auto"/>
              </w:rPr>
              <w:t>342.3</w:t>
            </w:r>
          </w:p>
        </w:tc>
      </w:tr>
      <w:tr>
        <w:trPr>
          <w:trHeight w:val="219"/>
        </w:trPr>
        <w:tc>
          <w:tcPr>
            <w:tcW w:w="8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130.1</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133.9</w:t>
            </w:r>
          </w:p>
        </w:tc>
      </w:tr>
      <w:tr>
        <w:trPr>
          <w:trHeight w:val="207"/>
        </w:trPr>
        <w:tc>
          <w:tcPr>
            <w:tcW w:w="8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Other Assets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1,018.2</w:t>
            </w: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1,009.7</w:t>
            </w:r>
          </w:p>
        </w:tc>
      </w:tr>
      <w:tr>
        <w:trPr>
          <w:trHeight w:val="219"/>
        </w:trPr>
        <w:tc>
          <w:tcPr>
            <w:tcW w:w="8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9,025.4</w:t>
            </w:r>
          </w:p>
        </w:tc>
        <w:tc>
          <w:tcPr>
            <w:tcW w:w="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8,915.8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8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w w:val="97"/>
              </w:rPr>
              <w:t>June 30</w:t>
            </w:r>
          </w:p>
        </w:tc>
        <w:tc>
          <w:tcPr>
            <w:tcW w:w="1400" w:type="dxa"/>
            <w:vAlign w:val="bottom"/>
            <w:gridSpan w:val="2"/>
          </w:tcPr>
          <w:p>
            <w:pPr>
              <w:jc w:val="right"/>
              <w:ind w:right="159"/>
              <w:spacing w:after="0"/>
              <w:rPr>
                <w:sz w:val="20"/>
                <w:szCs w:val="20"/>
                <w:color w:val="auto"/>
              </w:rPr>
            </w:pPr>
            <w:r>
              <w:rPr>
                <w:rFonts w:ascii="Arial" w:cs="Arial" w:eastAsia="Arial" w:hAnsi="Arial"/>
                <w:sz w:val="16"/>
                <w:szCs w:val="16"/>
                <w:color w:val="auto"/>
              </w:rPr>
              <w:t>December 31</w:t>
            </w:r>
          </w:p>
        </w:tc>
      </w:tr>
      <w:tr>
        <w:trPr>
          <w:trHeight w:val="223"/>
        </w:trPr>
        <w:tc>
          <w:tcPr>
            <w:tcW w:w="8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2020</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tcPr>
          <w:p>
            <w:pPr>
              <w:spacing w:after="0"/>
              <w:rPr>
                <w:sz w:val="18"/>
                <w:szCs w:val="18"/>
                <w:color w:val="auto"/>
              </w:rPr>
            </w:pPr>
          </w:p>
        </w:tc>
        <w:tc>
          <w:tcPr>
            <w:tcW w:w="2440" w:type="dxa"/>
            <w:vAlign w:val="bottom"/>
            <w:gridSpan w:val="3"/>
          </w:tcPr>
          <w:p>
            <w:pPr>
              <w:jc w:val="right"/>
              <w:ind w:right="379"/>
              <w:spacing w:after="0"/>
              <w:rPr>
                <w:sz w:val="20"/>
                <w:szCs w:val="20"/>
                <w:color w:val="auto"/>
              </w:rPr>
            </w:pPr>
            <w:r>
              <w:rPr>
                <w:rFonts w:ascii="Arial" w:cs="Arial" w:eastAsia="Arial" w:hAnsi="Arial"/>
                <w:sz w:val="14"/>
                <w:szCs w:val="14"/>
                <w:color w:val="auto"/>
                <w:w w:val="97"/>
              </w:rPr>
              <w:t>(millions, except share amounts)</w:t>
            </w:r>
          </w:p>
        </w:tc>
      </w:tr>
      <w:tr>
        <w:trPr>
          <w:trHeight w:val="219"/>
        </w:trPr>
        <w:tc>
          <w:tcPr>
            <w:tcW w:w="8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Collateralized note payable</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118.0</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130.0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185.6</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280.1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Related party payables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0.1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taxes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66.2</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34.9</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25.7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30.0</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Regulatory liabilities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30.5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8.0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12.0</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21.2</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Accrued compensation and benefits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33.7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44.4</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38.2</w:t>
            </w: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37.3</w:t>
            </w:r>
          </w:p>
        </w:tc>
      </w:tr>
      <w:tr>
        <w:trPr>
          <w:trHeight w:val="207"/>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510.0</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586.0</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2,924.0</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2,923.0</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546.7</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558.8</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Unamortized investment tax credits</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117.7</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118.5</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Regulatory liabilities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970.8</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899.4</w:t>
            </w: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Pension and post-retirement liability</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569.5</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565.1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 retirement obligations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367.4</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357.7</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138.5</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148.1</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5,634.6</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5,570.6</w:t>
            </w:r>
          </w:p>
        </w:tc>
      </w:tr>
      <w:tr>
        <w:trPr>
          <w:trHeight w:val="193"/>
        </w:trPr>
        <w:tc>
          <w:tcPr>
            <w:tcW w:w="8400" w:type="dxa"/>
            <w:vAlign w:val="bottom"/>
          </w:tcPr>
          <w:p>
            <w:pPr>
              <w:ind w:left="20"/>
              <w:spacing w:after="0"/>
              <w:rPr>
                <w:sz w:val="20"/>
                <w:szCs w:val="20"/>
                <w:color w:val="auto"/>
              </w:rPr>
            </w:pPr>
            <w:r>
              <w:rPr>
                <w:rFonts w:ascii="Arial" w:cs="Arial" w:eastAsia="Arial" w:hAnsi="Arial"/>
                <w:sz w:val="16"/>
                <w:szCs w:val="16"/>
                <w:color w:val="auto"/>
              </w:rPr>
              <w:t>Commitments and Contingencies (Note 10)</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8400" w:type="dxa"/>
            <w:vAlign w:val="bottom"/>
          </w:tcPr>
          <w:p>
            <w:pPr>
              <w:ind w:left="140"/>
              <w:spacing w:after="0"/>
              <w:rPr>
                <w:sz w:val="20"/>
                <w:szCs w:val="20"/>
                <w:color w:val="auto"/>
              </w:rPr>
            </w:pPr>
            <w:r>
              <w:rPr>
                <w:rFonts w:ascii="Arial" w:cs="Arial" w:eastAsia="Arial" w:hAnsi="Arial"/>
                <w:sz w:val="16"/>
                <w:szCs w:val="16"/>
                <w:color w:val="auto"/>
              </w:rPr>
              <w:t>Common stock - 1,000 shares authorized, without par value, 1 share issued, stated value</w:t>
            </w:r>
          </w:p>
        </w:tc>
        <w:tc>
          <w:tcPr>
            <w:tcW w:w="340" w:type="dxa"/>
            <w:vAlign w:val="bottom"/>
          </w:tcPr>
          <w:p>
            <w:pPr>
              <w:spacing w:after="0"/>
              <w:rPr>
                <w:sz w:val="18"/>
                <w:szCs w:val="18"/>
                <w:color w:val="auto"/>
              </w:rPr>
            </w:pPr>
          </w:p>
        </w:tc>
        <w:tc>
          <w:tcPr>
            <w:tcW w:w="1040" w:type="dxa"/>
            <w:vAlign w:val="bottom"/>
          </w:tcPr>
          <w:p>
            <w:pPr>
              <w:jc w:val="right"/>
              <w:ind w:right="199"/>
              <w:spacing w:after="0"/>
              <w:rPr>
                <w:sz w:val="20"/>
                <w:szCs w:val="20"/>
                <w:color w:val="auto"/>
              </w:rPr>
            </w:pPr>
            <w:r>
              <w:rPr>
                <w:rFonts w:ascii="Arial" w:cs="Arial" w:eastAsia="Arial" w:hAnsi="Arial"/>
                <w:sz w:val="16"/>
                <w:szCs w:val="16"/>
                <w:b w:val="1"/>
                <w:bCs w:val="1"/>
                <w:color w:val="auto"/>
              </w:rPr>
              <w:t>1,563.1</w:t>
            </w:r>
          </w:p>
        </w:tc>
        <w:tc>
          <w:tcPr>
            <w:tcW w:w="46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color w:val="auto"/>
              </w:rPr>
              <w:t>1,563.1</w:t>
            </w:r>
          </w:p>
        </w:tc>
      </w:tr>
      <w:tr>
        <w:trPr>
          <w:trHeight w:val="219"/>
        </w:trPr>
        <w:tc>
          <w:tcPr>
            <w:tcW w:w="8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1,313.1</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1,191.5</w:t>
            </w:r>
          </w:p>
        </w:tc>
      </w:tr>
      <w:tr>
        <w:trPr>
          <w:trHeight w:val="213"/>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4.6</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4.6</w:t>
            </w:r>
          </w:p>
        </w:tc>
      </w:tr>
      <w:tr>
        <w:trPr>
          <w:trHeight w:val="212"/>
        </w:trPr>
        <w:tc>
          <w:tcPr>
            <w:tcW w:w="8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Equity</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2,880.8</w:t>
            </w: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2,759.2</w:t>
            </w:r>
          </w:p>
        </w:tc>
      </w:tr>
      <w:tr>
        <w:trPr>
          <w:trHeight w:val="217"/>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9,025.4</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8,915.8</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300" w:type="dxa"/>
            <w:vAlign w:val="bottom"/>
          </w:tcPr>
          <w:p>
            <w:pPr>
              <w:spacing w:after="0"/>
              <w:rPr>
                <w:sz w:val="18"/>
                <w:szCs w:val="18"/>
                <w:color w:val="auto"/>
              </w:rPr>
            </w:pPr>
          </w:p>
        </w:tc>
        <w:tc>
          <w:tcPr>
            <w:tcW w:w="3420" w:type="dxa"/>
            <w:vAlign w:val="bottom"/>
            <w:gridSpan w:val="2"/>
          </w:tcPr>
          <w:p>
            <w:pPr>
              <w:jc w:val="center"/>
              <w:ind w:left="1059"/>
              <w:spacing w:after="0"/>
              <w:rPr>
                <w:sz w:val="20"/>
                <w:szCs w:val="20"/>
                <w:color w:val="auto"/>
              </w:rPr>
            </w:pPr>
            <w:r>
              <w:rPr>
                <w:rFonts w:ascii="Arial" w:cs="Arial" w:eastAsia="Arial" w:hAnsi="Arial"/>
                <w:sz w:val="16"/>
                <w:szCs w:val="16"/>
                <w:b w:val="1"/>
                <w:bCs w:val="1"/>
                <w:color w:val="auto"/>
              </w:rPr>
              <w:t>EVERGY METRO, INC.</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4300" w:type="dxa"/>
            <w:vAlign w:val="bottom"/>
            <w:gridSpan w:val="3"/>
          </w:tcPr>
          <w:p>
            <w:pPr>
              <w:jc w:val="center"/>
              <w:ind w:left="179"/>
              <w:spacing w:after="0"/>
              <w:rPr>
                <w:sz w:val="20"/>
                <w:szCs w:val="20"/>
                <w:color w:val="auto"/>
              </w:rPr>
            </w:pPr>
            <w:r>
              <w:rPr>
                <w:rFonts w:ascii="Arial" w:cs="Arial" w:eastAsia="Arial" w:hAnsi="Arial"/>
                <w:sz w:val="16"/>
                <w:szCs w:val="16"/>
                <w:b w:val="1"/>
                <w:bCs w:val="1"/>
                <w:color w:val="auto"/>
                <w:w w:val="89"/>
              </w:rPr>
              <w:t>Consolidated Statements of Comprehensive Income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3420" w:type="dxa"/>
            <w:vAlign w:val="bottom"/>
            <w:gridSpan w:val="2"/>
          </w:tcPr>
          <w:p>
            <w:pPr>
              <w:jc w:val="center"/>
              <w:ind w:left="1079"/>
              <w:spacing w:after="0"/>
              <w:rPr>
                <w:sz w:val="20"/>
                <w:szCs w:val="20"/>
                <w:color w:val="auto"/>
              </w:rPr>
            </w:pPr>
            <w:r>
              <w:rPr>
                <w:rFonts w:ascii="Arial" w:cs="Arial" w:eastAsia="Arial" w:hAnsi="Arial"/>
                <w:sz w:val="16"/>
                <w:szCs w:val="16"/>
                <w:color w:val="auto"/>
                <w:w w:val="93"/>
              </w:rPr>
              <w:t>(Unaudited)</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68"/>
        </w:trPr>
        <w:tc>
          <w:tcPr>
            <w:tcW w:w="33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00" w:type="dxa"/>
            <w:vAlign w:val="bottom"/>
            <w:gridSpan w:val="3"/>
          </w:tcPr>
          <w:p>
            <w:pPr>
              <w:jc w:val="right"/>
              <w:ind w:right="399"/>
              <w:spacing w:after="0" w:line="168" w:lineRule="exact"/>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4"/>
                <w:szCs w:val="14"/>
                <w:color w:val="auto"/>
              </w:rPr>
            </w:pPr>
          </w:p>
        </w:tc>
        <w:tc>
          <w:tcPr>
            <w:tcW w:w="1280" w:type="dxa"/>
            <w:vAlign w:val="bottom"/>
            <w:gridSpan w:val="2"/>
          </w:tcPr>
          <w:p>
            <w:pPr>
              <w:jc w:val="right"/>
              <w:spacing w:after="0" w:line="168" w:lineRule="exact"/>
              <w:rPr>
                <w:sz w:val="20"/>
                <w:szCs w:val="20"/>
                <w:color w:val="auto"/>
              </w:rPr>
            </w:pPr>
            <w:r>
              <w:rPr>
                <w:rFonts w:ascii="Arial" w:cs="Arial" w:eastAsia="Arial" w:hAnsi="Arial"/>
                <w:sz w:val="16"/>
                <w:szCs w:val="16"/>
                <w:b w:val="1"/>
                <w:bCs w:val="1"/>
                <w:color w:val="auto"/>
              </w:rPr>
              <w:t>Year to Date</w:t>
            </w:r>
          </w:p>
        </w:tc>
        <w:tc>
          <w:tcPr>
            <w:tcW w:w="720" w:type="dxa"/>
            <w:vAlign w:val="bottom"/>
          </w:tcPr>
          <w:p>
            <w:pPr>
              <w:spacing w:after="0"/>
              <w:rPr>
                <w:sz w:val="14"/>
                <w:szCs w:val="14"/>
                <w:color w:val="auto"/>
              </w:rPr>
            </w:pPr>
          </w:p>
        </w:tc>
      </w:tr>
      <w:tr>
        <w:trPr>
          <w:trHeight w:val="210"/>
        </w:trPr>
        <w:tc>
          <w:tcPr>
            <w:tcW w:w="33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r>
      <w:tr>
        <w:trPr>
          <w:trHeight w:val="229"/>
        </w:trPr>
        <w:tc>
          <w:tcPr>
            <w:tcW w:w="33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2020</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2020</w:t>
            </w:r>
          </w:p>
        </w:tc>
      </w:tr>
      <w:tr>
        <w:trPr>
          <w:trHeight w:val="186"/>
        </w:trPr>
        <w:tc>
          <w:tcPr>
            <w:tcW w:w="330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REVENUES</w:t>
            </w:r>
          </w:p>
        </w:tc>
        <w:tc>
          <w:tcPr>
            <w:tcW w:w="3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438.7</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424.3</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954.9</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799.8</w:t>
            </w:r>
          </w:p>
        </w:tc>
      </w:tr>
      <w:tr>
        <w:trPr>
          <w:trHeight w:val="207"/>
        </w:trPr>
        <w:tc>
          <w:tcPr>
            <w:tcW w:w="33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r>
        <w:trPr>
          <w:trHeight w:val="219"/>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Fuel and purchased power</w:t>
            </w:r>
          </w:p>
        </w:tc>
        <w:tc>
          <w:tcPr>
            <w:tcW w:w="3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114.9</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101.3</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356.1</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r>
      <w:tr>
        <w:trPr>
          <w:trHeight w:val="213"/>
        </w:trPr>
        <w:tc>
          <w:tcPr>
            <w:tcW w:w="3300" w:type="dxa"/>
            <w:vAlign w:val="bottom"/>
          </w:tcPr>
          <w:p>
            <w:pPr>
              <w:ind w:left="140"/>
              <w:spacing w:after="0"/>
              <w:rPr>
                <w:sz w:val="20"/>
                <w:szCs w:val="20"/>
                <w:color w:val="auto"/>
              </w:rPr>
            </w:pPr>
            <w:r>
              <w:rPr>
                <w:rFonts w:ascii="Arial" w:cs="Arial" w:eastAsia="Arial" w:hAnsi="Arial"/>
                <w:sz w:val="16"/>
                <w:szCs w:val="16"/>
                <w:color w:val="auto"/>
              </w:rPr>
              <w:t>Operating and maintenance</w:t>
            </w: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81.7</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98.5</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175.1</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204.4</w:t>
            </w:r>
          </w:p>
        </w:tc>
      </w:tr>
      <w:tr>
        <w:trPr>
          <w:trHeight w:val="219"/>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3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78.4</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82.8</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156.8</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r>
      <w:tr>
        <w:trPr>
          <w:trHeight w:val="213"/>
        </w:trPr>
        <w:tc>
          <w:tcPr>
            <w:tcW w:w="3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Taxes other than income tax</w:t>
            </w:r>
          </w:p>
        </w:tc>
        <w:tc>
          <w:tcPr>
            <w:tcW w:w="30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32.6</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29.2</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64.6</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w:t>
            </w:r>
          </w:p>
        </w:tc>
      </w:tr>
      <w:tr>
        <w:trPr>
          <w:trHeight w:val="212"/>
        </w:trPr>
        <w:tc>
          <w:tcPr>
            <w:tcW w:w="3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30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307.6</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311.8</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752.6</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623.6</w:t>
            </w:r>
          </w:p>
        </w:tc>
      </w:tr>
      <w:tr>
        <w:trPr>
          <w:trHeight w:val="207"/>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FROM OPERATIONS</w:t>
            </w:r>
          </w:p>
        </w:tc>
        <w:tc>
          <w:tcPr>
            <w:tcW w:w="30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131.1</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112.5</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176.2</w:t>
            </w:r>
          </w:p>
        </w:tc>
      </w:tr>
      <w:tr>
        <w:trPr>
          <w:trHeight w:val="19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3"/>
        </w:trPr>
        <w:tc>
          <w:tcPr>
            <w:tcW w:w="3300" w:type="dxa"/>
            <w:vAlign w:val="bottom"/>
          </w:tcPr>
          <w:p>
            <w:pPr>
              <w:ind w:left="140"/>
              <w:spacing w:after="0"/>
              <w:rPr>
                <w:sz w:val="20"/>
                <w:szCs w:val="20"/>
                <w:color w:val="auto"/>
              </w:rPr>
            </w:pPr>
            <w:r>
              <w:rPr>
                <w:rFonts w:ascii="Arial" w:cs="Arial" w:eastAsia="Arial" w:hAnsi="Arial"/>
                <w:sz w:val="16"/>
                <w:szCs w:val="16"/>
                <w:color w:val="auto"/>
              </w:rPr>
              <w:t>Investment earnings</w:t>
            </w: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36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0.1</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219"/>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w:t>
            </w:r>
          </w:p>
        </w:tc>
        <w:tc>
          <w:tcPr>
            <w:tcW w:w="3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3.3</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7.3</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3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expense</w:t>
            </w:r>
          </w:p>
        </w:tc>
        <w:tc>
          <w:tcPr>
            <w:tcW w:w="30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(15.5)</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12"/>
        </w:trPr>
        <w:tc>
          <w:tcPr>
            <w:tcW w:w="3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Other Expense, Net</w:t>
            </w:r>
          </w:p>
        </w:tc>
        <w:tc>
          <w:tcPr>
            <w:tcW w:w="30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(8.1)</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7"/>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w:t>
            </w:r>
          </w:p>
        </w:tc>
        <w:tc>
          <w:tcPr>
            <w:tcW w:w="30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27.1</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27.7</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55.4</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r>
      <w:tr>
        <w:trPr>
          <w:trHeight w:val="212"/>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100.2</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80.3</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138.8</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r>
      <w:tr>
        <w:trPr>
          <w:trHeight w:val="21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30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12.1</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17.2</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88.1</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102.9</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121.6</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128.5</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42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88.1</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102.9</w:t>
            </w:r>
          </w:p>
        </w:tc>
        <w:tc>
          <w:tcPr>
            <w:tcW w:w="3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121.6</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r>
      <w:tr>
        <w:trPr>
          <w:trHeight w:val="213"/>
        </w:trPr>
        <w:tc>
          <w:tcPr>
            <w:tcW w:w="330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Derivative hedging activity</w:t>
            </w:r>
          </w:p>
        </w:tc>
        <w:tc>
          <w:tcPr>
            <w:tcW w:w="3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3"/>
        </w:trPr>
        <w:tc>
          <w:tcPr>
            <w:tcW w:w="3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Reclassification to expenses, net of tax</w:t>
            </w:r>
          </w:p>
        </w:tc>
        <w:tc>
          <w:tcPr>
            <w:tcW w:w="30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2"/>
        </w:trPr>
        <w:tc>
          <w:tcPr>
            <w:tcW w:w="3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Derivative hedging activity, net of tax</w:t>
            </w:r>
          </w:p>
        </w:tc>
        <w:tc>
          <w:tcPr>
            <w:tcW w:w="30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33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other comprehensive income</w:t>
            </w:r>
          </w:p>
        </w:tc>
        <w:tc>
          <w:tcPr>
            <w:tcW w:w="30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19"/>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3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88.1</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103.1</w:t>
            </w:r>
          </w:p>
        </w:tc>
        <w:tc>
          <w:tcPr>
            <w:tcW w:w="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121.6</w:t>
            </w:r>
          </w:p>
        </w:tc>
        <w:tc>
          <w:tcPr>
            <w:tcW w:w="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to Date June 30</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OPERATING ACTIVITIES:</w:t>
            </w:r>
          </w:p>
        </w:tc>
        <w:tc>
          <w:tcPr>
            <w:tcW w:w="280" w:type="dxa"/>
            <w:vAlign w:val="bottom"/>
          </w:tcPr>
          <w:p>
            <w:pPr>
              <w:spacing w:after="0"/>
              <w:rPr>
                <w:sz w:val="18"/>
                <w:szCs w:val="18"/>
                <w:color w:val="auto"/>
              </w:rPr>
            </w:pPr>
          </w:p>
        </w:tc>
        <w:tc>
          <w:tcPr>
            <w:tcW w:w="1440" w:type="dxa"/>
            <w:vAlign w:val="bottom"/>
            <w:gridSpan w:val="2"/>
          </w:tcPr>
          <w:p>
            <w:pPr>
              <w:jc w:val="right"/>
              <w:ind w:right="39"/>
              <w:spacing w:after="0"/>
              <w:rPr>
                <w:sz w:val="20"/>
                <w:szCs w:val="20"/>
                <w:color w:val="auto"/>
              </w:rPr>
            </w:pPr>
            <w:r>
              <w:rPr>
                <w:rFonts w:ascii="Arial" w:cs="Arial" w:eastAsia="Arial" w:hAnsi="Arial"/>
                <w:sz w:val="14"/>
                <w:szCs w:val="14"/>
                <w:color w:val="auto"/>
              </w:rPr>
              <w:t>(millions)</w:t>
            </w: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121.6</w:t>
            </w:r>
          </w:p>
        </w:tc>
        <w:tc>
          <w:tcPr>
            <w:tcW w:w="4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156.8</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Amortization of nuclear fuel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10.0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refueling outage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Net deferred income taxes and credits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(32.1)</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Allowance for equity funds used during construction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Payments for asset retirement obligations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(2.7)</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(0.2)</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working capital items: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(38.5)</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Accounts receivable pledged as collateral</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12.0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Fuel inventory and supplies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(21.9)</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(16.6)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(84.7)</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r>
      <w:tr>
        <w:trPr>
          <w:trHeight w:val="213"/>
        </w:trPr>
        <w:tc>
          <w:tcPr>
            <w:tcW w:w="860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34.5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19"/>
        </w:trPr>
        <w:tc>
          <w:tcPr>
            <w:tcW w:w="8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Changes in other assets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34.6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57.8</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246.1</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211.6</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(295.2)</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(235.7)</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securities - trusts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(13.6)</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Sale of securities - trusts</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8.4</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money pool lending</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3.5</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86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(291.9)</w:t>
            </w: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(238.1)</w:t>
            </w:r>
          </w:p>
        </w:tc>
      </w:tr>
      <w:tr>
        <w:trPr>
          <w:trHeight w:val="209"/>
        </w:trPr>
        <w:tc>
          <w:tcPr>
            <w:tcW w:w="8600" w:type="dxa"/>
            <w:vAlign w:val="bottom"/>
          </w:tcPr>
          <w:p>
            <w:pPr>
              <w:ind w:left="2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debt,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Collateralized short-term debt, net</w:t>
            </w:r>
          </w:p>
        </w:tc>
        <w:tc>
          <w:tcPr>
            <w:tcW w:w="28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(12.0)</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long-term debt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18"/>
                <w:szCs w:val="18"/>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9"/>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7"/>
        </w:trPr>
        <w:tc>
          <w:tcPr>
            <w:tcW w:w="8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(9.1)</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135.1</w:t>
            </w:r>
          </w:p>
        </w:tc>
      </w:tr>
      <w:tr>
        <w:trPr>
          <w:trHeight w:val="212"/>
        </w:trPr>
        <w:tc>
          <w:tcPr>
            <w:tcW w:w="8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(54.9)</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r>
      <w:tr>
        <w:trPr>
          <w:trHeight w:val="213"/>
        </w:trPr>
        <w:tc>
          <w:tcPr>
            <w:tcW w:w="86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71.6</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86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w:t>
            </w: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EVERGY METRO,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3"/>
              </w:rPr>
              <w:t>Common stock</w:t>
            </w: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6"/>
                <w:szCs w:val="16"/>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AOCI - Net</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Common Stock</w:t>
            </w:r>
          </w:p>
        </w:tc>
        <w:tc>
          <w:tcPr>
            <w:tcW w:w="2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87"/>
              </w:rPr>
              <w:t>gains (losses) on</w:t>
            </w:r>
          </w:p>
        </w:tc>
        <w:tc>
          <w:tcPr>
            <w:tcW w:w="160" w:type="dxa"/>
            <w:vAlign w:val="bottom"/>
          </w:tcPr>
          <w:p>
            <w:pPr>
              <w:spacing w:after="0"/>
              <w:rPr>
                <w:sz w:val="14"/>
                <w:szCs w:val="14"/>
                <w:color w:val="auto"/>
              </w:rPr>
            </w:pPr>
          </w:p>
        </w:tc>
        <w:tc>
          <w:tcPr>
            <w:tcW w:w="10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6"/>
              </w:rPr>
              <w:t>Total Equity</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120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earnings</w:t>
            </w: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5"/>
              </w:rPr>
              <w:t>cash flow hedges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20" w:type="dxa"/>
            <w:vAlign w:val="bottom"/>
            <w:gridSpan w:val="5"/>
          </w:tcPr>
          <w:p>
            <w:pPr>
              <w:jc w:val="right"/>
              <w:ind w:right="719"/>
              <w:spacing w:after="0"/>
              <w:rPr>
                <w:sz w:val="20"/>
                <w:szCs w:val="20"/>
                <w:color w:val="auto"/>
              </w:rPr>
            </w:pPr>
            <w:r>
              <w:rPr>
                <w:rFonts w:ascii="Arial" w:cs="Arial" w:eastAsia="Arial" w:hAnsi="Arial"/>
                <w:sz w:val="14"/>
                <w:szCs w:val="14"/>
                <w:color w:val="auto"/>
              </w:rPr>
              <w:t>(millions, except share amounts)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2019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1,012.8</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2,580.7</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25.6</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978.4</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2,546.2</w:t>
            </w: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declared on common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Derivative hedging activity, net of tax</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6"/>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1,061.3</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2,629.3</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December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1,191.5</w:t>
            </w: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2,759.2</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0" w:type="dxa"/>
            <w:vAlign w:val="bottom"/>
          </w:tcPr>
          <w:p>
            <w:pPr>
              <w:spacing w:after="0"/>
              <w:rPr>
                <w:sz w:val="1"/>
                <w:szCs w:val="1"/>
                <w:color w:val="auto"/>
              </w:rPr>
            </w:pP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2,792.7</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19"/>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1,313.1</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2,880.8</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Unaudited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INC.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w:t>
      </w:r>
    </w:p>
    <w:p>
      <w:pPr>
        <w:spacing w:after="0"/>
        <w:rPr>
          <w:sz w:val="20"/>
          <w:szCs w:val="20"/>
          <w:color w:val="auto"/>
        </w:rPr>
      </w:pPr>
      <w:r>
        <w:rPr>
          <w:rFonts w:ascii="Arial" w:cs="Arial" w:eastAsia="Arial" w:hAnsi="Arial"/>
          <w:sz w:val="20"/>
          <w:szCs w:val="20"/>
          <w:b w:val="1"/>
          <w:bCs w:val="1"/>
          <w:color w:val="auto"/>
        </w:rPr>
        <w:t>EVERGY METRO, INC.</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Combined Notes to Unaudited Consolidated Financial Statements</w:t>
      </w:r>
    </w:p>
    <w:p>
      <w:pPr>
        <w:spacing w:after="0" w:line="114"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BASIS OF PRESENTATION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Organization</w:t>
      </w:r>
    </w:p>
    <w:p>
      <w:pPr>
        <w:spacing w:after="0" w:line="22"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91" w:lineRule="exact"/>
        <w:rPr>
          <w:sz w:val="20"/>
          <w:szCs w:val="20"/>
          <w:color w:val="auto"/>
        </w:rPr>
      </w:pPr>
    </w:p>
    <w:p>
      <w:pPr>
        <w:ind w:left="660" w:right="100" w:hanging="328"/>
        <w:spacing w:after="0" w:line="25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w:t>
      </w:r>
    </w:p>
    <w:p>
      <w:pPr>
        <w:spacing w:after="0" w:line="77" w:lineRule="exact"/>
        <w:rPr>
          <w:rFonts w:ascii="Arial" w:cs="Arial" w:eastAsia="Arial" w:hAnsi="Arial"/>
          <w:sz w:val="20"/>
          <w:szCs w:val="20"/>
          <w:color w:val="auto"/>
        </w:rPr>
      </w:pPr>
    </w:p>
    <w:p>
      <w:pPr>
        <w:ind w:left="660" w:right="34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Metro, Inc. (Evergy Metro) is an integrated, regulated electric utility that provides electricity to customers in the states of Missouri and Kansas.</w:t>
      </w:r>
    </w:p>
    <w:p>
      <w:pPr>
        <w:spacing w:after="0" w:line="68"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Missouri West, Inc. (Evergy Missouri West) is an integrated, regulated electric utility that provides electricity to customers in the state of Missouri.</w:t>
      </w:r>
    </w:p>
    <w:p>
      <w:pPr>
        <w:spacing w:after="0" w:line="68" w:lineRule="exact"/>
        <w:rPr>
          <w:rFonts w:ascii="Arial" w:cs="Arial" w:eastAsia="Arial" w:hAnsi="Arial"/>
          <w:sz w:val="20"/>
          <w:szCs w:val="20"/>
          <w:color w:val="auto"/>
        </w:rPr>
      </w:pPr>
    </w:p>
    <w:p>
      <w:pPr>
        <w:ind w:left="660" w:right="20" w:hanging="328"/>
        <w:spacing w:after="0" w:line="246"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9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218"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purchased power agreements and engage in the generation, transmission, distribution and sale of electricity to approximately 1.6 million customers in the states of Kansas and Missouri.</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2020 Form 10-K.</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2" w:lineRule="exact"/>
        <w:rPr>
          <w:sz w:val="20"/>
          <w:szCs w:val="20"/>
          <w:color w:val="auto"/>
        </w:rPr>
      </w:pPr>
    </w:p>
    <w:p>
      <w:pPr>
        <w:ind w:right="220"/>
        <w:spacing w:after="0" w:line="257" w:lineRule="auto"/>
        <w:rPr>
          <w:sz w:val="20"/>
          <w:szCs w:val="20"/>
          <w:color w:val="auto"/>
        </w:rPr>
      </w:pPr>
      <w:r>
        <w:rPr>
          <w:rFonts w:ascii="Arial" w:cs="Arial" w:eastAsia="Arial" w:hAnsi="Arial"/>
          <w:sz w:val="19"/>
          <w:szCs w:val="19"/>
          <w:color w:val="auto"/>
        </w:rPr>
        <w:t>Each of Evergy's, Evergy Kansas Central's and Evergy Metro's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Inventory and Supplies</w:t>
      </w:r>
    </w:p>
    <w:p>
      <w:pPr>
        <w:spacing w:after="0" w:line="22" w:lineRule="exact"/>
        <w:rPr>
          <w:sz w:val="20"/>
          <w:szCs w:val="20"/>
          <w:color w:val="auto"/>
        </w:rPr>
      </w:pPr>
    </w:p>
    <w:p>
      <w:pPr>
        <w:ind w:right="740"/>
        <w:spacing w:after="0" w:line="244" w:lineRule="auto"/>
        <w:rPr>
          <w:sz w:val="20"/>
          <w:szCs w:val="20"/>
          <w:color w:val="auto"/>
        </w:rPr>
      </w:pPr>
      <w:r>
        <w:rPr>
          <w:rFonts w:ascii="Arial" w:cs="Arial" w:eastAsia="Arial" w:hAnsi="Arial"/>
          <w:sz w:val="20"/>
          <w:szCs w:val="20"/>
          <w:color w:val="auto"/>
        </w:rPr>
        <w:t>The Evergy Companies record fuel inventory and supplies at average cost. The following table separately states the balances for fuel inventory and supplies.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June 30</w:t>
            </w:r>
          </w:p>
        </w:tc>
        <w:tc>
          <w:tcPr>
            <w:tcW w:w="7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ind w:right="230"/>
              <w:spacing w:after="0" w:line="202" w:lineRule="exact"/>
              <w:rPr>
                <w:sz w:val="20"/>
                <w:szCs w:val="20"/>
                <w:color w:val="auto"/>
              </w:rPr>
            </w:pPr>
            <w:r>
              <w:rPr>
                <w:rFonts w:ascii="Arial" w:cs="Arial" w:eastAsia="Arial" w:hAnsi="Arial"/>
                <w:sz w:val="18"/>
                <w:szCs w:val="18"/>
                <w:b w:val="1"/>
                <w:bCs w:val="1"/>
                <w:color w:val="auto"/>
                <w:w w:val="98"/>
              </w:rPr>
              <w:t>December 31</w:t>
            </w:r>
          </w:p>
        </w:tc>
      </w:tr>
      <w:tr>
        <w:trPr>
          <w:trHeight w:val="230"/>
        </w:trPr>
        <w:tc>
          <w:tcPr>
            <w:tcW w:w="7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360" w:type="dxa"/>
            <w:vAlign w:val="bottom"/>
          </w:tcPr>
          <w:p>
            <w:pPr>
              <w:spacing w:after="0"/>
              <w:rPr>
                <w:sz w:val="19"/>
                <w:szCs w:val="19"/>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1440" w:type="dxa"/>
            <w:vAlign w:val="bottom"/>
          </w:tcPr>
          <w:p>
            <w:pPr>
              <w:spacing w:after="0"/>
              <w:rPr>
                <w:sz w:val="19"/>
                <w:szCs w:val="19"/>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13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3"/>
              </w:rPr>
              <w:t>155.5</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2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3"/>
              </w:rPr>
              <w:t>382.6</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w:t>
            </w:r>
          </w:p>
        </w:tc>
      </w:tr>
      <w:tr>
        <w:trPr>
          <w:trHeight w:val="223"/>
        </w:trPr>
        <w:tc>
          <w:tcPr>
            <w:tcW w:w="7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13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3"/>
              </w:rPr>
              <w:t>538.1</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504.5</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13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79.5</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3"/>
              </w:rPr>
              <w:t>201.6</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197.1</w:t>
            </w:r>
          </w:p>
        </w:tc>
      </w:tr>
      <w:tr>
        <w:trPr>
          <w:trHeight w:val="223"/>
        </w:trPr>
        <w:tc>
          <w:tcPr>
            <w:tcW w:w="7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13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3"/>
              </w:rPr>
              <w:t>281.1</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Fuel inventory</w:t>
            </w:r>
          </w:p>
        </w:tc>
        <w:tc>
          <w:tcPr>
            <w:tcW w:w="13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54.8</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Supplies</w:t>
            </w: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93"/>
              </w:rPr>
              <w:t>137.5</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r>
      <w:tr>
        <w:trPr>
          <w:trHeight w:val="230"/>
        </w:trPr>
        <w:tc>
          <w:tcPr>
            <w:tcW w:w="7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Fuel inventory and supplies</w:t>
            </w:r>
          </w:p>
        </w:tc>
        <w:tc>
          <w:tcPr>
            <w:tcW w:w="13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3"/>
              </w:rPr>
              <w:t>192.3</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property, plant and equipment of Evergy, Evergy Kansas Central and Evergy Metro.</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June 30, 2021</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6"/>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3"/>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29,687.7</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14,389.4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11,500.2</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(11,287.0)</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(5,442.6)</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(4,653.0)</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19,125.0</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9,671.1</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6,847.2</w:t>
            </w:r>
          </w:p>
        </w:tc>
      </w:tr>
      <w:tr>
        <w:trPr>
          <w:trHeight w:val="229"/>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1,059.2</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584.5</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319.2</w:t>
            </w:r>
          </w:p>
        </w:tc>
      </w:tr>
      <w:tr>
        <w:trPr>
          <w:trHeight w:val="230"/>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139.0</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69.3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69.7</w:t>
            </w:r>
          </w:p>
        </w:tc>
      </w:tr>
      <w:tr>
        <w:trPr>
          <w:trHeight w:val="229"/>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0.9</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0.9</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20,324.1</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10,325.8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7,236.1</w:t>
            </w:r>
          </w:p>
        </w:tc>
      </w:tr>
    </w:tbl>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December 31, 2020</w:t>
            </w:r>
          </w:p>
        </w:tc>
        <w:tc>
          <w:tcPr>
            <w:tcW w:w="7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Evergy</w:t>
            </w:r>
          </w:p>
        </w:tc>
        <w:tc>
          <w:tcPr>
            <w:tcW w:w="2760" w:type="dxa"/>
            <w:vAlign w:val="bottom"/>
            <w:tcBorders>
              <w:top w:val="single" w:sz="8" w:color="auto"/>
              <w:bottom w:val="single" w:sz="8" w:color="auto"/>
            </w:tcBorders>
            <w:gridSpan w:val="2"/>
          </w:tcPr>
          <w:p>
            <w:pPr>
              <w:jc w:val="right"/>
              <w:ind w:right="411"/>
              <w:spacing w:after="0"/>
              <w:rPr>
                <w:sz w:val="20"/>
                <w:szCs w:val="20"/>
                <w:color w:val="auto"/>
              </w:rPr>
            </w:pPr>
            <w:r>
              <w:rPr>
                <w:rFonts w:ascii="Arial" w:cs="Arial" w:eastAsia="Arial" w:hAnsi="Arial"/>
                <w:sz w:val="18"/>
                <w:szCs w:val="18"/>
                <w:b w:val="1"/>
                <w:bCs w:val="1"/>
                <w:color w:val="auto"/>
              </w:rPr>
              <w:t>Evergy Kansas Central</w:t>
            </w:r>
          </w:p>
        </w:tc>
        <w:tc>
          <w:tcPr>
            <w:tcW w:w="58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2"/>
              </w:rPr>
              <w:t>Evergy Metro</w:t>
            </w:r>
          </w:p>
        </w:tc>
      </w:tr>
      <w:tr>
        <w:trPr>
          <w:trHeight w:val="207"/>
        </w:trPr>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tcPr>
          <w:p>
            <w:pPr>
              <w:jc w:val="right"/>
              <w:ind w:right="971"/>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2"/>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Electric plant in service</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28,914.8</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14,095.1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11,161.8</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Electric plant acquisition adjustment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724.3</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724.3</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(10,998.4)</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671"/>
              <w:spacing w:after="0"/>
              <w:rPr>
                <w:sz w:val="20"/>
                <w:szCs w:val="20"/>
                <w:color w:val="auto"/>
              </w:rPr>
            </w:pPr>
            <w:r>
              <w:rPr>
                <w:rFonts w:ascii="Arial" w:cs="Arial" w:eastAsia="Arial" w:hAnsi="Arial"/>
                <w:sz w:val="18"/>
                <w:szCs w:val="18"/>
                <w:color w:val="auto"/>
              </w:rPr>
              <w:t>(5,293.5)</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(4,532.7)</w:t>
            </w:r>
          </w:p>
        </w:tc>
      </w:tr>
      <w:tr>
        <w:trPr>
          <w:trHeight w:val="223"/>
        </w:trPr>
        <w:tc>
          <w:tcPr>
            <w:tcW w:w="3800" w:type="dxa"/>
            <w:vAlign w:val="bottom"/>
          </w:tcPr>
          <w:p>
            <w:pPr>
              <w:ind w:left="340"/>
              <w:spacing w:after="0"/>
              <w:rPr>
                <w:sz w:val="20"/>
                <w:szCs w:val="20"/>
                <w:color w:val="auto"/>
              </w:rPr>
            </w:pPr>
            <w:r>
              <w:rPr>
                <w:rFonts w:ascii="Arial" w:cs="Arial" w:eastAsia="Arial" w:hAnsi="Arial"/>
                <w:sz w:val="18"/>
                <w:szCs w:val="18"/>
                <w:color w:val="auto"/>
              </w:rPr>
              <w:t>Plant in service,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18,640.7</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9,525.9</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6,629.1</w:t>
            </w:r>
          </w:p>
        </w:tc>
      </w:tr>
      <w:tr>
        <w:trPr>
          <w:trHeight w:val="230"/>
        </w:trPr>
        <w:tc>
          <w:tcPr>
            <w:tcW w:w="3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7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1,153.5</w:t>
            </w:r>
          </w:p>
        </w:tc>
        <w:tc>
          <w:tcPr>
            <w:tcW w:w="9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711"/>
              <w:spacing w:after="0"/>
              <w:rPr>
                <w:sz w:val="20"/>
                <w:szCs w:val="20"/>
                <w:color w:val="auto"/>
              </w:rPr>
            </w:pPr>
            <w:r>
              <w:rPr>
                <w:rFonts w:ascii="Arial" w:cs="Arial" w:eastAsia="Arial" w:hAnsi="Arial"/>
                <w:sz w:val="18"/>
                <w:szCs w:val="18"/>
                <w:color w:val="auto"/>
              </w:rPr>
              <w:t>589.1</w:t>
            </w:r>
          </w:p>
        </w:tc>
        <w:tc>
          <w:tcPr>
            <w:tcW w:w="5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433.9</w:t>
            </w:r>
          </w:p>
        </w:tc>
      </w:tr>
      <w:tr>
        <w:trPr>
          <w:trHeight w:val="229"/>
        </w:trPr>
        <w:tc>
          <w:tcPr>
            <w:tcW w:w="3800" w:type="dxa"/>
            <w:vAlign w:val="bottom"/>
          </w:tcPr>
          <w:p>
            <w:pPr>
              <w:ind w:left="140"/>
              <w:spacing w:after="0"/>
              <w:rPr>
                <w:sz w:val="20"/>
                <w:szCs w:val="20"/>
                <w:color w:val="auto"/>
              </w:rPr>
            </w:pPr>
            <w:r>
              <w:rPr>
                <w:rFonts w:ascii="Arial" w:cs="Arial" w:eastAsia="Arial" w:hAnsi="Arial"/>
                <w:sz w:val="18"/>
                <w:szCs w:val="18"/>
                <w:color w:val="auto"/>
              </w:rPr>
              <w:t>Nuclear fuel, net</w:t>
            </w:r>
          </w:p>
        </w:tc>
        <w:tc>
          <w:tcPr>
            <w:tcW w:w="78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155.9</w:t>
            </w:r>
          </w:p>
        </w:tc>
        <w:tc>
          <w:tcPr>
            <w:tcW w:w="940" w:type="dxa"/>
            <w:vAlign w:val="bottom"/>
          </w:tcPr>
          <w:p>
            <w:pPr>
              <w:spacing w:after="0"/>
              <w:rPr>
                <w:sz w:val="19"/>
                <w:szCs w:val="19"/>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color w:val="auto"/>
              </w:rPr>
              <w:t>77.7</w:t>
            </w:r>
          </w:p>
        </w:tc>
        <w:tc>
          <w:tcPr>
            <w:tcW w:w="580" w:type="dxa"/>
            <w:vAlign w:val="bottom"/>
          </w:tcPr>
          <w:p>
            <w:pPr>
              <w:spacing w:after="0"/>
              <w:rPr>
                <w:sz w:val="19"/>
                <w:szCs w:val="19"/>
                <w:color w:val="auto"/>
              </w:rPr>
            </w:pPr>
          </w:p>
        </w:tc>
        <w:tc>
          <w:tcPr>
            <w:tcW w:w="1740" w:type="dxa"/>
            <w:vAlign w:val="bottom"/>
          </w:tcPr>
          <w:p>
            <w:pPr>
              <w:jc w:val="right"/>
              <w:ind w:right="510"/>
              <w:spacing w:after="0"/>
              <w:rPr>
                <w:sz w:val="20"/>
                <w:szCs w:val="20"/>
                <w:color w:val="auto"/>
              </w:rPr>
            </w:pPr>
            <w:r>
              <w:rPr>
                <w:rFonts w:ascii="Arial" w:cs="Arial" w:eastAsia="Arial" w:hAnsi="Arial"/>
                <w:sz w:val="18"/>
                <w:szCs w:val="18"/>
                <w:color w:val="auto"/>
              </w:rPr>
              <w:t>78.2</w:t>
            </w:r>
          </w:p>
        </w:tc>
      </w:tr>
      <w:tr>
        <w:trPr>
          <w:trHeight w:val="230"/>
        </w:trPr>
        <w:tc>
          <w:tcPr>
            <w:tcW w:w="3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Plant to be retired, net</w:t>
            </w:r>
            <w:r>
              <w:rPr>
                <w:rFonts w:ascii="Arial" w:cs="Arial" w:eastAsia="Arial" w:hAnsi="Arial"/>
                <w:sz w:val="23"/>
                <w:szCs w:val="23"/>
                <w:color w:val="auto"/>
                <w:vertAlign w:val="superscript"/>
              </w:rPr>
              <w:t>(a)</w:t>
            </w:r>
          </w:p>
        </w:tc>
        <w:tc>
          <w:tcPr>
            <w:tcW w:w="7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0.9</w:t>
            </w:r>
          </w:p>
        </w:tc>
        <w:tc>
          <w:tcPr>
            <w:tcW w:w="9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711"/>
              <w:spacing w:after="0"/>
              <w:rPr>
                <w:sz w:val="20"/>
                <w:szCs w:val="20"/>
                <w:color w:val="auto"/>
              </w:rPr>
            </w:pPr>
            <w:r>
              <w:rPr>
                <w:rFonts w:ascii="Arial" w:cs="Arial" w:eastAsia="Arial" w:hAnsi="Arial"/>
                <w:sz w:val="18"/>
                <w:szCs w:val="18"/>
                <w:color w:val="auto"/>
              </w:rPr>
              <w:t>0.9</w:t>
            </w:r>
          </w:p>
        </w:tc>
        <w:tc>
          <w:tcPr>
            <w:tcW w:w="5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Property, plant and equipment, net</w:t>
            </w: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19,951.0</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ind w:right="711"/>
              <w:spacing w:after="0"/>
              <w:rPr>
                <w:sz w:val="20"/>
                <w:szCs w:val="20"/>
                <w:color w:val="auto"/>
              </w:rPr>
            </w:pPr>
            <w:r>
              <w:rPr>
                <w:rFonts w:ascii="Arial" w:cs="Arial" w:eastAsia="Arial" w:hAnsi="Arial"/>
                <w:sz w:val="18"/>
                <w:szCs w:val="18"/>
                <w:color w:val="auto"/>
              </w:rPr>
              <w:t>10,193.6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7,141.2</w:t>
            </w:r>
          </w:p>
        </w:tc>
      </w:tr>
    </w:tbl>
    <w:p>
      <w:pPr>
        <w:spacing w:after="0" w:line="8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As of June 30, 2021 and December 31, 2020, represents the planned retirement of Evergy Kansas Central analog meters prior to the end of their remaining useful lives.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detail of other expense for each of the Evergy Companies.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20" w:type="dxa"/>
            <w:vAlign w:val="bottom"/>
            <w:tcBorders>
              <w:top w:val="single" w:sz="8" w:color="auto"/>
            </w:tcBorders>
            <w:gridSpan w:val="3"/>
          </w:tcPr>
          <w:p>
            <w:pPr>
              <w:jc w:val="right"/>
              <w:ind w:right="491"/>
              <w:spacing w:after="0" w:line="202" w:lineRule="exact"/>
              <w:rPr>
                <w:sz w:val="20"/>
                <w:szCs w:val="20"/>
                <w:color w:val="auto"/>
              </w:rPr>
            </w:pPr>
            <w:r>
              <w:rPr>
                <w:rFonts w:ascii="Arial" w:cs="Arial" w:eastAsia="Arial" w:hAnsi="Arial"/>
                <w:sz w:val="18"/>
                <w:szCs w:val="18"/>
                <w:b w:val="1"/>
                <w:bCs w:val="1"/>
                <w:color w:val="auto"/>
              </w:rPr>
              <w:t>Three Months Ended</w:t>
            </w:r>
          </w:p>
        </w:tc>
        <w:tc>
          <w:tcPr>
            <w:tcW w:w="4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Year to Date</w:t>
            </w:r>
          </w:p>
        </w:tc>
        <w:tc>
          <w:tcPr>
            <w:tcW w:w="820" w:type="dxa"/>
            <w:vAlign w:val="bottom"/>
            <w:tcBorders>
              <w:top w:val="single" w:sz="8" w:color="auto"/>
            </w:tcBorders>
          </w:tcPr>
          <w:p>
            <w:pPr>
              <w:spacing w:after="0"/>
              <w:rPr>
                <w:sz w:val="17"/>
                <w:szCs w:val="17"/>
                <w:color w:val="auto"/>
              </w:rPr>
            </w:pPr>
          </w:p>
        </w:tc>
      </w:tr>
      <w:tr>
        <w:trPr>
          <w:trHeight w:val="225"/>
        </w:trPr>
        <w:tc>
          <w:tcPr>
            <w:tcW w:w="5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9"/>
                <w:szCs w:val="19"/>
                <w:color w:val="auto"/>
              </w:rPr>
            </w:pPr>
          </w:p>
        </w:tc>
      </w:tr>
      <w:tr>
        <w:trPr>
          <w:trHeight w:val="234"/>
        </w:trPr>
        <w:tc>
          <w:tcPr>
            <w:tcW w:w="5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2020</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(11.1)</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5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5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Non-service cost component of net benefit cost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0.4</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58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(15.5)</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2"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To compute basic earnings per share (EPS), Evergy divides net income attributable to Evergy, Inc. by the weighted average number of common shares outstanding. Diluted EPS includes the effect of issuable common shares resulting from restricted share units (RSUs), performance shares, restricted stock and a warrant. Evergy computes the dilutive effects of potential issuances of common shares using the treasury stock method.</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Evergy's basic and diluted EPS.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3"/>
          </w:tcPr>
          <w:p>
            <w:pPr>
              <w:jc w:val="right"/>
              <w:ind w:right="411"/>
              <w:spacing w:after="0" w:line="202" w:lineRule="exact"/>
              <w:rPr>
                <w:sz w:val="20"/>
                <w:szCs w:val="20"/>
                <w:color w:val="auto"/>
              </w:rPr>
            </w:pPr>
            <w:r>
              <w:rPr>
                <w:rFonts w:ascii="Arial" w:cs="Arial" w:eastAsia="Arial" w:hAnsi="Arial"/>
                <w:sz w:val="18"/>
                <w:szCs w:val="18"/>
                <w:b w:val="1"/>
                <w:bCs w:val="1"/>
                <w:color w:val="auto"/>
              </w:rPr>
              <w:t>Three Months Ended</w:t>
            </w:r>
          </w:p>
        </w:tc>
        <w:tc>
          <w:tcPr>
            <w:tcW w:w="3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rPr>
              <w:t>Year to Date</w:t>
            </w:r>
          </w:p>
        </w:tc>
        <w:tc>
          <w:tcPr>
            <w:tcW w:w="800" w:type="dxa"/>
            <w:vAlign w:val="bottom"/>
            <w:tcBorders>
              <w:top w:val="single" w:sz="8" w:color="auto"/>
            </w:tcBorders>
          </w:tcPr>
          <w:p>
            <w:pPr>
              <w:spacing w:after="0"/>
              <w:rPr>
                <w:sz w:val="17"/>
                <w:szCs w:val="17"/>
                <w:color w:val="auto"/>
              </w:rPr>
            </w:pPr>
          </w:p>
        </w:tc>
      </w:tr>
      <w:tr>
        <w:trPr>
          <w:trHeight w:val="225"/>
        </w:trPr>
        <w:tc>
          <w:tcPr>
            <w:tcW w:w="5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3"/>
          </w:tcPr>
          <w:p>
            <w:pPr>
              <w:jc w:val="right"/>
              <w:ind w:right="931"/>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9"/>
                <w:szCs w:val="19"/>
                <w:color w:val="auto"/>
              </w:rPr>
            </w:pPr>
          </w:p>
        </w:tc>
        <w:tc>
          <w:tcPr>
            <w:tcW w:w="15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19"/>
                <w:szCs w:val="19"/>
                <w:color w:val="auto"/>
              </w:rPr>
            </w:pPr>
          </w:p>
        </w:tc>
      </w:tr>
      <w:tr>
        <w:trPr>
          <w:trHeight w:val="234"/>
        </w:trPr>
        <w:tc>
          <w:tcPr>
            <w:tcW w:w="5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Income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3"/>
          </w:tcPr>
          <w:p>
            <w:pPr>
              <w:jc w:val="right"/>
              <w:ind w:right="70"/>
              <w:spacing w:after="0"/>
              <w:rPr>
                <w:sz w:val="20"/>
                <w:szCs w:val="20"/>
                <w:color w:val="auto"/>
              </w:rPr>
            </w:pPr>
            <w:r>
              <w:rPr>
                <w:rFonts w:ascii="Arial" w:cs="Arial" w:eastAsia="Arial" w:hAnsi="Arial"/>
                <w:sz w:val="16"/>
                <w:szCs w:val="16"/>
                <w:color w:val="auto"/>
                <w:w w:val="90"/>
              </w:rPr>
              <w:t>(millions, except per share amounts)</w:t>
            </w: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382.9</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r>
      <w:tr>
        <w:trPr>
          <w:trHeight w:val="22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185.3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133.4</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376.9</w:t>
            </w:r>
          </w:p>
        </w:tc>
        <w:tc>
          <w:tcPr>
            <w:tcW w:w="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r>
      <w:tr>
        <w:trPr>
          <w:trHeight w:val="223"/>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Common Shares Outstanding</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basic</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227.2</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228.3</w:t>
            </w:r>
          </w:p>
        </w:tc>
        <w:tc>
          <w:tcPr>
            <w:tcW w:w="5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w:t>
            </w:r>
          </w:p>
        </w:tc>
      </w:tr>
      <w:tr>
        <w:trPr>
          <w:trHeight w:val="22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Effect of dilutive securities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0.4</w:t>
            </w:r>
          </w:p>
        </w:tc>
        <w:tc>
          <w:tcPr>
            <w:tcW w:w="5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outstanding - dilutive</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229.7</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227.6</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228.7</w:t>
            </w:r>
          </w:p>
        </w:tc>
        <w:tc>
          <w:tcPr>
            <w:tcW w:w="5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w:t>
            </w:r>
          </w:p>
        </w:tc>
      </w:tr>
      <w:tr>
        <w:trPr>
          <w:trHeight w:val="230"/>
        </w:trPr>
        <w:tc>
          <w:tcPr>
            <w:tcW w:w="5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Basic and Diluted EPS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0.59</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1.65</w:t>
            </w:r>
          </w:p>
        </w:tc>
        <w:tc>
          <w:tcPr>
            <w:tcW w:w="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r>
    </w:tbl>
    <w:p>
      <w:pPr>
        <w:spacing w:after="0" w:line="280"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color w:val="auto"/>
        </w:rPr>
        <w:t>Anti-dilutive shares excluded from the computation of diluted EPS for the three months ended and year to date June 30, 2021, were 3,950,000 common shares issuable pursuant to a warrant. Anti-dilutive shares excluded from the computation of diluted EPS for the three months ended June 30, 2020, were 295,802 RSUs with performance measures and 58,714 RSUs with only service requirements. Anti-dilutive shares excluded from the computation of diluted EPS year to date June 30, 2020, were 295,802 RSUs with performance measures and 234 RSUs with only service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Declared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 August 2021, Evergy's Board of Directors (Evergy Board) declared a quarterly dividend of $0.535 per share on Evergy's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The common dividend is payable September 20, 2021, to shareholders of record as of August 20, 2021.</w:t>
      </w:r>
    </w:p>
    <w:p>
      <w:pPr>
        <w:spacing w:after="0" w:line="200"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In August 2021, Evergy Kansas Central's Board of Directors declared a cash dividend to Evergy of up to $170.0 million, payable on September 17, 2021.</w:t>
      </w:r>
    </w:p>
    <w:p>
      <w:pPr>
        <w:spacing w:after="0" w:line="177"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In August 2021, Evergy Metro's Board of Directors declared a cash dividend to Evergy of up to $50.0 million, payable on September 17,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7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18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amounts capitalized</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179.9</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Interest of VIEs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0.4</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149.1</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Non-cash financing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Issuance of stock for compensation and reinvested dividends</w:t>
            </w:r>
          </w:p>
        </w:tc>
        <w:tc>
          <w:tcPr>
            <w:tcW w:w="1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0.7</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r>
      <w:tr>
        <w:trPr>
          <w:trHeight w:val="466"/>
        </w:trPr>
        <w:tc>
          <w:tcPr>
            <w:tcW w:w="40" w:type="dxa"/>
            <w:vAlign w:val="bottom"/>
          </w:tcPr>
          <w:p>
            <w:pPr>
              <w:spacing w:after="0"/>
              <w:rPr>
                <w:sz w:val="24"/>
                <w:szCs w:val="24"/>
                <w:color w:val="auto"/>
              </w:rPr>
            </w:pPr>
          </w:p>
        </w:tc>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amounts capitalized</w:t>
            </w:r>
          </w:p>
        </w:tc>
        <w:tc>
          <w:tcPr>
            <w:tcW w:w="1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74.4</w:t>
            </w:r>
          </w:p>
        </w:tc>
        <w:tc>
          <w:tcPr>
            <w:tcW w:w="4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Interest of VIEs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net of refunds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37.0</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40" w:type="dxa"/>
            <w:vAlign w:val="bottom"/>
          </w:tcPr>
          <w:p>
            <w:pPr>
              <w:spacing w:after="0"/>
              <w:rPr>
                <w:sz w:val="20"/>
                <w:szCs w:val="20"/>
                <w:color w:val="auto"/>
              </w:rPr>
            </w:pPr>
          </w:p>
        </w:tc>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61.1</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20"/>
                <w:szCs w:val="20"/>
                <w:color w:val="auto"/>
              </w:rPr>
            </w:pPr>
          </w:p>
        </w:tc>
      </w:tr>
      <w:tr>
        <w:trPr>
          <w:trHeight w:val="439"/>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Evergy Metro</w:t>
            </w:r>
          </w:p>
        </w:tc>
        <w:tc>
          <w:tcPr>
            <w:tcW w:w="1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30"/>
        </w:trPr>
        <w:tc>
          <w:tcPr>
            <w:tcW w:w="7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1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r>
      <w:tr>
        <w:trPr>
          <w:trHeight w:val="22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Cash paid for (received from):</w:t>
            </w:r>
          </w:p>
        </w:tc>
        <w:tc>
          <w:tcPr>
            <w:tcW w:w="184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 w:type="dxa"/>
            <w:vAlign w:val="bottom"/>
            <w:shd w:val="clear" w:color="auto" w:fill="CCEEFF"/>
          </w:tcPr>
          <w:p>
            <w:pPr>
              <w:spacing w:after="0"/>
              <w:rPr>
                <w:sz w:val="19"/>
                <w:szCs w:val="19"/>
                <w:color w:val="auto"/>
              </w:rPr>
            </w:pPr>
          </w:p>
        </w:tc>
        <w:tc>
          <w:tcPr>
            <w:tcW w:w="7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net of amounts capitalized</w:t>
            </w:r>
          </w:p>
        </w:tc>
        <w:tc>
          <w:tcPr>
            <w:tcW w:w="1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56.8</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180"/>
              <w:spacing w:after="0"/>
              <w:rPr>
                <w:sz w:val="20"/>
                <w:szCs w:val="20"/>
                <w:color w:val="auto"/>
              </w:rPr>
            </w:pPr>
            <w:r>
              <w:rPr>
                <w:rFonts w:ascii="Arial" w:cs="Arial" w:eastAsia="Arial" w:hAnsi="Arial"/>
                <w:sz w:val="18"/>
                <w:szCs w:val="18"/>
                <w:color w:val="auto"/>
              </w:rPr>
              <w:t>Income taxes, net of refunds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43.9</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9"/>
                <w:szCs w:val="19"/>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1840" w:type="dxa"/>
            <w:vAlign w:val="bottom"/>
          </w:tcPr>
          <w:p>
            <w:pPr>
              <w:spacing w:after="0"/>
              <w:rPr>
                <w:sz w:val="19"/>
                <w:szCs w:val="19"/>
                <w:color w:val="auto"/>
              </w:rPr>
            </w:pPr>
          </w:p>
        </w:tc>
        <w:tc>
          <w:tcPr>
            <w:tcW w:w="10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Non-cash investing transactions:</w:t>
            </w:r>
          </w:p>
        </w:tc>
        <w:tc>
          <w:tcPr>
            <w:tcW w:w="18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6"/>
        </w:trPr>
        <w:tc>
          <w:tcPr>
            <w:tcW w:w="40" w:type="dxa"/>
            <w:vAlign w:val="bottom"/>
            <w:tcBorders>
              <w:bottom w:val="single" w:sz="8" w:color="auto"/>
            </w:tcBorders>
          </w:tcPr>
          <w:p>
            <w:pPr>
              <w:spacing w:after="0"/>
              <w:rPr>
                <w:sz w:val="20"/>
                <w:szCs w:val="20"/>
                <w:color w:val="auto"/>
              </w:rPr>
            </w:pPr>
          </w:p>
        </w:tc>
        <w:tc>
          <w:tcPr>
            <w:tcW w:w="7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Property, plant and equipment additions</w:t>
            </w:r>
          </w:p>
        </w:tc>
        <w:tc>
          <w:tcPr>
            <w:tcW w:w="1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53.1</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20" w:type="dxa"/>
            <w:vAlign w:val="bottom"/>
            <w:tcBorders>
              <w:bottom w:val="single" w:sz="8" w:color="auto"/>
            </w:tcBorders>
          </w:tcPr>
          <w:p>
            <w:pPr>
              <w:spacing w:after="0"/>
              <w:rPr>
                <w:sz w:val="20"/>
                <w:szCs w:val="20"/>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2021 Winter Weather Event</w:t>
      </w:r>
    </w:p>
    <w:p>
      <w:pPr>
        <w:spacing w:after="0" w:line="22"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In February 2021, much of the central and southern United States, including the service territories of the Evergy Companies, experienced a significant winter weather event that resulted in extremely cold temperatures over a multi-day period (February 2021 winter weather event). The February 2021 winter weather event resulted in an increase in the demand for natural gas used by the Evergy Companies for generating electricity and also contributed to the limited availability of other generation resources, including coal and renewables, within the SPP Integrated Marketplace. The Evergy Companies are members of the SPP and, as a result, principally sell and purchase power for the Evergy Companies' retail electric customers through the SPP Integrated Marketplace. These circumstances resulted in higher than normal market prices for both natural gas and power for the duration of the February 2021 winter weather event. These higher than normal market prices also included make-whole payments calculated by the SPP to compensate natural gas generators within the SPP Integrated Marketplace for costs incurred in excess of revenues. As part of the February 2021 winter weather event and inclusive of the aforementioned items, Evergy incurred natural gas and purchased power costs, net of wholesale revenues, of $349.5 million. This $349.5 million of net fuel and purchased power costs was primarily driven by $292.7 million of costs at Evergy Missouri West and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$128.2 million of costs at Evergy Kansas Central, partially offset by $71.4 million of net wholesale revenues at Evergy Metro. The amount of purchased power costs incurred by the Evergy Companies during the February 2021 winter weather event is subject to resettlement activity and further review by the SPP. This review and any subsequent resettlement activity could result in increases or decreases to the final amount of purchased power costs incurred by the Evergy Companies during the February 2021 winter weather event and these changes could be material.</w:t>
      </w:r>
    </w:p>
    <w:p>
      <w:pPr>
        <w:spacing w:after="0" w:line="194"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The Evergy Companies have fuel recovery mechanisms in their Kansas and Missouri jurisdictions, as applicable, that allow them to defer substantially all of any increased fuel and purchased power costs, net of wholesale revenues, to a regulatory asset or liability for future recovery from or refund to customers. Further, in February 2021, the State Corporation Commission of the State of Kansas (KCC) issued an emergency Accounting Authority Order (AAO) that allowed Evergy Kansas Central and Evergy Metro's Kansas jurisdiction to defer to a regulatory asset any extraordinary costs, including carrying costs, incurred to provide electric service during the February 2021 winter weather event for consideration in future rate proceedings. Additionally, in June 2021, Evergy Metro and Evergy Missouri West filed a joint request for an AAO with the Public Service Commission of the State of Missouri (MPSC) that would allow for the extraordinary costs and revenues to provide service during the February 2021 winter weather event, including carrying costs, to be deferred to a regulatory asset or a regulatory liability for consideration in future proceedings. See Note 4 for additional information regarding the AAOs.</w:t>
      </w:r>
    </w:p>
    <w:p>
      <w:pPr>
        <w:spacing w:after="0" w:line="170" w:lineRule="exact"/>
        <w:rPr>
          <w:sz w:val="20"/>
          <w:szCs w:val="20"/>
          <w:color w:val="auto"/>
        </w:rPr>
      </w:pPr>
    </w:p>
    <w:p>
      <w:pPr>
        <w:ind w:right="60"/>
        <w:spacing w:after="0" w:line="243" w:lineRule="auto"/>
        <w:rPr>
          <w:sz w:val="20"/>
          <w:szCs w:val="20"/>
          <w:color w:val="auto"/>
        </w:rPr>
      </w:pPr>
      <w:r>
        <w:rPr>
          <w:rFonts w:ascii="Arial" w:cs="Arial" w:eastAsia="Arial" w:hAnsi="Arial"/>
          <w:sz w:val="20"/>
          <w:szCs w:val="20"/>
          <w:color w:val="auto"/>
        </w:rPr>
        <w:t>As of June 30, 2021, the Evergy Companies have deferred substantially all of the fuel and purchased power costs, net of wholesale revenues, related to the February 2021 winter weather event to a regulatory asset or liability pursuant to the mechanisms discussed above. While the Evergy Companies expect to recover substantially all of any increased fuel and purchased power costs related to the February 2021 winter weather event from customers, the timing of the cost recovery could be delayed or spread over a longer than typical recovery timeframe by the KCC or the MPSC to help moderate monthly customer bill impacts given the extraordinary nature of the February 2021 winter weather event.</w:t>
      </w:r>
    </w:p>
    <w:p>
      <w:pPr>
        <w:spacing w:after="0" w:line="196"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Evergy Companies also engage in limited non-regulated energy marketing activities in various regional power markets that have historically not had a significant impact on the Evergy Companies' results of operations. These energy marketing margins are recorded net in operating revenues on the Evergy Companies' statements of income and comprehensive income. As a result of the elevated market prices experienced in regional power markets across the central and southern United States driven by the February 2021 winter weather event discussed above, Evergy and Evergy Kansas Central recorded $95.0 million of energy marketing margins in 2021 related to the February 2021 winter weather event, primarily driven by activities in the Electric Reliability Council of Texas (ERCOT). The amount of energy marketing margins recorded as a result of the February 2021 winter weather event is subject to resettlement activities and/or legislative action in Texas that could result in increases or decreases to the final amount of energy marketing margins earned by Evergy and Evergy Kansas Central as a result of the February 2021 winter weather event and these changes could be material.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Evergy's, Evergy Kansas Central's and Evergy Metro's revenues disaggregated by customer class are summarized in the following tables.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720" w:type="dxa"/>
            <w:vAlign w:val="bottom"/>
            <w:tcBorders>
              <w:top w:val="single" w:sz="8" w:color="auto"/>
            </w:tcBorders>
            <w:gridSpan w:val="3"/>
          </w:tcPr>
          <w:p>
            <w:pPr>
              <w:jc w:val="center"/>
              <w:ind w:right="231"/>
              <w:spacing w:after="0" w:line="182" w:lineRule="exact"/>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2"/>
          </w:tcPr>
          <w:p>
            <w:pPr>
              <w:jc w:val="center"/>
              <w:ind w:left="390"/>
              <w:spacing w:after="0" w:line="182" w:lineRule="exact"/>
              <w:rPr>
                <w:sz w:val="20"/>
                <w:szCs w:val="20"/>
                <w:color w:val="auto"/>
              </w:rPr>
            </w:pPr>
            <w:r>
              <w:rPr>
                <w:rFonts w:ascii="Arial" w:cs="Arial" w:eastAsia="Arial" w:hAnsi="Arial"/>
                <w:sz w:val="18"/>
                <w:szCs w:val="18"/>
                <w:b w:val="1"/>
                <w:bCs w:val="1"/>
                <w:color w:val="auto"/>
                <w:w w:val="91"/>
              </w:rPr>
              <w:t>Year to Date</w:t>
            </w:r>
          </w:p>
        </w:tc>
        <w:tc>
          <w:tcPr>
            <w:tcW w:w="960" w:type="dxa"/>
            <w:vAlign w:val="bottom"/>
            <w:tcBorders>
              <w:top w:val="single" w:sz="8" w:color="auto"/>
            </w:tcBorders>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89"/>
              </w:rPr>
              <w:t>June 30</w:t>
            </w: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86"/>
              </w:rPr>
              <w:t>June 30</w:t>
            </w:r>
          </w:p>
        </w:tc>
        <w:tc>
          <w:tcPr>
            <w:tcW w:w="96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459.8</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856.5</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3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422.5</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388.7</w:t>
            </w:r>
          </w:p>
        </w:tc>
        <w:tc>
          <w:tcPr>
            <w:tcW w:w="4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768.5</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773.4</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150.0</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283.6</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16.9</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2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electric retail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1,041.8</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1,925.5</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1,952.2</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Wholesale</w:t>
            </w:r>
          </w:p>
        </w:tc>
        <w:tc>
          <w:tcPr>
            <w:tcW w:w="3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70.0</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w:t>
            </w:r>
          </w:p>
        </w:tc>
        <w:tc>
          <w:tcPr>
            <w:tcW w:w="4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557.5</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90.4</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176.4</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Industrial steam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1,208.1</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2,670.5</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2,232.0</w:t>
            </w: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28.1</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177.6</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1,236.2</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1,184.7</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2,848.1</w:t>
            </w:r>
          </w:p>
        </w:tc>
        <w:tc>
          <w:tcPr>
            <w:tcW w:w="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2,301.4</w:t>
            </w:r>
          </w:p>
        </w:tc>
      </w:tr>
      <w:tr>
        <w:trPr>
          <w:trHeight w:val="574"/>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76"/>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20" w:type="dxa"/>
            <w:vAlign w:val="bottom"/>
            <w:gridSpan w:val="3"/>
          </w:tcPr>
          <w:p>
            <w:pPr>
              <w:jc w:val="center"/>
              <w:ind w:right="231"/>
              <w:spacing w:after="0" w:line="176" w:lineRule="exact"/>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15"/>
                <w:szCs w:val="15"/>
                <w:color w:val="auto"/>
              </w:rPr>
            </w:pPr>
          </w:p>
        </w:tc>
        <w:tc>
          <w:tcPr>
            <w:tcW w:w="1640" w:type="dxa"/>
            <w:vAlign w:val="bottom"/>
            <w:gridSpan w:val="2"/>
          </w:tcPr>
          <w:p>
            <w:pPr>
              <w:jc w:val="center"/>
              <w:ind w:left="390"/>
              <w:spacing w:after="0" w:line="176" w:lineRule="exact"/>
              <w:rPr>
                <w:sz w:val="20"/>
                <w:szCs w:val="20"/>
                <w:color w:val="auto"/>
              </w:rPr>
            </w:pPr>
            <w:r>
              <w:rPr>
                <w:rFonts w:ascii="Arial" w:cs="Arial" w:eastAsia="Arial" w:hAnsi="Arial"/>
                <w:sz w:val="18"/>
                <w:szCs w:val="18"/>
                <w:b w:val="1"/>
                <w:bCs w:val="1"/>
                <w:color w:val="auto"/>
                <w:w w:val="91"/>
              </w:rPr>
              <w:t>Year to Date</w:t>
            </w:r>
          </w:p>
        </w:tc>
        <w:tc>
          <w:tcPr>
            <w:tcW w:w="960" w:type="dxa"/>
            <w:vAlign w:val="bottom"/>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89"/>
              </w:rPr>
              <w:t>June 30</w:t>
            </w: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86"/>
              </w:rPr>
              <w:t>June 30</w:t>
            </w:r>
          </w:p>
        </w:tc>
        <w:tc>
          <w:tcPr>
            <w:tcW w:w="96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191.6</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375.0</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3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165.1</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154.7</w:t>
            </w:r>
          </w:p>
        </w:tc>
        <w:tc>
          <w:tcPr>
            <w:tcW w:w="4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318.8</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305.8</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95.0</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188.0</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8.4</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electric retail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456.9</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890.2</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Wholesale</w:t>
            </w:r>
          </w:p>
        </w:tc>
        <w:tc>
          <w:tcPr>
            <w:tcW w:w="300" w:type="dxa"/>
            <w:vAlign w:val="bottom"/>
          </w:tcPr>
          <w:p>
            <w:pPr>
              <w:spacing w:after="0"/>
              <w:rPr>
                <w:sz w:val="19"/>
                <w:szCs w:val="19"/>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53.5</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w:t>
            </w:r>
          </w:p>
        </w:tc>
        <w:tc>
          <w:tcPr>
            <w:tcW w:w="4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325.9</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81.7</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159.6</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Industrial steam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0.6</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592.7</w:t>
            </w:r>
          </w:p>
        </w:tc>
        <w:tc>
          <w:tcPr>
            <w:tcW w:w="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1,376.8</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1,101.1</w:t>
            </w: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5.8</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122.8</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598.5</w:t>
            </w:r>
          </w:p>
        </w:tc>
        <w:tc>
          <w:tcPr>
            <w:tcW w:w="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1,499.6</w:t>
            </w:r>
          </w:p>
        </w:tc>
        <w:tc>
          <w:tcPr>
            <w:tcW w:w="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3"/>
          </w:tcPr>
          <w:p>
            <w:pPr>
              <w:jc w:val="right"/>
              <w:ind w:right="110"/>
              <w:spacing w:after="0" w:line="182" w:lineRule="exact"/>
              <w:rPr>
                <w:sz w:val="20"/>
                <w:szCs w:val="20"/>
                <w:color w:val="auto"/>
              </w:rPr>
            </w:pPr>
            <w:r>
              <w:rPr>
                <w:rFonts w:ascii="Arial" w:cs="Arial" w:eastAsia="Arial" w:hAnsi="Arial"/>
                <w:sz w:val="18"/>
                <w:szCs w:val="18"/>
                <w:b w:val="1"/>
                <w:bCs w:val="1"/>
                <w:color w:val="auto"/>
              </w:rPr>
              <w:t>Three Months Ended</w:t>
            </w:r>
          </w:p>
        </w:tc>
        <w:tc>
          <w:tcPr>
            <w:tcW w:w="4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2"/>
          </w:tcPr>
          <w:p>
            <w:pPr>
              <w:jc w:val="right"/>
              <w:ind w:right="10"/>
              <w:spacing w:after="0" w:line="182" w:lineRule="exact"/>
              <w:rPr>
                <w:sz w:val="20"/>
                <w:szCs w:val="20"/>
                <w:color w:val="auto"/>
              </w:rPr>
            </w:pPr>
            <w:r>
              <w:rPr>
                <w:rFonts w:ascii="Arial" w:cs="Arial" w:eastAsia="Arial" w:hAnsi="Arial"/>
                <w:sz w:val="18"/>
                <w:szCs w:val="18"/>
                <w:b w:val="1"/>
                <w:bCs w:val="1"/>
                <w:color w:val="auto"/>
              </w:rPr>
              <w:t>Year to Date</w:t>
            </w:r>
          </w:p>
        </w:tc>
        <w:tc>
          <w:tcPr>
            <w:tcW w:w="960" w:type="dxa"/>
            <w:vAlign w:val="bottom"/>
            <w:tcBorders>
              <w:top w:val="single" w:sz="8" w:color="auto"/>
            </w:tcBorders>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173.9</w:t>
            </w:r>
          </w:p>
        </w:tc>
        <w:tc>
          <w:tcPr>
            <w:tcW w:w="10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183.6</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296.1</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90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188.1</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172.7</w:t>
            </w:r>
          </w:p>
        </w:tc>
        <w:tc>
          <w:tcPr>
            <w:tcW w:w="4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320.6</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344.8</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33.7</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56.0</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electric retail</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398.5</w:t>
            </w:r>
          </w:p>
        </w:tc>
        <w:tc>
          <w:tcPr>
            <w:tcW w:w="10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391.9</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677.6</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Wholesale</w:t>
            </w:r>
          </w:p>
        </w:tc>
        <w:tc>
          <w:tcPr>
            <w:tcW w:w="900" w:type="dxa"/>
            <w:vAlign w:val="bottom"/>
          </w:tcPr>
          <w:p>
            <w:pPr>
              <w:spacing w:after="0"/>
              <w:rPr>
                <w:sz w:val="19"/>
                <w:szCs w:val="19"/>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213.3</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Transmission</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Industrial steam and other</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8"/>
              </w:rPr>
              <w:t>416.9</w:t>
            </w:r>
          </w:p>
        </w:tc>
        <w:tc>
          <w:tcPr>
            <w:tcW w:w="10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397.4</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900.8</w:t>
            </w:r>
          </w:p>
        </w:tc>
        <w:tc>
          <w:tcPr>
            <w:tcW w:w="5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760.8</w:t>
            </w:r>
          </w:p>
        </w:tc>
      </w:tr>
      <w:tr>
        <w:trPr>
          <w:trHeight w:val="22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21.8</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54.1</w:t>
            </w: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438.7</w:t>
            </w:r>
          </w:p>
        </w:tc>
        <w:tc>
          <w:tcPr>
            <w:tcW w:w="104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424.3</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954.9</w:t>
            </w:r>
          </w:p>
        </w:tc>
        <w:tc>
          <w:tcPr>
            <w:tcW w:w="5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RECEIVABLES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receivables are detailed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28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28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3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6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20.9</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3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w w:val="93"/>
              </w:rPr>
              <w:t>172.6</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3"/>
              </w:rPr>
              <w:t>224.9</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32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7"/>
              </w:rPr>
              <w:t>(20.0)</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3"/>
              </w:rPr>
              <w:t>398.4</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6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3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58.4</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3"/>
              </w:rPr>
              <w:t>230.6</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29"/>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32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4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3"/>
              </w:rPr>
              <w:t>292.7</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3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 accounts receivable - billed</w:t>
            </w:r>
          </w:p>
        </w:tc>
        <w:tc>
          <w:tcPr>
            <w:tcW w:w="46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4280" w:type="dxa"/>
            <w:vAlign w:val="bottom"/>
          </w:tcPr>
          <w:p>
            <w:pPr>
              <w:ind w:left="140"/>
              <w:spacing w:after="0"/>
              <w:rPr>
                <w:sz w:val="20"/>
                <w:szCs w:val="20"/>
                <w:color w:val="auto"/>
              </w:rPr>
            </w:pPr>
            <w:r>
              <w:rPr>
                <w:rFonts w:ascii="Arial" w:cs="Arial" w:eastAsia="Arial" w:hAnsi="Arial"/>
                <w:sz w:val="18"/>
                <w:szCs w:val="18"/>
                <w:color w:val="auto"/>
              </w:rPr>
              <w:t>Customer accounts receivable - unbilled</w:t>
            </w:r>
          </w:p>
        </w:tc>
        <w:tc>
          <w:tcPr>
            <w:tcW w:w="3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0" w:type="dxa"/>
            <w:vAlign w:val="bottom"/>
          </w:tcPr>
          <w:p>
            <w:pPr>
              <w:jc w:val="right"/>
              <w:ind w:right="71"/>
              <w:spacing w:after="0"/>
              <w:rPr>
                <w:sz w:val="20"/>
                <w:szCs w:val="20"/>
                <w:color w:val="auto"/>
              </w:rPr>
            </w:pPr>
            <w:r>
              <w:rPr>
                <w:rFonts w:ascii="Arial" w:cs="Arial" w:eastAsia="Arial" w:hAnsi="Arial"/>
                <w:sz w:val="18"/>
                <w:szCs w:val="18"/>
                <w:color w:val="auto"/>
              </w:rPr>
              <w:t>69.5</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4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22.7</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Allowance for credit losses</w:t>
            </w:r>
          </w:p>
        </w:tc>
        <w:tc>
          <w:tcPr>
            <w:tcW w:w="32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(8.7)</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4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89.7</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1080"/>
        </w:trPr>
        <w:tc>
          <w:tcPr>
            <w:tcW w:w="4280" w:type="dxa"/>
            <w:vAlign w:val="bottom"/>
          </w:tcPr>
          <w:p>
            <w:pPr>
              <w:spacing w:after="0"/>
              <w:rPr>
                <w:sz w:val="24"/>
                <w:szCs w:val="24"/>
                <w:color w:val="auto"/>
              </w:rPr>
            </w:pPr>
          </w:p>
        </w:tc>
        <w:tc>
          <w:tcPr>
            <w:tcW w:w="3280" w:type="dxa"/>
            <w:vAlign w:val="bottom"/>
          </w:tcPr>
          <w:p>
            <w:pPr>
              <w:jc w:val="right"/>
              <w:ind w:right="1750"/>
              <w:spacing w:after="0"/>
              <w:rPr>
                <w:sz w:val="20"/>
                <w:szCs w:val="20"/>
                <w:color w:val="auto"/>
              </w:rPr>
            </w:pPr>
            <w:r>
              <w:rPr>
                <w:rFonts w:ascii="Arial" w:cs="Arial" w:eastAsia="Arial" w:hAnsi="Arial"/>
                <w:sz w:val="18"/>
                <w:szCs w:val="18"/>
                <w:color w:val="auto"/>
              </w:rPr>
              <w:t>31</w:t>
            </w: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560"/>
        <w:spacing w:after="0" w:line="291" w:lineRule="auto"/>
        <w:rPr>
          <w:sz w:val="20"/>
          <w:szCs w:val="20"/>
          <w:color w:val="auto"/>
        </w:rPr>
      </w:pPr>
      <w:r>
        <w:rPr>
          <w:rFonts w:ascii="Arial" w:cs="Arial" w:eastAsia="Arial" w:hAnsi="Arial"/>
          <w:sz w:val="18"/>
          <w:szCs w:val="18"/>
          <w:color w:val="auto"/>
        </w:rPr>
        <w:t>The Evergy Companies' other receivables at June 30, 2021 and December 31, 2020, consisted primarily of receivables from partners in jointly-owned electric utility plants, wholesale sales receivables and receivables related to alternative revenue programs. The Evergy Companies' other receivables also included receivables from contracts with customers as summarized in the following table.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740" w:type="dxa"/>
            <w:vAlign w:val="bottom"/>
            <w:tcBorders>
              <w:top w:val="single" w:sz="8" w:color="auto"/>
            </w:tcBorders>
          </w:tcPr>
          <w:p>
            <w:pPr>
              <w:spacing w:after="0"/>
              <w:rPr>
                <w:sz w:val="21"/>
                <w:szCs w:val="21"/>
                <w:color w:val="auto"/>
              </w:rPr>
            </w:pPr>
          </w:p>
        </w:tc>
        <w:tc>
          <w:tcPr>
            <w:tcW w:w="4220" w:type="dxa"/>
            <w:vAlign w:val="bottom"/>
            <w:tcBorders>
              <w:top w:val="single" w:sz="8" w:color="auto"/>
            </w:tcBorders>
          </w:tcPr>
          <w:p>
            <w:pPr>
              <w:jc w:val="center"/>
              <w:ind w:left="3370"/>
              <w:spacing w:after="0"/>
              <w:rPr>
                <w:sz w:val="20"/>
                <w:szCs w:val="20"/>
                <w:color w:val="auto"/>
              </w:rPr>
            </w:pPr>
            <w:r>
              <w:rPr>
                <w:rFonts w:ascii="Arial" w:cs="Arial" w:eastAsia="Arial" w:hAnsi="Arial"/>
                <w:sz w:val="18"/>
                <w:szCs w:val="18"/>
                <w:b w:val="1"/>
                <w:bCs w:val="1"/>
                <w:color w:val="auto"/>
                <w:w w:val="89"/>
              </w:rPr>
              <w:t>June 30</w:t>
            </w:r>
          </w:p>
        </w:tc>
        <w:tc>
          <w:tcPr>
            <w:tcW w:w="52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74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07"/>
        </w:trPr>
        <w:tc>
          <w:tcPr>
            <w:tcW w:w="474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60" w:type="dxa"/>
            <w:vAlign w:val="bottom"/>
          </w:tcPr>
          <w:p>
            <w:pPr>
              <w:spacing w:after="0"/>
              <w:rPr>
                <w:sz w:val="17"/>
                <w:szCs w:val="17"/>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422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90.2</w:t>
            </w:r>
          </w:p>
        </w:tc>
        <w:tc>
          <w:tcPr>
            <w:tcW w:w="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422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82.2</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w:t>
            </w:r>
          </w:p>
        </w:tc>
      </w:tr>
      <w:tr>
        <w:trPr>
          <w:trHeight w:val="237"/>
        </w:trPr>
        <w:tc>
          <w:tcPr>
            <w:tcW w:w="4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42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6.9</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The change in the Evergy Companies' allowance for credit losses is summarized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5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20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6"/>
                <w:szCs w:val="16"/>
                <w:color w:val="auto"/>
              </w:rPr>
              <w:t>(millions)</w:t>
            </w: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200" w:type="dxa"/>
            <w:vAlign w:val="bottom"/>
          </w:tcPr>
          <w:p>
            <w:pPr>
              <w:spacing w:after="0"/>
              <w:rPr>
                <w:sz w:val="19"/>
                <w:szCs w:val="19"/>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6.5</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June 30</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20.0</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200" w:type="dxa"/>
            <w:vAlign w:val="bottom"/>
          </w:tcPr>
          <w:p>
            <w:pPr>
              <w:spacing w:after="0"/>
              <w:rPr>
                <w:sz w:val="19"/>
                <w:szCs w:val="19"/>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2.4</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June 30</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7.6</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Beginning balance January 1</w:t>
            </w:r>
          </w:p>
        </w:tc>
        <w:tc>
          <w:tcPr>
            <w:tcW w:w="1200" w:type="dxa"/>
            <w:vAlign w:val="bottom"/>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Credit loss expense</w:t>
            </w:r>
          </w:p>
        </w:tc>
        <w:tc>
          <w:tcPr>
            <w:tcW w:w="1200" w:type="dxa"/>
            <w:vAlign w:val="bottom"/>
          </w:tcPr>
          <w:p>
            <w:pPr>
              <w:spacing w:after="0"/>
              <w:rPr>
                <w:sz w:val="19"/>
                <w:szCs w:val="19"/>
                <w:color w:val="auto"/>
              </w:rPr>
            </w:pPr>
          </w:p>
        </w:tc>
        <w:tc>
          <w:tcPr>
            <w:tcW w:w="64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w:t>
            </w: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5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Recoveries of prior write-offs</w:t>
            </w: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w:t>
            </w:r>
          </w:p>
        </w:tc>
        <w:tc>
          <w:tcPr>
            <w:tcW w:w="5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Ending balance June 30</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8.7</w:t>
            </w:r>
          </w:p>
        </w:tc>
        <w:tc>
          <w:tcPr>
            <w:tcW w:w="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Accounts Receivable</w:t>
      </w:r>
    </w:p>
    <w:p>
      <w:pPr>
        <w:spacing w:after="0" w:line="22"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Evergy Companies' accounts receivable pledged as collateral and the corresponding short-term collateralized note payable are summarized in the following table.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top w:val="single" w:sz="8" w:color="auto"/>
            </w:tcBorders>
          </w:tcPr>
          <w:p>
            <w:pPr>
              <w:spacing w:after="0"/>
              <w:rPr>
                <w:sz w:val="21"/>
                <w:szCs w:val="21"/>
                <w:color w:val="auto"/>
              </w:rPr>
            </w:pPr>
          </w:p>
        </w:tc>
        <w:tc>
          <w:tcPr>
            <w:tcW w:w="4140" w:type="dxa"/>
            <w:vAlign w:val="bottom"/>
            <w:tcBorders>
              <w:top w:val="single" w:sz="8" w:color="auto"/>
            </w:tcBorders>
          </w:tcPr>
          <w:p>
            <w:pPr>
              <w:jc w:val="center"/>
              <w:ind w:left="3350"/>
              <w:spacing w:after="0"/>
              <w:rPr>
                <w:sz w:val="20"/>
                <w:szCs w:val="20"/>
                <w:color w:val="auto"/>
              </w:rPr>
            </w:pPr>
            <w:r>
              <w:rPr>
                <w:rFonts w:ascii="Arial" w:cs="Arial" w:eastAsia="Arial" w:hAnsi="Arial"/>
                <w:sz w:val="18"/>
                <w:szCs w:val="18"/>
                <w:b w:val="1"/>
                <w:bCs w:val="1"/>
                <w:color w:val="auto"/>
                <w:w w:val="86"/>
              </w:rPr>
              <w:t>June 30</w:t>
            </w:r>
          </w:p>
        </w:tc>
        <w:tc>
          <w:tcPr>
            <w:tcW w:w="6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December 31</w:t>
            </w:r>
          </w:p>
        </w:tc>
      </w:tr>
      <w:tr>
        <w:trPr>
          <w:trHeight w:val="234"/>
        </w:trPr>
        <w:tc>
          <w:tcPr>
            <w:tcW w:w="46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07"/>
        </w:trPr>
        <w:tc>
          <w:tcPr>
            <w:tcW w:w="46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460" w:type="dxa"/>
            <w:vAlign w:val="bottom"/>
          </w:tcPr>
          <w:p>
            <w:pPr>
              <w:spacing w:after="0"/>
              <w:rPr>
                <w:sz w:val="17"/>
                <w:szCs w:val="17"/>
                <w:color w:val="auto"/>
              </w:rPr>
            </w:pPr>
          </w:p>
        </w:tc>
      </w:tr>
      <w:tr>
        <w:trPr>
          <w:trHeight w:val="23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414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7"/>
              </w:rPr>
              <w:t>326.0</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4140" w:type="dxa"/>
            <w:vAlign w:val="bottom"/>
          </w:tcPr>
          <w:p>
            <w:pPr>
              <w:spacing w:after="0"/>
              <w:rPr>
                <w:sz w:val="19"/>
                <w:szCs w:val="19"/>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w w:val="97"/>
              </w:rPr>
              <w:t>156.0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180.0</w:t>
            </w:r>
          </w:p>
        </w:tc>
      </w:tr>
      <w:tr>
        <w:trPr>
          <w:trHeight w:val="236"/>
        </w:trPr>
        <w:tc>
          <w:tcPr>
            <w:tcW w:w="4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4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118.0</w:t>
            </w:r>
          </w:p>
        </w:tc>
        <w:tc>
          <w:tcPr>
            <w:tcW w:w="44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r>
    </w:tbl>
    <w:p>
      <w:pPr>
        <w:spacing w:after="0" w:line="294"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Each receivable sale facility expires in 2024. Evergy Kansas Central's facility allows for $185.0 million in aggregate outstanding principal amount of borrowings from mid-October through mid-June and then $200.0 million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from mid-June through mid-October. Evergy Metro's facility allows for $130.0 million in aggregate outstanding principal amount of borrowings at any time. Evergy Missouri West's facility allows for $50.0 million in aggregate outstanding principal amount of borrowings from mid-November through mid-June and then $65.0 million from mid-June through mid-November.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RATE MATTERS AND REGULATION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2021 Transmission Delivery Charge (TDC)</w:t>
      </w:r>
    </w:p>
    <w:p>
      <w:pPr>
        <w:jc w:val="both"/>
        <w:ind w:right="180"/>
        <w:spacing w:after="0" w:line="260" w:lineRule="auto"/>
        <w:rPr>
          <w:sz w:val="20"/>
          <w:szCs w:val="20"/>
          <w:color w:val="auto"/>
        </w:rPr>
      </w:pPr>
      <w:r>
        <w:rPr>
          <w:rFonts w:ascii="Arial" w:cs="Arial" w:eastAsia="Arial" w:hAnsi="Arial"/>
          <w:sz w:val="19"/>
          <w:szCs w:val="19"/>
          <w:color w:val="auto"/>
        </w:rPr>
        <w:t>In April 2021, the KCC issued an order adjusting Evergy Kansas Central's retail prices to include updated transmission costs as reflected in the Federal Energy Regulatory Commission (FERC) transmission formula rate (TFR). The new prices were effective in April 2021 and are expected to increase Evergy Kansas Central's annual retail revenues by $37.9 million when compared to 2020.</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2021 TDC</w:t>
      </w:r>
    </w:p>
    <w:p>
      <w:pPr>
        <w:spacing w:after="0" w:line="16"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In April 2021, the KCC issued an order adjusting Evergy Metro's retail prices to include updated transmission costs as reflected in the FERC TFR. The new prices were effective in May 2021 and are expected to decrease Evergy Metro's annual retail revenues by $2.4 million when compared to 2020.</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Earnings Review and Sharing Plan (ERSP)</w:t>
      </w:r>
    </w:p>
    <w:p>
      <w:pPr>
        <w:spacing w:after="0" w:line="16" w:lineRule="exact"/>
        <w:rPr>
          <w:sz w:val="20"/>
          <w:szCs w:val="20"/>
          <w:color w:val="auto"/>
        </w:rPr>
      </w:pPr>
    </w:p>
    <w:p>
      <w:pPr>
        <w:ind w:right="60"/>
        <w:spacing w:after="0"/>
        <w:rPr>
          <w:sz w:val="20"/>
          <w:szCs w:val="20"/>
          <w:color w:val="auto"/>
        </w:rPr>
      </w:pPr>
      <w:r>
        <w:rPr>
          <w:rFonts w:ascii="Arial" w:cs="Arial" w:eastAsia="Arial" w:hAnsi="Arial"/>
          <w:sz w:val="20"/>
          <w:szCs w:val="20"/>
          <w:color w:val="auto"/>
        </w:rPr>
        <w:t>As part of their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 return on equity of 9.3% to the extent the excess earnings exceed the amount of annual bill credits that Evergy Kansas Central and Evergy Metro agreed to provide in connection with the merger that resulted in the formation of Evergy.</w:t>
      </w:r>
    </w:p>
    <w:p>
      <w:pPr>
        <w:spacing w:after="0" w:line="198"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Evergy Kansas Central's and Evergy Metro's 2020 calculations of annual earnings did not result in a significant refund obligation. These calculations were filed with the KCC in March 2021. As of June 30, 2021, Evergy Kansas Central and Evergy Metro estimate their 2021 annual earnings will not result in a significant refund obligation. The final refund obligations for 2020 and 2021 will be decided by the KCC and could vary from the current estimates.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February 2021 Winter Weather Event AAO</w:t>
      </w:r>
    </w:p>
    <w:p>
      <w:pPr>
        <w:spacing w:after="0" w:line="16"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In February 2021, the KCC issued an emergency AAO directing all Kansas-jurisdictional natural gas and electric utilities, including Evergy Kansas Central and Evergy Metro, to defer to a regulatory asset or regulatory liability any extraordinary costs or revenues, including carrying costs, to provide electric service during the February 2021 winter weather event for consideration in future rate proceedings.</w:t>
      </w:r>
    </w:p>
    <w:p>
      <w:pPr>
        <w:spacing w:after="0" w:line="161"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As of June 30, 2021, Evergy Kansas Central had recognized a regulatory asset pursuant to the AAO of $114.6 million related to its costs incurred during the February 2021 winter weather event, primarily consisting of increased fuel and purchased power costs. As of June 30, 2021, Evergy Metro's Kansas jurisdiction had recognized a regulatory liability of $42.0 million related to its increased wholesale revenues during the February 2021 winter weather event.</w:t>
      </w:r>
    </w:p>
    <w:p>
      <w:pPr>
        <w:spacing w:after="0" w:line="191" w:lineRule="exact"/>
        <w:rPr>
          <w:sz w:val="20"/>
          <w:szCs w:val="20"/>
          <w:color w:val="auto"/>
        </w:rPr>
      </w:pPr>
    </w:p>
    <w:p>
      <w:pPr>
        <w:ind w:right="140"/>
        <w:spacing w:after="0" w:line="257" w:lineRule="auto"/>
        <w:rPr>
          <w:sz w:val="20"/>
          <w:szCs w:val="20"/>
          <w:color w:val="auto"/>
        </w:rPr>
      </w:pPr>
      <w:r>
        <w:rPr>
          <w:rFonts w:ascii="Arial" w:cs="Arial" w:eastAsia="Arial" w:hAnsi="Arial"/>
          <w:sz w:val="19"/>
          <w:szCs w:val="19"/>
          <w:color w:val="auto"/>
        </w:rPr>
        <w:t>In July 2021, Evergy Kansas Central and Evergy Metro made a joint filing with the KCC regarding the timing and method of recovery or refund for costs and revenues deferred pursuant to the February 2021 winter weather event AAO. In the filing, Evergy Kansas Central and Evergy Metro requested to recover or refund, as appropriate, their deferred February 2021 winter weather event amounts to customers through their fuel recovery mechanisms over two years and one year, respectively, beginning in April 2022. As part of the filing, Evergy Metro also requested an approximately $6 million decrease to its February 2021 winter weather event refund to Kansas customers, which is not currently reflected in its regulatory liability for the February 2021 winter weather event, for jurisdictional allocation differences in its Kansas and Missouri fuel recovery mechanisms. A decision by the KCC regarding Evergy Kansas Central's and Evergy Metro's request is expected by the end of 2021.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MPSC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Other Proceedings</w:t>
      </w:r>
    </w:p>
    <w:p>
      <w:pPr>
        <w:ind w:right="40"/>
        <w:spacing w:after="0" w:line="241" w:lineRule="auto"/>
        <w:rPr>
          <w:sz w:val="20"/>
          <w:szCs w:val="20"/>
          <w:color w:val="auto"/>
        </w:rPr>
      </w:pPr>
      <w:r>
        <w:rPr>
          <w:rFonts w:ascii="Arial" w:cs="Arial" w:eastAsia="Arial" w:hAnsi="Arial"/>
          <w:sz w:val="20"/>
          <w:szCs w:val="20"/>
          <w:color w:val="auto"/>
        </w:rPr>
        <w:t>In December 2018, the Office of the Public Counsel (OPC) and the Midwest Energy Consumers Group (MECG) filed a petition with the MPSC requesting an AAO that would require Evergy Missouri West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w:t>
      </w:r>
    </w:p>
    <w:p>
      <w:pPr>
        <w:spacing w:after="0" w:line="194"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In October 2019, the MPSC granted OPC's and MECG's request for an AAO and required Evergy Missouri West to record to a regulatory liability the revenues discussed above for consideration in Evergy Missouri West's next rate case, which is expected to be completed no later than the end of 2022. Depending on the MPSC's decision in this next rate case, Evergy Missouri West could be required to refund to customers all or a portion of amounts collected in revenue for Sibley Station since December 2018 or, alternatively, could be required to make no refunds.</w:t>
      </w:r>
    </w:p>
    <w:p>
      <w:pPr>
        <w:spacing w:after="0" w:line="194"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As a result of the MPSC order, Evergy has recorded a regulatory liability of $23.8 million as of June 30, 2021 for the estimated amount of revenues that Evergy Missouri West has collected from customers for Sibley Station since December 2018 that Evergy has determined is probable of refund. Evergy expects that it will continue to defer such amounts as collected from customers until new rates become effective in Evergy Missouri West's next rate case.</w:t>
      </w:r>
    </w:p>
    <w:p>
      <w:pPr>
        <w:spacing w:after="0" w:line="191"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The accrual for this estimated amount does not include certain revenues collected related to Sibley Station that Evergy has determined to not be probable of refund in the next rate case based on the relevant facts and circumstances. Although Evergy has determined these additional revenues to not be probable of refund, the ultimate resolution of this matter in Evergy Missouri West's next rate case is uncertain and could result in an estimated loss of up to approximately $12 million per year in excess of the amount accrued until Evergy Missouri West's new rates become effective. Evergy's regulatory liability for probable refunds as of June 30, 2021 and estimated loss in excess of the amount accrued represent estimates that could change significantly based on ongoing developments including decisions in other regulatory proceedings that establish precedent applicable to this matter and positions of parties on this issue in a future Evergy Missouri West rate case.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and Evergy Missouri West February 2021 Winter Weather Event AAO</w:t>
      </w:r>
    </w:p>
    <w:p>
      <w:pPr>
        <w:spacing w:after="0" w:line="16" w:lineRule="exact"/>
        <w:rPr>
          <w:sz w:val="20"/>
          <w:szCs w:val="20"/>
          <w:color w:val="auto"/>
        </w:rPr>
      </w:pPr>
    </w:p>
    <w:p>
      <w:pPr>
        <w:ind w:right="140"/>
        <w:spacing w:after="0" w:line="260" w:lineRule="auto"/>
        <w:rPr>
          <w:sz w:val="20"/>
          <w:szCs w:val="20"/>
          <w:color w:val="auto"/>
        </w:rPr>
      </w:pPr>
      <w:r>
        <w:rPr>
          <w:rFonts w:ascii="Arial" w:cs="Arial" w:eastAsia="Arial" w:hAnsi="Arial"/>
          <w:sz w:val="19"/>
          <w:szCs w:val="19"/>
          <w:color w:val="auto"/>
        </w:rPr>
        <w:t>In June 2021, Evergy Metro and Evergy Missouri West filed a joint request for an AAO with the MPSC that would allow Evergy Metro and Evergy Missouri West to defer to a regulatory asset or regulatory liability any extraordinary costs or revenues, including carrying costs, to provide electric service during the February 2021 winter weather event for consideration in future proceedings.</w:t>
      </w:r>
    </w:p>
    <w:p>
      <w:pPr>
        <w:spacing w:after="0" w:line="178"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Evergy Metro and Evergy Missouri West have currently deferred substantially all of their fuel and purchased power costs, net of wholesale revenues, related to the February 2021 winter weather event to a regulatory asset or liability pursuant to their ability to recover or refund these amounts through their fuel recovery mechanisms, which allow for the recovery or refund of 95% of increases in fuel and purchased power costs, net of wholesale revenues, to customers. This AAO request is intended to address the recovery or refund of the February 2021 winter weather event amounts separate from the normal fuel recovery mechanism process given the extraordinary nature of the February 2021 winter weather event and to help moderate customer bill impacts. As of June 30, 2021, Evergy Metro's Missouri jurisdiction had recognized a regulatory liability of $27.8 million related to its increased wholesale revenues during the February 2021 winter weather event. As of June 30, 2021, Evergy Missouri West had recognized a regulatory asset of $278.1 million related to its costs incurred during the February 2021 winter weather event, primarily consisting of increased fuel and purchased power costs.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the AAO filing, Evergy Metro requested to refund its deferred February 2021 winter weather event amounts to customers through its fuel recovery mechanism over one year, beginning in April 2022. In the same AAO filing, Evergy Missouri West requested to exclude its deferred February 2021 winter weather event amounts from recovery through its fuel recovery mechanism and indicated its intent to recover them through issuing securitized bonds pursuant to the securitization legislation signed into law in Missouri in July 2021. As part of the filing, Evergy Metro also requested an approximately $5 million decrease to its February 2021 winter weather refund to Missouri customers, which is not currently reflected in its regulatory liability for the February 2021 winter weather event, for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auto"/>
        </w:rPr>
        <w:t>jurisdictional allocation differences in its Kansas and Missouri fuel recovery mechanisms and for the portion of net wholesale revenues not traditionally refundable because of the 5% sharing provision of its fuel recovery mechanism. Evergy Missouri West requested an approximately $15 million increase to its February 2021 winter weather event recovery from Missouri customers, which is not currently reflected in its regulatory asset for the February 2021 winter weather event, for the portion of net fuel and purchased power costs not traditionally recoverable because of the 5% sharing provision of its fuel recovery mechanism. A decision by the MPSC regarding Evergy Metro's and Evergy Missouri West's AAO request is expected by the end of 2021.</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FERC Proceedings</w:t>
      </w:r>
    </w:p>
    <w:p>
      <w:pPr>
        <w:spacing w:after="0" w:line="22"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In October of 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w:t>
      </w:r>
    </w:p>
    <w:p>
      <w:pPr>
        <w:spacing w:after="0" w:line="16" w:lineRule="exact"/>
        <w:rPr>
          <w:sz w:val="20"/>
          <w:szCs w:val="20"/>
          <w:color w:val="auto"/>
        </w:rPr>
      </w:pPr>
    </w:p>
    <w:p>
      <w:pPr>
        <w:ind w:right="1100"/>
        <w:spacing w:after="0" w:line="244" w:lineRule="auto"/>
        <w:rPr>
          <w:sz w:val="20"/>
          <w:szCs w:val="20"/>
          <w:color w:val="auto"/>
        </w:rPr>
      </w:pPr>
      <w:r>
        <w:rPr>
          <w:rFonts w:ascii="Arial" w:cs="Arial" w:eastAsia="Arial" w:hAnsi="Arial"/>
          <w:sz w:val="20"/>
          <w:szCs w:val="20"/>
          <w:color w:val="auto"/>
        </w:rPr>
        <w:t>In the most recent two years, the updated TFR was expected to adjust Evergy Kansas Central's annual transmission revenues by approximately:</w:t>
      </w:r>
    </w:p>
    <w:p>
      <w:pPr>
        <w:spacing w:after="0" w:line="8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$32.4 million increase effective in January 2021;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$6.8 million increase effective in January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TFR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the most recent two years, the updated TFR was expected to adjust Evergy Metro's annual transmission revenues by approximately:</w:t>
      </w:r>
    </w:p>
    <w:p>
      <w:pPr>
        <w:spacing w:after="0" w:line="115" w:lineRule="exact"/>
        <w:rPr>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$3.9 million decrease effective in January 2021;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1"/>
          <w:numId w:val="6"/>
        </w:numPr>
        <w:rPr>
          <w:rFonts w:ascii="Arial" w:cs="Arial" w:eastAsia="Arial" w:hAnsi="Arial"/>
          <w:sz w:val="20"/>
          <w:szCs w:val="20"/>
          <w:color w:val="auto"/>
        </w:rPr>
      </w:pPr>
      <w:r>
        <w:rPr>
          <w:rFonts w:ascii="Arial" w:cs="Arial" w:eastAsia="Arial" w:hAnsi="Arial"/>
          <w:sz w:val="20"/>
          <w:szCs w:val="20"/>
          <w:color w:val="auto"/>
        </w:rPr>
        <w:t>$1.7 million decrease effective in January 2020.</w:t>
      </w:r>
    </w:p>
    <w:p>
      <w:pPr>
        <w:spacing w:after="0" w:line="209" w:lineRule="exact"/>
        <w:rPr>
          <w:rFonts w:ascii="Arial" w:cs="Arial" w:eastAsia="Arial" w:hAnsi="Arial"/>
          <w:sz w:val="20"/>
          <w:szCs w:val="20"/>
          <w:color w:val="auto"/>
        </w:rPr>
      </w:pPr>
    </w:p>
    <w:p>
      <w:pPr>
        <w:ind w:left="200" w:hanging="192"/>
        <w:spacing w:after="0"/>
        <w:tabs>
          <w:tab w:leader="none" w:pos="2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GAAP requires goodwill to be tested for impairment annually and when an event occurs indicating the possibility that an impairment exists. Evergy's impairment test for the $2,336.6 million of goodwill that was recorded as a result of the Great Plains Energy Incorporated (Great Plains Energy) and Evergy Kansas Central merger was conducted as of May 1, 2021.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PENSION PLANS AND POST-RETIREMENT BENEFITS</w:t>
      </w:r>
    </w:p>
    <w:p>
      <w:pPr>
        <w:spacing w:after="0" w:line="114"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 Generating Station's (Wolf Creek) defined benefit plans, consisting of Evergy Kansas South's and Evergy Metro's respective 47% ownership shares.</w:t>
      </w:r>
    </w:p>
    <w:p>
      <w:pPr>
        <w:spacing w:after="0" w:line="194"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6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Evergy and its subsidiaries also provide post-retirement health care and life insurance benefits for certain retirees of Evergy Kansas Central and Evergy Metro and their respective shares of Wolf Creek's post-retirement benefit plans.</w:t>
      </w:r>
    </w:p>
    <w:p>
      <w:pPr>
        <w:spacing w:after="0" w:line="177"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w:t>
      </w:r>
    </w:p>
    <w:p>
      <w:pPr>
        <w:spacing w:after="0" w:line="191"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following tables provide the components of net periodic benefit costs prior to the effects of capitalization and sharing with joint owners of power plants.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gridSpan w:val="4"/>
          </w:tcPr>
          <w:p>
            <w:pPr>
              <w:jc w:val="center"/>
              <w:ind w:left="250"/>
              <w:spacing w:after="0"/>
              <w:rPr>
                <w:sz w:val="20"/>
                <w:szCs w:val="20"/>
                <w:color w:val="auto"/>
              </w:rPr>
            </w:pPr>
            <w:r>
              <w:rPr>
                <w:rFonts w:ascii="Arial" w:cs="Arial" w:eastAsia="Arial" w:hAnsi="Arial"/>
                <w:sz w:val="18"/>
                <w:szCs w:val="18"/>
                <w:b w:val="1"/>
                <w:bCs w:val="1"/>
                <w:color w:val="auto"/>
                <w:w w:val="89"/>
              </w:rPr>
              <w:t>Post-Retirement Benefits</w:t>
            </w: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93"/>
              </w:rPr>
              <w:t>Evergy</w:t>
            </w:r>
          </w:p>
        </w:tc>
        <w:tc>
          <w:tcPr>
            <w:tcW w:w="220" w:type="dxa"/>
            <w:vAlign w:val="bottom"/>
          </w:tcPr>
          <w:p>
            <w:pPr>
              <w:spacing w:after="0"/>
              <w:rPr>
                <w:sz w:val="15"/>
                <w:szCs w:val="15"/>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w w:val="99"/>
              </w:rPr>
              <w:t>Evergy</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89"/>
              </w:rPr>
              <w:t>Evergy</w:t>
            </w: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June 30, 2021</w:t>
            </w:r>
          </w:p>
        </w:tc>
        <w:tc>
          <w:tcPr>
            <w:tcW w:w="180" w:type="dxa"/>
            <w:vAlign w:val="bottom"/>
          </w:tcPr>
          <w:p>
            <w:pPr>
              <w:spacing w:after="0"/>
              <w:rPr>
                <w:sz w:val="15"/>
                <w:szCs w:val="15"/>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5"/>
                <w:szCs w:val="15"/>
                <w:color w:val="auto"/>
              </w:rPr>
            </w:pPr>
          </w:p>
        </w:tc>
        <w:tc>
          <w:tcPr>
            <w:tcW w:w="1020" w:type="dxa"/>
            <w:vAlign w:val="bottom"/>
          </w:tcPr>
          <w:p>
            <w:pPr>
              <w:jc w:val="center"/>
              <w:ind w:right="210"/>
              <w:spacing w:after="0" w:line="176" w:lineRule="exact"/>
              <w:rPr>
                <w:sz w:val="20"/>
                <w:szCs w:val="20"/>
                <w:color w:val="auto"/>
              </w:rPr>
            </w:pPr>
            <w:r>
              <w:rPr>
                <w:rFonts w:ascii="Arial" w:cs="Arial" w:eastAsia="Arial" w:hAnsi="Arial"/>
                <w:sz w:val="18"/>
                <w:szCs w:val="18"/>
                <w:b w:val="1"/>
                <w:bCs w:val="1"/>
                <w:color w:val="auto"/>
                <w:w w:val="87"/>
              </w:rPr>
              <w:t>Kansas</w:t>
            </w: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6"/>
              </w:rPr>
              <w:t>Central</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Metro</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11.1</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55"/>
        </w:trPr>
        <w:tc>
          <w:tcPr>
            <w:tcW w:w="398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180" w:type="dxa"/>
            <w:vAlign w:val="bottom"/>
          </w:tcPr>
          <w:p>
            <w:pPr>
              <w:spacing w:after="0"/>
              <w:rPr>
                <w:sz w:val="13"/>
                <w:szCs w:val="13"/>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13"/>
                <w:szCs w:val="13"/>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3"/>
                <w:szCs w:val="1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21.2</w:t>
            </w:r>
          </w:p>
        </w:tc>
        <w:tc>
          <w:tcPr>
            <w:tcW w:w="340" w:type="dxa"/>
            <w:vAlign w:val="bottom"/>
          </w:tcPr>
          <w:p>
            <w:pPr>
              <w:spacing w:after="0"/>
              <w:rPr>
                <w:sz w:val="13"/>
                <w:szCs w:val="13"/>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3"/>
                <w:szCs w:val="13"/>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0.1</w:t>
            </w:r>
          </w:p>
        </w:tc>
        <w:tc>
          <w:tcPr>
            <w:tcW w:w="58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98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5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86"/>
              </w:rPr>
              <w:t>Pension Benefits</w:t>
            </w:r>
          </w:p>
        </w:tc>
        <w:tc>
          <w:tcPr>
            <w:tcW w:w="98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3320" w:type="dxa"/>
            <w:vAlign w:val="bottom"/>
            <w:tcBorders>
              <w:top w:val="single" w:sz="8" w:color="auto"/>
            </w:tcBorders>
            <w:gridSpan w:val="5"/>
          </w:tcPr>
          <w:p>
            <w:pPr>
              <w:jc w:val="right"/>
              <w:ind w:right="710"/>
              <w:spacing w:after="0"/>
              <w:rPr>
                <w:sz w:val="20"/>
                <w:szCs w:val="20"/>
                <w:color w:val="auto"/>
              </w:rPr>
            </w:pPr>
            <w:r>
              <w:rPr>
                <w:rFonts w:ascii="Arial" w:cs="Arial" w:eastAsia="Arial" w:hAnsi="Arial"/>
                <w:sz w:val="18"/>
                <w:szCs w:val="18"/>
                <w:b w:val="1"/>
                <w:bCs w:val="1"/>
                <w:color w:val="auto"/>
              </w:rPr>
              <w:t>Post-Retirement Benefits</w:t>
            </w: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vMerge w:val="restart"/>
          </w:tcPr>
          <w:p>
            <w:pPr>
              <w:jc w:val="right"/>
              <w:ind w:right="231"/>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30"/>
              <w:spacing w:after="0" w:line="181"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5"/>
                <w:szCs w:val="15"/>
                <w:color w:val="auto"/>
              </w:rPr>
            </w:pPr>
          </w:p>
        </w:tc>
        <w:tc>
          <w:tcPr>
            <w:tcW w:w="8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86"/>
              </w:rPr>
              <w:t>Evergy</w:t>
            </w:r>
          </w:p>
        </w:tc>
        <w:tc>
          <w:tcPr>
            <w:tcW w:w="0" w:type="dxa"/>
            <w:vAlign w:val="bottom"/>
          </w:tcPr>
          <w:p>
            <w:pPr>
              <w:spacing w:after="0"/>
              <w:rPr>
                <w:sz w:val="1"/>
                <w:szCs w:val="1"/>
                <w:color w:val="auto"/>
              </w:rPr>
            </w:pPr>
          </w:p>
        </w:tc>
      </w:tr>
      <w:tr>
        <w:trPr>
          <w:trHeight w:val="176"/>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to Date June 30, 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Evergy</w:t>
            </w:r>
          </w:p>
        </w:tc>
        <w:tc>
          <w:tcPr>
            <w:tcW w:w="280" w:type="dxa"/>
            <w:vAlign w:val="bottom"/>
          </w:tcPr>
          <w:p>
            <w:pPr>
              <w:spacing w:after="0"/>
              <w:rPr>
                <w:sz w:val="15"/>
                <w:szCs w:val="15"/>
                <w:color w:val="auto"/>
              </w:rPr>
            </w:pPr>
          </w:p>
        </w:tc>
        <w:tc>
          <w:tcPr>
            <w:tcW w:w="10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6"/>
              </w:rPr>
              <w:t>Evergy</w:t>
            </w:r>
          </w:p>
        </w:tc>
        <w:tc>
          <w:tcPr>
            <w:tcW w:w="240" w:type="dxa"/>
            <w:vAlign w:val="bottom"/>
          </w:tcPr>
          <w:p>
            <w:pPr>
              <w:spacing w:after="0"/>
              <w:rPr>
                <w:sz w:val="15"/>
                <w:szCs w:val="15"/>
                <w:color w:val="auto"/>
              </w:rPr>
            </w:pPr>
          </w:p>
        </w:tc>
        <w:tc>
          <w:tcPr>
            <w:tcW w:w="98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87"/>
              </w:rPr>
              <w:t>Kansas</w:t>
            </w:r>
          </w:p>
        </w:tc>
        <w:tc>
          <w:tcPr>
            <w:tcW w:w="3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Metro</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6"/>
              </w:rPr>
              <w:t>Central</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Metro</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3"/>
          </w:tcPr>
          <w:p>
            <w:pPr>
              <w:jc w:val="right"/>
              <w:ind w:right="790"/>
              <w:spacing w:after="0"/>
              <w:rPr>
                <w:sz w:val="20"/>
                <w:szCs w:val="20"/>
                <w:color w:val="auto"/>
              </w:rPr>
            </w:pPr>
            <w:r>
              <w:rPr>
                <w:rFonts w:ascii="Arial" w:cs="Arial" w:eastAsia="Arial" w:hAnsi="Arial"/>
                <w:sz w:val="16"/>
                <w:szCs w:val="16"/>
                <w:color w:val="auto"/>
              </w:rPr>
              <w:t>(millions)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42.3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96"/>
              </w:rPr>
              <w:t>42.6</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9"/>
              </w:rPr>
              <w:t>(53.6)</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6"/>
              </w:rPr>
              <w:t>29.5</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19.3</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55"/>
        </w:trPr>
        <w:tc>
          <w:tcPr>
            <w:tcW w:w="4060" w:type="dxa"/>
            <w:vAlign w:val="bottom"/>
            <w:gridSpan w:val="3"/>
          </w:tcPr>
          <w:p>
            <w:pPr>
              <w:ind w:left="20"/>
              <w:spacing w:after="0" w:line="156" w:lineRule="exact"/>
              <w:rPr>
                <w:sz w:val="20"/>
                <w:szCs w:val="20"/>
                <w:color w:val="auto"/>
              </w:rPr>
            </w:pPr>
            <w:r>
              <w:rPr>
                <w:rFonts w:ascii="Arial" w:cs="Arial" w:eastAsia="Arial" w:hAnsi="Arial"/>
                <w:sz w:val="18"/>
                <w:szCs w:val="18"/>
                <w:color w:val="auto"/>
                <w:w w:val="92"/>
              </w:rPr>
              <w:t>Net periodic benefit costs before regulatory adjustment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ind w:left="560"/>
              <w:spacing w:after="0"/>
              <w:rPr>
                <w:sz w:val="20"/>
                <w:szCs w:val="20"/>
                <w:color w:val="auto"/>
              </w:rPr>
            </w:pPr>
            <w:r>
              <w:rPr>
                <w:rFonts w:ascii="Arial" w:cs="Arial" w:eastAsia="Arial" w:hAnsi="Arial"/>
                <w:sz w:val="18"/>
                <w:szCs w:val="18"/>
                <w:color w:val="auto"/>
                <w:w w:val="96"/>
              </w:rPr>
              <w:t>61.8</w:t>
            </w:r>
          </w:p>
        </w:tc>
        <w:tc>
          <w:tcPr>
            <w:tcW w:w="280" w:type="dxa"/>
            <w:vAlign w:val="bottom"/>
          </w:tcPr>
          <w:p>
            <w:pPr>
              <w:spacing w:after="0"/>
              <w:rPr>
                <w:sz w:val="13"/>
                <w:szCs w:val="13"/>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3"/>
                <w:szCs w:val="13"/>
                <w:color w:val="auto"/>
              </w:rPr>
            </w:pPr>
          </w:p>
        </w:tc>
        <w:tc>
          <w:tcPr>
            <w:tcW w:w="980" w:type="dxa"/>
            <w:vAlign w:val="bottom"/>
            <w:vMerge w:val="restart"/>
          </w:tcPr>
          <w:p>
            <w:pPr>
              <w:jc w:val="right"/>
              <w:ind w:right="31"/>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3"/>
                <w:szCs w:val="13"/>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3"/>
                <w:szCs w:val="13"/>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and intercompany allocations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13.7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6"/>
              </w:rPr>
              <w:t>75.5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34.8</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345"/>
        </w:trPr>
        <w:tc>
          <w:tcPr>
            <w:tcW w:w="3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6"/>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Post-Retirement Benefits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250"/>
              <w:spacing w:after="0" w:line="181" w:lineRule="exact"/>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93"/>
              </w:rPr>
              <w:t>Evergy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 June 30, 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Evergy</w:t>
            </w:r>
          </w:p>
        </w:tc>
        <w:tc>
          <w:tcPr>
            <w:tcW w:w="280" w:type="dxa"/>
            <w:vAlign w:val="bottom"/>
          </w:tcPr>
          <w:p>
            <w:pPr>
              <w:spacing w:after="0"/>
              <w:rPr>
                <w:sz w:val="15"/>
                <w:szCs w:val="15"/>
                <w:color w:val="auto"/>
              </w:rPr>
            </w:pPr>
          </w:p>
        </w:tc>
        <w:tc>
          <w:tcPr>
            <w:tcW w:w="1000" w:type="dxa"/>
            <w:vAlign w:val="bottom"/>
          </w:tcPr>
          <w:p>
            <w:pPr>
              <w:jc w:val="center"/>
              <w:ind w:right="270"/>
              <w:spacing w:after="0" w:line="176"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Metro</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460"/>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11.3</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11.3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56"/>
        </w:trPr>
        <w:tc>
          <w:tcPr>
            <w:tcW w:w="394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ind w:left="460"/>
              <w:spacing w:after="0"/>
              <w:rPr>
                <w:sz w:val="20"/>
                <w:szCs w:val="20"/>
                <w:color w:val="auto"/>
              </w:rPr>
            </w:pPr>
            <w:r>
              <w:rPr>
                <w:rFonts w:ascii="Arial" w:cs="Arial" w:eastAsia="Arial" w:hAnsi="Arial"/>
                <w:sz w:val="18"/>
                <w:szCs w:val="18"/>
                <w:color w:val="auto"/>
              </w:rPr>
              <w:t>29.1</w:t>
            </w:r>
          </w:p>
        </w:tc>
        <w:tc>
          <w:tcPr>
            <w:tcW w:w="280" w:type="dxa"/>
            <w:vAlign w:val="bottom"/>
          </w:tcPr>
          <w:p>
            <w:pPr>
              <w:spacing w:after="0"/>
              <w:rPr>
                <w:sz w:val="13"/>
                <w:szCs w:val="13"/>
                <w:color w:val="auto"/>
              </w:rPr>
            </w:pPr>
          </w:p>
        </w:tc>
        <w:tc>
          <w:tcPr>
            <w:tcW w:w="1000" w:type="dxa"/>
            <w:vAlign w:val="bottom"/>
            <w:vMerge w:val="restart"/>
          </w:tcPr>
          <w:p>
            <w:pPr>
              <w:jc w:val="right"/>
              <w:ind w:right="110"/>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13"/>
                <w:szCs w:val="13"/>
                <w:color w:val="auto"/>
              </w:rPr>
            </w:pPr>
          </w:p>
        </w:tc>
        <w:tc>
          <w:tcPr>
            <w:tcW w:w="980" w:type="dxa"/>
            <w:vAlign w:val="bottom"/>
            <w:vMerge w:val="restart"/>
          </w:tcPr>
          <w:p>
            <w:pPr>
              <w:jc w:val="right"/>
              <w:ind w:right="111"/>
              <w:spacing w:after="0"/>
              <w:rPr>
                <w:sz w:val="20"/>
                <w:szCs w:val="20"/>
                <w:color w:val="auto"/>
              </w:rPr>
            </w:pPr>
            <w:r>
              <w:rPr>
                <w:rFonts w:ascii="Arial" w:cs="Arial" w:eastAsia="Arial" w:hAnsi="Arial"/>
                <w:sz w:val="18"/>
                <w:szCs w:val="18"/>
                <w:color w:val="auto"/>
              </w:rPr>
              <w:t>22.7</w:t>
            </w:r>
          </w:p>
        </w:tc>
        <w:tc>
          <w:tcPr>
            <w:tcW w:w="300" w:type="dxa"/>
            <w:vAlign w:val="bottom"/>
          </w:tcPr>
          <w:p>
            <w:pPr>
              <w:spacing w:after="0"/>
              <w:rPr>
                <w:sz w:val="13"/>
                <w:szCs w:val="13"/>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3"/>
                <w:szCs w:val="13"/>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394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9.1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1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38.2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18.4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331"/>
        </w:trPr>
        <w:tc>
          <w:tcPr>
            <w:tcW w:w="3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Pension Benefits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0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9"/>
              </w:rPr>
              <w:t>Post-Retirement Benefits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vMerge w:val="restart"/>
          </w:tcPr>
          <w:p>
            <w:pPr>
              <w:jc w:val="right"/>
              <w:ind w:right="271"/>
              <w:spacing w:after="0"/>
              <w:rPr>
                <w:sz w:val="20"/>
                <w:szCs w:val="20"/>
                <w:color w:val="auto"/>
              </w:rPr>
            </w:pPr>
            <w:r>
              <w:rPr>
                <w:rFonts w:ascii="Arial" w:cs="Arial" w:eastAsia="Arial" w:hAnsi="Arial"/>
                <w:sz w:val="18"/>
                <w:szCs w:val="18"/>
                <w:b w:val="1"/>
                <w:bCs w:val="1"/>
                <w:color w:val="auto"/>
                <w:w w:val="99"/>
              </w:rPr>
              <w:t>Evergy</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center"/>
              <w:ind w:right="170"/>
              <w:spacing w:after="0" w:line="181" w:lineRule="exact"/>
              <w:rPr>
                <w:sz w:val="20"/>
                <w:szCs w:val="20"/>
                <w:color w:val="auto"/>
              </w:rPr>
            </w:pPr>
            <w:r>
              <w:rPr>
                <w:rFonts w:ascii="Arial" w:cs="Arial" w:eastAsia="Arial" w:hAnsi="Arial"/>
                <w:sz w:val="18"/>
                <w:szCs w:val="18"/>
                <w:b w:val="1"/>
                <w:bCs w:val="1"/>
                <w:color w:val="auto"/>
                <w:w w:val="93"/>
              </w:rPr>
              <w:t>Evergy</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Year to Date June 30, 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Evergy</w:t>
            </w:r>
          </w:p>
        </w:tc>
        <w:tc>
          <w:tcPr>
            <w:tcW w:w="280" w:type="dxa"/>
            <w:vAlign w:val="bottom"/>
          </w:tcPr>
          <w:p>
            <w:pPr>
              <w:spacing w:after="0"/>
              <w:rPr>
                <w:sz w:val="15"/>
                <w:szCs w:val="15"/>
                <w:color w:val="auto"/>
              </w:rPr>
            </w:pPr>
          </w:p>
        </w:tc>
        <w:tc>
          <w:tcPr>
            <w:tcW w:w="1000" w:type="dxa"/>
            <w:vAlign w:val="bottom"/>
          </w:tcPr>
          <w:p>
            <w:pPr>
              <w:jc w:val="center"/>
              <w:ind w:right="230"/>
              <w:spacing w:after="0" w:line="176" w:lineRule="exact"/>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15"/>
                <w:szCs w:val="15"/>
                <w:color w:val="auto"/>
              </w:rPr>
            </w:pPr>
          </w:p>
        </w:tc>
        <w:tc>
          <w:tcPr>
            <w:tcW w:w="98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Kansas</w:t>
            </w:r>
          </w:p>
        </w:tc>
        <w:tc>
          <w:tcPr>
            <w:tcW w:w="118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w w:val="92"/>
              </w:rPr>
              <w:t>Evergy Metro</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Metro</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6"/>
              </w:rPr>
              <w:t>Central</w:t>
            </w:r>
          </w:p>
        </w:tc>
        <w:tc>
          <w:tcPr>
            <w:tcW w:w="11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benefit costs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39.1</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25.5</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ind w:left="480"/>
              <w:spacing w:after="0"/>
              <w:rPr>
                <w:sz w:val="20"/>
                <w:szCs w:val="20"/>
                <w:color w:val="auto"/>
              </w:rPr>
            </w:pPr>
            <w:r>
              <w:rPr>
                <w:rFonts w:ascii="Arial" w:cs="Arial" w:eastAsia="Arial" w:hAnsi="Arial"/>
                <w:sz w:val="18"/>
                <w:szCs w:val="18"/>
                <w:color w:val="auto"/>
              </w:rPr>
              <w:t>48.9</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9"/>
                <w:szCs w:val="19"/>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net actuarial (gain)/loss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22.7</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155"/>
        </w:trPr>
        <w:tc>
          <w:tcPr>
            <w:tcW w:w="3940" w:type="dxa"/>
            <w:vAlign w:val="bottom"/>
          </w:tcPr>
          <w:p>
            <w:pPr>
              <w:ind w:left="20"/>
              <w:spacing w:after="0" w:line="156" w:lineRule="exact"/>
              <w:rPr>
                <w:sz w:val="20"/>
                <w:szCs w:val="20"/>
                <w:color w:val="auto"/>
              </w:rPr>
            </w:pPr>
            <w:r>
              <w:rPr>
                <w:rFonts w:ascii="Arial" w:cs="Arial" w:eastAsia="Arial" w:hAnsi="Arial"/>
                <w:sz w:val="18"/>
                <w:szCs w:val="18"/>
                <w:color w:val="auto"/>
              </w:rPr>
              <w:t>Net periodic benefit costs before regulatory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ind w:left="480"/>
              <w:spacing w:after="0"/>
              <w:rPr>
                <w:sz w:val="20"/>
                <w:szCs w:val="20"/>
                <w:color w:val="auto"/>
              </w:rPr>
            </w:pPr>
            <w:r>
              <w:rPr>
                <w:rFonts w:ascii="Arial" w:cs="Arial" w:eastAsia="Arial" w:hAnsi="Arial"/>
                <w:sz w:val="18"/>
                <w:szCs w:val="18"/>
                <w:color w:val="auto"/>
              </w:rPr>
              <w:t>58.2</w:t>
            </w:r>
          </w:p>
        </w:tc>
        <w:tc>
          <w:tcPr>
            <w:tcW w:w="280" w:type="dxa"/>
            <w:vAlign w:val="bottom"/>
          </w:tcPr>
          <w:p>
            <w:pPr>
              <w:spacing w:after="0"/>
              <w:rPr>
                <w:sz w:val="13"/>
                <w:szCs w:val="13"/>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8"/>
                <w:szCs w:val="18"/>
                <w:color w:val="auto"/>
              </w:rPr>
              <w:t>28.2</w:t>
            </w:r>
          </w:p>
        </w:tc>
        <w:tc>
          <w:tcPr>
            <w:tcW w:w="240" w:type="dxa"/>
            <w:vAlign w:val="bottom"/>
          </w:tcPr>
          <w:p>
            <w:pPr>
              <w:spacing w:after="0"/>
              <w:rPr>
                <w:sz w:val="13"/>
                <w:szCs w:val="1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3"/>
                <w:szCs w:val="13"/>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adjustment and intercompany allocations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adjustment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Intercompany allocations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 (income)</w:t>
            </w:r>
          </w:p>
        </w:tc>
        <w:tc>
          <w:tcPr>
            <w:tcW w:w="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77.2</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27.2</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36.4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94"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components of net periodic benefit costs other than the service cost component are included in other expense on the Evergy Companies'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Year to date June 30, 2021, Evergy, Evergy Kansas Central and Evergy Metro made pension contributions of $41.7 million, $26.2 million and $15.5 million, respectively. Evergy expects to make additional pension contributions of $68.2 million in 2021 to satisfy the Employee Retirement Income Security Act of 1974, as amended (ERISA) funding requirements and KCC and MPSC rate orders, of which $11.1 million is expected to be paid by Evergy Kansas Central and $57.1 million is expected to be paid by Evergy Metro.</w:t>
      </w:r>
    </w:p>
    <w:p>
      <w:pPr>
        <w:spacing w:after="0" w:line="176" w:lineRule="exact"/>
        <w:rPr>
          <w:sz w:val="20"/>
          <w:szCs w:val="20"/>
          <w:color w:val="auto"/>
        </w:rPr>
      </w:pPr>
    </w:p>
    <w:p>
      <w:pPr>
        <w:jc w:val="both"/>
        <w:ind w:right="360"/>
        <w:spacing w:after="0" w:line="269" w:lineRule="auto"/>
        <w:rPr>
          <w:sz w:val="20"/>
          <w:szCs w:val="20"/>
          <w:color w:val="auto"/>
        </w:rPr>
      </w:pPr>
      <w:r>
        <w:rPr>
          <w:rFonts w:ascii="Arial" w:cs="Arial" w:eastAsia="Arial" w:hAnsi="Arial"/>
          <w:sz w:val="19"/>
          <w:szCs w:val="19"/>
          <w:color w:val="auto"/>
        </w:rPr>
        <w:t>Year to date June 30, 2021, Evergy, Evergy Kansas Central and Evergy Metro made post-retirement benefit contributions of $1.1 million, $0.5 million and $0.6 million, respectively. Evergy, Evergy Kansas Central and Evergy Metro expect to make additional contributions in 2021 of $3.8 million, $0.5 million and $3.3 million, respectively, to the post-retirement benefit plans.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SHORT-TERM BORROWINGS AND SHORT-TERM BANK LINES OF CREDIT</w:t>
      </w:r>
    </w:p>
    <w:p>
      <w:pPr>
        <w:spacing w:after="0" w:line="114"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Evergy's $2.5 billion master credit facility expires in 2023.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Evergy adjusted these sublimits in the first quarter of 2021 as further detailed in the table below. A default by any borrower under the facility or one of its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June 30, 2021, Evergy, Evergy Kansas Central, Evergy Metro and Evergy Missouri West were in compliance with this covenant.</w:t>
      </w:r>
    </w:p>
    <w:p>
      <w:pPr>
        <w:spacing w:after="0" w:line="168"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The following table summarizes the committed credit facilities (excluding receivable sale facilities discussed in Note 3) available to the Evergy Companies as of June 30, 2021 and December 31, 2020.</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56"/>
        </w:trPr>
        <w:tc>
          <w:tcPr>
            <w:tcW w:w="2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2"/>
              </w:rPr>
              <w:t>Amounts Drawn</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2080" w:type="dxa"/>
            <w:vAlign w:val="bottom"/>
            <w:tcBorders>
              <w:top w:val="single" w:sz="8" w:color="auto"/>
              <w:bottom w:val="single" w:sz="8" w:color="auto"/>
            </w:tcBorders>
            <w:vMerge w:val="restart"/>
          </w:tcPr>
          <w:p>
            <w:pPr>
              <w:jc w:val="center"/>
              <w:ind w:left="11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2"/>
              </w:rPr>
              <w:t>Master Credit</w:t>
            </w:r>
          </w:p>
        </w:tc>
        <w:tc>
          <w:tcPr>
            <w:tcW w:w="160" w:type="dxa"/>
            <w:vAlign w:val="bottom"/>
          </w:tcPr>
          <w:p>
            <w:pPr>
              <w:spacing w:after="0"/>
              <w:rPr>
                <w:sz w:val="13"/>
                <w:szCs w:val="13"/>
                <w:color w:val="auto"/>
              </w:rPr>
            </w:pPr>
          </w:p>
        </w:tc>
        <w:tc>
          <w:tcPr>
            <w:tcW w:w="11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1"/>
              </w:rPr>
              <w:t>Commercial</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Cash</w:t>
            </w:r>
          </w:p>
        </w:tc>
        <w:tc>
          <w:tcPr>
            <w:tcW w:w="160" w:type="dxa"/>
            <w:vAlign w:val="bottom"/>
          </w:tcPr>
          <w:p>
            <w:pPr>
              <w:spacing w:after="0"/>
              <w:rPr>
                <w:sz w:val="13"/>
                <w:szCs w:val="13"/>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Available</w:t>
            </w: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2"/>
              </w:rPr>
              <w:t>Letters of Credit</w:t>
            </w: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08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0"/>
              </w:rPr>
              <w:t>Interest Rate on Short-</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Facility</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Paper</w:t>
            </w:r>
          </w:p>
        </w:tc>
        <w:tc>
          <w:tcPr>
            <w:tcW w:w="13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Borrowings</w:t>
            </w:r>
          </w:p>
        </w:tc>
        <w:tc>
          <w:tcPr>
            <w:tcW w:w="20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Term Borrowings</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June 30, 2021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51"/>
              <w:spacing w:after="0"/>
              <w:rPr>
                <w:sz w:val="20"/>
                <w:szCs w:val="20"/>
                <w:color w:val="auto"/>
              </w:rPr>
            </w:pPr>
            <w:r>
              <w:rPr>
                <w:rFonts w:ascii="Arial" w:cs="Arial" w:eastAsia="Arial" w:hAnsi="Arial"/>
                <w:sz w:val="16"/>
                <w:szCs w:val="16"/>
                <w:color w:val="auto"/>
              </w:rPr>
              <w:t>(millions)</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0.23%</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455.9</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0.19%</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2080" w:type="dxa"/>
            <w:vAlign w:val="bottom"/>
            <w:tcBorders>
              <w:bottom w:val="single" w:sz="8" w:color="CCEEFF"/>
            </w:tcBorders>
          </w:tcPr>
          <w:p>
            <w:pPr>
              <w:jc w:val="center"/>
              <w:ind w:left="110"/>
              <w:spacing w:after="0"/>
              <w:rPr>
                <w:sz w:val="20"/>
                <w:szCs w:val="20"/>
                <w:color w:val="auto"/>
              </w:rPr>
            </w:pPr>
            <w:r>
              <w:rPr>
                <w:rFonts w:ascii="Arial" w:cs="Arial" w:eastAsia="Arial" w:hAnsi="Arial"/>
                <w:sz w:val="18"/>
                <w:szCs w:val="18"/>
                <w:color w:val="auto"/>
                <w:w w:val="93"/>
              </w:rPr>
              <w:t>0.19%</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w:t>
            </w: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19"/>
                <w:szCs w:val="19"/>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87"/>
              </w:rPr>
              <w:t>n/a</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249.3</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1.40%</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0.23%</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600.0</w:t>
            </w:r>
          </w:p>
        </w:tc>
        <w:tc>
          <w:tcPr>
            <w:tcW w:w="2080" w:type="dxa"/>
            <w:vAlign w:val="bottom"/>
          </w:tcPr>
          <w:p>
            <w:pPr>
              <w:jc w:val="center"/>
              <w:ind w:left="11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383.0</w:t>
            </w:r>
          </w:p>
        </w:tc>
        <w:tc>
          <w:tcPr>
            <w:tcW w:w="20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3"/>
              </w:rPr>
              <w:t>0.36%</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2,165.3</w:t>
            </w:r>
          </w:p>
        </w:tc>
        <w:tc>
          <w:tcPr>
            <w:tcW w:w="2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In May 2021, Evergy, Inc. established a commercial paper program supported by its borrowing capacity under the master credit facility.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LONG-TERM 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2" w:lineRule="exact"/>
        <w:rPr>
          <w:sz w:val="20"/>
          <w:szCs w:val="20"/>
          <w:color w:val="auto"/>
        </w:rPr>
      </w:pPr>
    </w:p>
    <w:p>
      <w:pPr>
        <w:ind w:right="540"/>
        <w:spacing w:after="0" w:line="274" w:lineRule="auto"/>
        <w:rPr>
          <w:sz w:val="20"/>
          <w:szCs w:val="20"/>
          <w:color w:val="auto"/>
        </w:rPr>
      </w:pPr>
      <w:r>
        <w:rPr>
          <w:rFonts w:ascii="Arial" w:cs="Arial" w:eastAsia="Arial" w:hAnsi="Arial"/>
          <w:sz w:val="18"/>
          <w:szCs w:val="18"/>
          <w:color w:val="auto"/>
        </w:rPr>
        <w:t>In April 2021, Evergy Missouri West issued in a private placement $350.0 million of 2.86% Series A Senior Notes, maturing in 2031, $75.0 million of 3.01% Series B Senior Notes, maturing in 2033, and $75.0 million of 3.21% Series C Senior Notes, maturing in 2036, pursuant to a note purchase agreement. In connection with the issuance, Evergy entered into an agreement to provide an unconditional guaranty of the Series A, B and C Senior Notes, and as required by certain existing note purchase agreements, also agreed to provide unconditional guaranty of the following series of outstanding Evergy Missouri West unsecured senior notes:</w:t>
      </w:r>
    </w:p>
    <w:p>
      <w:pPr>
        <w:spacing w:after="0" w:line="58"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$36.0 million of 3.49% Series A, maturing in 2025;</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$60.0 million of 4.06% Series B, maturing in 2033;</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$150.0 million of 4.74% Series C, maturing in 2043;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$100.0 million of 3.74% Series, maturing in 2022.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April 2021, Evergy redeemed its $350.0 million of 4.85% Senior Notes, which had a maturity date of June 2021.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Values of Financial Instruments</w:t>
      </w:r>
    </w:p>
    <w:p>
      <w:pPr>
        <w:spacing w:after="0" w:line="22" w:lineRule="exact"/>
        <w:rPr>
          <w:sz w:val="20"/>
          <w:szCs w:val="20"/>
          <w:color w:val="auto"/>
        </w:rPr>
      </w:pPr>
    </w:p>
    <w:p>
      <w:pPr>
        <w:ind w:right="80"/>
        <w:spacing w:after="0"/>
        <w:rPr>
          <w:sz w:val="20"/>
          <w:szCs w:val="20"/>
          <w:color w:val="auto"/>
        </w:rPr>
      </w:pPr>
      <w:r>
        <w:rPr>
          <w:rFonts w:ascii="Arial" w:cs="Arial" w:eastAsia="Arial" w:hAnsi="Arial"/>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spacing w:after="0" w:line="198"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w:t>
      </w:r>
    </w:p>
    <w:p>
      <w:pPr>
        <w:spacing w:after="0" w:line="152"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or other financial instruments priced with models using highly observable inputs.</w:t>
      </w:r>
    </w:p>
    <w:p>
      <w:pPr>
        <w:spacing w:after="0" w:line="186"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Level 3 – Significant inputs to pricing have little or no transparency. The types of assets and liabilities included in Level 3 are those with inputs requiring significant management judgment or estimation.</w:t>
      </w:r>
    </w:p>
    <w:p>
      <w:pPr>
        <w:spacing w:after="0" w:line="17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Long-Term Debt</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gridSpan w:val="4"/>
          </w:tcPr>
          <w:p>
            <w:pPr>
              <w:ind w:left="760"/>
              <w:spacing w:after="0"/>
              <w:rPr>
                <w:sz w:val="20"/>
                <w:szCs w:val="20"/>
                <w:color w:val="auto"/>
              </w:rPr>
            </w:pPr>
            <w:r>
              <w:rPr>
                <w:rFonts w:ascii="Arial" w:cs="Arial" w:eastAsia="Arial" w:hAnsi="Arial"/>
                <w:sz w:val="18"/>
                <w:szCs w:val="18"/>
                <w:b w:val="1"/>
                <w:bCs w:val="1"/>
                <w:color w:val="auto"/>
              </w:rPr>
              <w:t>June 30, 2021</w:t>
            </w:r>
          </w:p>
        </w:tc>
        <w:tc>
          <w:tcPr>
            <w:tcW w:w="220" w:type="dxa"/>
            <w:vAlign w:val="bottom"/>
            <w:tcBorders>
              <w:top w:val="single" w:sz="8" w:color="auto"/>
            </w:tcBorders>
          </w:tcPr>
          <w:p>
            <w:pPr>
              <w:spacing w:after="0"/>
              <w:rPr>
                <w:sz w:val="22"/>
                <w:szCs w:val="22"/>
                <w:color w:val="auto"/>
              </w:rPr>
            </w:pPr>
          </w:p>
        </w:tc>
        <w:tc>
          <w:tcPr>
            <w:tcW w:w="2700" w:type="dxa"/>
            <w:vAlign w:val="bottom"/>
            <w:tcBorders>
              <w:top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52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89"/>
              </w:rPr>
              <w:t>Book Value</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52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3"/>
                <w:szCs w:val="23"/>
                <w:b w:val="1"/>
                <w:bCs w:val="1"/>
                <w:color w:val="auto"/>
                <w:vertAlign w:val="superscript"/>
              </w:rPr>
              <w:t>(a)</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(millions)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Evergy</w:t>
            </w:r>
            <w:r>
              <w:rPr>
                <w:rFonts w:ascii="Arial" w:cs="Arial" w:eastAsia="Arial" w:hAnsi="Arial"/>
                <w:sz w:val="23"/>
                <w:szCs w:val="23"/>
                <w:color w:val="auto"/>
                <w:vertAlign w:val="superscript"/>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9,770.2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11,002.2</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9,627.3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60" w:type="dxa"/>
            <w:vAlign w:val="bottom"/>
          </w:tcPr>
          <w:p>
            <w:pPr>
              <w:spacing w:after="0"/>
              <w:rPr>
                <w:sz w:val="19"/>
                <w:szCs w:val="19"/>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3,932.9</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4,576.4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3,931.5</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4,801.7</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2,924.0</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2,923.0</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3,591.2</w:t>
            </w: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Long-term debt of variable interest entities</w:t>
            </w:r>
            <w:r>
              <w:rPr>
                <w:rFonts w:ascii="Arial" w:cs="Arial" w:eastAsia="Arial" w:hAnsi="Arial"/>
                <w:sz w:val="23"/>
                <w:szCs w:val="23"/>
                <w:b w:val="1"/>
                <w:bCs w:val="1"/>
                <w:color w:val="auto"/>
                <w:vertAlign w:val="superscript"/>
              </w:rPr>
              <w:t>(a)</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 Kansas Central</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18.8</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bl>
    <w:p>
      <w:pPr>
        <w:spacing w:after="0" w:line="67"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current maturities.</w:t>
      </w:r>
    </w:p>
    <w:p>
      <w:pPr>
        <w:ind w:left="180" w:right="60" w:hanging="172"/>
        <w:spacing w:after="0" w:line="244" w:lineRule="auto"/>
        <w:tabs>
          <w:tab w:leader="none" w:pos="167"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Book value as of June 30, 2021 and December 31, 2020, includes $103.1 million and $110.4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Recurring Fair Value Measurements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include the Evergy Companies' balances of financial assets and liabilities measured at fair value on a recurring basis.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080" w:type="dxa"/>
            <w:vAlign w:val="bottom"/>
            <w:tcBorders>
              <w:top w:val="single" w:sz="8" w:color="auto"/>
              <w:bottom w:val="single" w:sz="8" w:color="auto"/>
            </w:tcBorders>
            <w:gridSpan w:val="3"/>
          </w:tcPr>
          <w:p>
            <w:pPr>
              <w:jc w:val="right"/>
              <w:ind w:right="239"/>
              <w:spacing w:after="0"/>
              <w:rPr>
                <w:sz w:val="20"/>
                <w:szCs w:val="20"/>
                <w:color w:val="auto"/>
              </w:rPr>
            </w:pPr>
            <w:r>
              <w:rPr>
                <w:rFonts w:ascii="Arial" w:cs="Arial" w:eastAsia="Arial" w:hAnsi="Arial"/>
                <w:sz w:val="16"/>
                <w:szCs w:val="16"/>
                <w:b w:val="1"/>
                <w:bCs w:val="1"/>
                <w:color w:val="auto"/>
              </w:rPr>
              <w:t>June 30, 2021</w:t>
            </w:r>
          </w:p>
        </w:tc>
        <w:tc>
          <w:tcPr>
            <w:tcW w:w="4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NAV</w:t>
            </w:r>
          </w:p>
        </w:tc>
      </w:tr>
      <w:tr>
        <w:trPr>
          <w:trHeight w:val="207"/>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4"/>
        </w:trPr>
        <w:tc>
          <w:tcPr>
            <w:tcW w:w="3660" w:type="dxa"/>
            <w:vAlign w:val="bottom"/>
          </w:tcPr>
          <w:p>
            <w:pPr>
              <w:ind w:left="20"/>
              <w:spacing w:after="0"/>
              <w:rPr>
                <w:sz w:val="20"/>
                <w:szCs w:val="20"/>
                <w:color w:val="auto"/>
              </w:rPr>
            </w:pPr>
            <w:r>
              <w:rPr>
                <w:rFonts w:ascii="Arial" w:cs="Arial" w:eastAsia="Arial" w:hAnsi="Arial"/>
                <w:sz w:val="16"/>
                <w:szCs w:val="16"/>
                <w:color w:val="auto"/>
              </w:rPr>
              <w:t>Assets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3"/>
        </w:trPr>
        <w:tc>
          <w:tcPr>
            <w:tcW w:w="3660" w:type="dxa"/>
            <w:vAlign w:val="bottom"/>
          </w:tcPr>
          <w:p>
            <w:pPr>
              <w:ind w:left="180"/>
              <w:spacing w:after="0" w:line="223"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1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111.2</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101.1</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10.1</w:t>
            </w:r>
          </w:p>
        </w:tc>
      </w:tr>
      <w:tr>
        <w:trPr>
          <w:trHeight w:val="213"/>
        </w:trPr>
        <w:tc>
          <w:tcPr>
            <w:tcW w:w="366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68.1</w:t>
            </w:r>
          </w:p>
        </w:tc>
        <w:tc>
          <w:tcPr>
            <w:tcW w:w="4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68.1</w:t>
            </w:r>
          </w:p>
        </w:tc>
        <w:tc>
          <w:tcPr>
            <w:tcW w:w="36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50.6</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50.6</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6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29.0</w:t>
            </w:r>
          </w:p>
        </w:tc>
        <w:tc>
          <w:tcPr>
            <w:tcW w:w="4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29.0</w:t>
            </w:r>
          </w:p>
        </w:tc>
        <w:tc>
          <w:tcPr>
            <w:tcW w:w="36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25.2</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25.2</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60" w:type="dxa"/>
            <w:vAlign w:val="bottom"/>
          </w:tcPr>
          <w:p>
            <w:pPr>
              <w:ind w:left="220"/>
              <w:spacing w:after="0"/>
              <w:rPr>
                <w:sz w:val="20"/>
                <w:szCs w:val="20"/>
                <w:color w:val="auto"/>
              </w:rPr>
            </w:pPr>
            <w:r>
              <w:rPr>
                <w:rFonts w:ascii="Arial" w:cs="Arial" w:eastAsia="Arial" w:hAnsi="Arial"/>
                <w:sz w:val="16"/>
                <w:szCs w:val="16"/>
                <w:color w:val="auto"/>
              </w:rPr>
              <w:t>Combination debt/equity/other fund</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21.7</w:t>
            </w:r>
          </w:p>
        </w:tc>
        <w:tc>
          <w:tcPr>
            <w:tcW w:w="4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21.7</w:t>
            </w:r>
          </w:p>
        </w:tc>
        <w:tc>
          <w:tcPr>
            <w:tcW w:w="36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Alternative investments fund</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30.2</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30.2</w:t>
            </w:r>
          </w:p>
        </w:tc>
      </w:tr>
      <w:tr>
        <w:trPr>
          <w:trHeight w:val="213"/>
        </w:trPr>
        <w:tc>
          <w:tcPr>
            <w:tcW w:w="3660" w:type="dxa"/>
            <w:vAlign w:val="bottom"/>
          </w:tcPr>
          <w:p>
            <w:pPr>
              <w:ind w:left="220"/>
              <w:spacing w:after="0"/>
              <w:rPr>
                <w:sz w:val="20"/>
                <w:szCs w:val="20"/>
                <w:color w:val="auto"/>
              </w:rPr>
            </w:pPr>
            <w:r>
              <w:rPr>
                <w:rFonts w:ascii="Arial" w:cs="Arial" w:eastAsia="Arial" w:hAnsi="Arial"/>
                <w:sz w:val="16"/>
                <w:szCs w:val="16"/>
                <w:color w:val="auto"/>
              </w:rPr>
              <w:t>Real estate securities fund</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13.5</w:t>
            </w:r>
          </w:p>
        </w:tc>
        <w:tc>
          <w:tcPr>
            <w:tcW w:w="4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13.5</w:t>
            </w: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0.5</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0.5</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(0.4)</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(0.4)</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nuclear decommissioning trust</w:t>
            </w:r>
          </w:p>
        </w:tc>
        <w:tc>
          <w:tcPr>
            <w:tcW w:w="8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349.6</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296.2</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(0.4)</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53.8</w:t>
            </w:r>
          </w:p>
        </w:tc>
      </w:tr>
      <w:tr>
        <w:trPr>
          <w:trHeight w:val="193"/>
        </w:trPr>
        <w:tc>
          <w:tcPr>
            <w:tcW w:w="3660" w:type="dxa"/>
            <w:vAlign w:val="bottom"/>
          </w:tcPr>
          <w:p>
            <w:pPr>
              <w:ind w:left="180"/>
              <w:spacing w:after="0"/>
              <w:rPr>
                <w:sz w:val="20"/>
                <w:szCs w:val="20"/>
                <w:color w:val="auto"/>
              </w:rPr>
            </w:pPr>
            <w:r>
              <w:rPr>
                <w:rFonts w:ascii="Arial" w:cs="Arial" w:eastAsia="Arial" w:hAnsi="Arial"/>
                <w:sz w:val="16"/>
                <w:szCs w:val="16"/>
                <w:color w:val="auto"/>
              </w:rPr>
              <w:t>Rabbi trust</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Fixed income funds</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26.4</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26.4</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60" w:type="dxa"/>
            <w:vAlign w:val="bottom"/>
          </w:tcPr>
          <w:p>
            <w:pPr>
              <w:ind w:left="220"/>
              <w:spacing w:after="0"/>
              <w:rPr>
                <w:sz w:val="20"/>
                <w:szCs w:val="20"/>
                <w:color w:val="auto"/>
              </w:rPr>
            </w:pPr>
            <w:r>
              <w:rPr>
                <w:rFonts w:ascii="Arial" w:cs="Arial" w:eastAsia="Arial" w:hAnsi="Arial"/>
                <w:sz w:val="16"/>
                <w:szCs w:val="16"/>
                <w:color w:val="auto"/>
              </w:rPr>
              <w:t>Equity funds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4.9</w:t>
            </w:r>
          </w:p>
        </w:tc>
        <w:tc>
          <w:tcPr>
            <w:tcW w:w="4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4.9</w:t>
            </w:r>
          </w:p>
        </w:tc>
        <w:tc>
          <w:tcPr>
            <w:tcW w:w="36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0.7</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0.7</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equivalents</w:t>
            </w:r>
          </w:p>
        </w:tc>
        <w:tc>
          <w:tcPr>
            <w:tcW w:w="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0.1</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2"/>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rabbi trust</w:t>
            </w:r>
          </w:p>
        </w:tc>
        <w:tc>
          <w:tcPr>
            <w:tcW w:w="8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32.1</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32.1</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7"/>
        </w:trPr>
        <w:tc>
          <w:tcPr>
            <w:tcW w:w="36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381.7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328.3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53.8</w:t>
            </w:r>
          </w:p>
        </w:tc>
      </w:tr>
      <w:tr>
        <w:trPr>
          <w:trHeight w:val="213"/>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 Metro</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Assets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6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66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280.9</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280.9</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660" w:type="dxa"/>
            <w:vAlign w:val="bottom"/>
          </w:tcPr>
          <w:p>
            <w:pPr>
              <w:ind w:left="360"/>
              <w:spacing w:after="0"/>
              <w:rPr>
                <w:sz w:val="20"/>
                <w:szCs w:val="20"/>
                <w:color w:val="auto"/>
              </w:rPr>
            </w:pPr>
            <w:r>
              <w:rPr>
                <w:rFonts w:ascii="Arial" w:cs="Arial" w:eastAsia="Arial" w:hAnsi="Arial"/>
                <w:sz w:val="16"/>
                <w:szCs w:val="16"/>
                <w:color w:val="auto"/>
              </w:rPr>
              <w:t>U.S. Treasury</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45.1</w:t>
            </w:r>
          </w:p>
        </w:tc>
        <w:tc>
          <w:tcPr>
            <w:tcW w:w="4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45.1</w:t>
            </w:r>
          </w:p>
        </w:tc>
        <w:tc>
          <w:tcPr>
            <w:tcW w:w="36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Agency</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0.4</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0.4</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60" w:type="dxa"/>
            <w:vAlign w:val="bottom"/>
          </w:tcPr>
          <w:p>
            <w:pPr>
              <w:ind w:left="360"/>
              <w:spacing w:after="0"/>
              <w:rPr>
                <w:sz w:val="20"/>
                <w:szCs w:val="20"/>
                <w:color w:val="auto"/>
              </w:rPr>
            </w:pPr>
            <w:r>
              <w:rPr>
                <w:rFonts w:ascii="Arial" w:cs="Arial" w:eastAsia="Arial" w:hAnsi="Arial"/>
                <w:sz w:val="16"/>
                <w:szCs w:val="16"/>
                <w:color w:val="auto"/>
              </w:rPr>
              <w:t>State and local obligations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4.1</w:t>
            </w:r>
          </w:p>
        </w:tc>
        <w:tc>
          <w:tcPr>
            <w:tcW w:w="4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Corporate bonds</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44.4</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44.4</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60" w:type="dxa"/>
            <w:vAlign w:val="bottom"/>
          </w:tcPr>
          <w:p>
            <w:pPr>
              <w:ind w:left="360"/>
              <w:spacing w:after="0"/>
              <w:rPr>
                <w:sz w:val="20"/>
                <w:szCs w:val="20"/>
                <w:color w:val="auto"/>
              </w:rPr>
            </w:pPr>
            <w:r>
              <w:rPr>
                <w:rFonts w:ascii="Arial" w:cs="Arial" w:eastAsia="Arial" w:hAnsi="Arial"/>
                <w:sz w:val="16"/>
                <w:szCs w:val="16"/>
                <w:color w:val="auto"/>
              </w:rPr>
              <w:t>Foreign governments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0.1</w:t>
            </w:r>
          </w:p>
        </w:tc>
        <w:tc>
          <w:tcPr>
            <w:tcW w:w="4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8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4.8</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6"/>
        </w:trPr>
        <w:tc>
          <w:tcPr>
            <w:tcW w:w="36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nuclear decommissioning trust</w:t>
            </w:r>
          </w:p>
        </w:tc>
        <w:tc>
          <w:tcPr>
            <w:tcW w:w="8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379.8</w:t>
            </w: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330.8</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49.0</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199"/>
        </w:trPr>
        <w:tc>
          <w:tcPr>
            <w:tcW w:w="366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366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1.9</w:t>
            </w:r>
          </w:p>
        </w:tc>
        <w:tc>
          <w:tcPr>
            <w:tcW w:w="4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1.9</w:t>
            </w:r>
          </w:p>
        </w:tc>
        <w:tc>
          <w:tcPr>
            <w:tcW w:w="360" w:type="dxa"/>
            <w:vAlign w:val="bottom"/>
          </w:tcPr>
          <w:p>
            <w:pPr>
              <w:spacing w:after="0"/>
              <w:rPr>
                <w:sz w:val="18"/>
                <w:szCs w:val="18"/>
                <w:color w:val="auto"/>
              </w:rPr>
            </w:pP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w:t>
            </w:r>
          </w:p>
        </w:tc>
      </w:tr>
      <w:tr>
        <w:trPr>
          <w:trHeight w:val="219"/>
        </w:trPr>
        <w:tc>
          <w:tcPr>
            <w:tcW w:w="3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9.1</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2.7</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self-insured health plan trust</w:t>
            </w:r>
          </w:p>
        </w:tc>
        <w:tc>
          <w:tcPr>
            <w:tcW w:w="8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13.7</w:t>
            </w: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7.6</w:t>
            </w: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6.1</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07"/>
        </w:trPr>
        <w:tc>
          <w:tcPr>
            <w:tcW w:w="366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393.5</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338.4</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55.1</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3"/>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Evergy</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Assets</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Rabbi trusts</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3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Core bond fund</w:t>
            </w:r>
          </w:p>
        </w:tc>
        <w:tc>
          <w:tcPr>
            <w:tcW w:w="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12.7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09"/>
        </w:trPr>
        <w:tc>
          <w:tcPr>
            <w:tcW w:w="36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rabbi trusts</w:t>
            </w:r>
          </w:p>
        </w:tc>
        <w:tc>
          <w:tcPr>
            <w:tcW w:w="11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12.7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12.7</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Evergy</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3660" w:type="dxa"/>
            <w:vAlign w:val="bottom"/>
          </w:tcPr>
          <w:p>
            <w:pPr>
              <w:ind w:left="140"/>
              <w:spacing w:after="0" w:line="216"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1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39"/>
              <w:spacing w:after="0"/>
              <w:rPr>
                <w:sz w:val="20"/>
                <w:szCs w:val="20"/>
                <w:color w:val="auto"/>
              </w:rPr>
            </w:pPr>
            <w:r>
              <w:rPr>
                <w:rFonts w:ascii="Arial" w:cs="Arial" w:eastAsia="Arial" w:hAnsi="Arial"/>
                <w:sz w:val="16"/>
                <w:szCs w:val="16"/>
                <w:color w:val="auto"/>
              </w:rPr>
              <w:t>729.4</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627.0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9"/>
              <w:spacing w:after="0"/>
              <w:rPr>
                <w:sz w:val="20"/>
                <w:szCs w:val="20"/>
                <w:color w:val="auto"/>
              </w:rPr>
            </w:pPr>
            <w:r>
              <w:rPr>
                <w:rFonts w:ascii="Arial" w:cs="Arial" w:eastAsia="Arial" w:hAnsi="Arial"/>
                <w:sz w:val="16"/>
                <w:szCs w:val="16"/>
                <w:color w:val="auto"/>
              </w:rPr>
              <w:t>48.6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9"/>
              <w:spacing w:after="0"/>
              <w:rPr>
                <w:sz w:val="20"/>
                <w:szCs w:val="20"/>
                <w:color w:val="auto"/>
              </w:rPr>
            </w:pPr>
            <w:r>
              <w:rPr>
                <w:rFonts w:ascii="Arial" w:cs="Arial" w:eastAsia="Arial" w:hAnsi="Arial"/>
                <w:sz w:val="16"/>
                <w:szCs w:val="16"/>
                <w:color w:val="auto"/>
              </w:rPr>
              <w:t>53.8</w:t>
            </w: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Rabbi trusts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44.8</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r>
      <w:tr>
        <w:trPr>
          <w:trHeight w:val="216"/>
        </w:trPr>
        <w:tc>
          <w:tcPr>
            <w:tcW w:w="366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13.7</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7.6</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6.1</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r>
      <w:tr>
        <w:trPr>
          <w:trHeight w:val="216"/>
        </w:trPr>
        <w:tc>
          <w:tcPr>
            <w:tcW w:w="36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787.9</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679.4</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54.7</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53.8</w:t>
            </w: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1" w:name="page42"/>
    <w:bookmarkEnd w:id="4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2220" w:type="dxa"/>
            <w:vAlign w:val="bottom"/>
            <w:tcBorders>
              <w:top w:val="single" w:sz="8" w:color="auto"/>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December 31, 2020</w:t>
            </w:r>
          </w:p>
        </w:tc>
        <w:tc>
          <w:tcPr>
            <w:tcW w:w="3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Level 1</w:t>
            </w:r>
          </w:p>
        </w:tc>
        <w:tc>
          <w:tcPr>
            <w:tcW w:w="3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Level 2</w:t>
            </w:r>
          </w:p>
        </w:tc>
        <w:tc>
          <w:tcPr>
            <w:tcW w:w="3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NAV</w:t>
            </w:r>
          </w:p>
        </w:tc>
      </w:tr>
      <w:tr>
        <w:trPr>
          <w:trHeight w:val="207"/>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 Kansas Central</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color w:val="auto"/>
                <w:w w:val="96"/>
              </w:rPr>
              <w:t>(millions)</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3500" w:type="dxa"/>
            <w:vAlign w:val="bottom"/>
          </w:tcPr>
          <w:p>
            <w:pPr>
              <w:ind w:left="180"/>
              <w:spacing w:after="0" w:line="222"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Domestic equity funds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102.7</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95.1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7.6</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International equity funds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63.8</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63.8</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Core bond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40.6</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40.6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High-yield bond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25.0</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25.0</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21.0</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21.0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Combination debt/equity/other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20.1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20.1</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Alternative investments fund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23.2</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23.2</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Real estate securities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12.9</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12.9</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nuclear decommissioning trust</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309.8</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266.1</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43.7</w:t>
            </w:r>
          </w:p>
        </w:tc>
      </w:tr>
      <w:tr>
        <w:trPr>
          <w:trHeight w:val="199"/>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Rabbi trust</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Core bond fund</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25.6</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25.6</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Combination debt/equity/other fund</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7.1</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7.1</w:t>
            </w:r>
          </w:p>
        </w:tc>
      </w:tr>
      <w:tr>
        <w:trPr>
          <w:trHeight w:val="207"/>
        </w:trPr>
        <w:tc>
          <w:tcPr>
            <w:tcW w:w="35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rabbi trust</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32.7</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32.7</w:t>
            </w:r>
          </w:p>
        </w:tc>
      </w:tr>
      <w:tr>
        <w:trPr>
          <w:trHeight w:val="209"/>
        </w:trPr>
        <w:tc>
          <w:tcPr>
            <w:tcW w:w="35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342.5</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266.1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76.4</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Evergy Metro</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3500" w:type="dxa"/>
            <w:vAlign w:val="bottom"/>
          </w:tcPr>
          <w:p>
            <w:pPr>
              <w:ind w:left="140"/>
              <w:spacing w:after="0" w:line="216"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securities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243.1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243.1</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Debt securities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U.S. Treasury</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47.7</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47.7</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U.S. Agency</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0.5</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0.5</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 and local obligations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4.1</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360"/>
              <w:spacing w:after="0"/>
              <w:rPr>
                <w:sz w:val="20"/>
                <w:szCs w:val="20"/>
                <w:color w:val="auto"/>
              </w:rPr>
            </w:pPr>
            <w:r>
              <w:rPr>
                <w:rFonts w:ascii="Arial" w:cs="Arial" w:eastAsia="Arial" w:hAnsi="Arial"/>
                <w:sz w:val="16"/>
                <w:szCs w:val="16"/>
                <w:color w:val="auto"/>
              </w:rPr>
              <w:t>Corporate bonds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43.1</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43.1</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governments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0.1</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Cash equivalents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3.2</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3.2</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nuclear decommissioning trust</w:t>
            </w:r>
          </w:p>
        </w:tc>
        <w:tc>
          <w:tcPr>
            <w:tcW w:w="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342.3</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294.5</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47.8</w:t>
            </w: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199"/>
        </w:trPr>
        <w:tc>
          <w:tcPr>
            <w:tcW w:w="3500" w:type="dxa"/>
            <w:vAlign w:val="bottom"/>
            <w:shd w:val="clear" w:color="auto" w:fill="CCEEFF"/>
          </w:tcPr>
          <w:p>
            <w:pPr>
              <w:ind w:left="180"/>
              <w:spacing w:after="0" w:line="19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Equity securities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1.7</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Debt securities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8.0</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2.8</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5.2</w:t>
            </w: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and cash equivalents</w:t>
            </w:r>
          </w:p>
        </w:tc>
        <w:tc>
          <w:tcPr>
            <w:tcW w:w="8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3.5</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3.5</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self-insured health plan trust</w:t>
            </w:r>
          </w:p>
        </w:tc>
        <w:tc>
          <w:tcPr>
            <w:tcW w:w="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13.2</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8.0</w:t>
            </w: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6"/>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355.5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302.5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53.0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Evergy</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Rabbi trusts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Fixed income fund</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13.1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13.1</w:t>
            </w: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0.5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07"/>
        </w:trPr>
        <w:tc>
          <w:tcPr>
            <w:tcW w:w="35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rabbi trusts</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13.6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13.1</w:t>
            </w:r>
          </w:p>
        </w:tc>
      </w:tr>
      <w:tr>
        <w:trPr>
          <w:trHeight w:val="213"/>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Evergy</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Assets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35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652.1</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560.6</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47.8</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43.7</w:t>
            </w:r>
          </w:p>
        </w:tc>
      </w:tr>
      <w:tr>
        <w:trPr>
          <w:trHeight w:val="213"/>
        </w:trPr>
        <w:tc>
          <w:tcPr>
            <w:tcW w:w="3500" w:type="dxa"/>
            <w:vAlign w:val="bottom"/>
          </w:tcPr>
          <w:p>
            <w:pPr>
              <w:ind w:left="140"/>
              <w:spacing w:after="0"/>
              <w:rPr>
                <w:sz w:val="20"/>
                <w:szCs w:val="20"/>
                <w:color w:val="auto"/>
              </w:rPr>
            </w:pPr>
            <w:r>
              <w:rPr>
                <w:rFonts w:ascii="Arial" w:cs="Arial" w:eastAsia="Arial" w:hAnsi="Arial"/>
                <w:sz w:val="16"/>
                <w:szCs w:val="16"/>
                <w:color w:val="auto"/>
              </w:rPr>
              <w:t>Rabbi trust</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46.3</w:t>
            </w:r>
          </w:p>
        </w:tc>
        <w:tc>
          <w:tcPr>
            <w:tcW w:w="38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0.5</w:t>
            </w:r>
          </w:p>
        </w:tc>
        <w:tc>
          <w:tcPr>
            <w:tcW w:w="340" w:type="dxa"/>
            <w:vAlign w:val="bottom"/>
          </w:tcPr>
          <w:p>
            <w:pPr>
              <w:spacing w:after="0"/>
              <w:rPr>
                <w:sz w:val="18"/>
                <w:szCs w:val="18"/>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tcPr>
          <w:p>
            <w:pPr>
              <w:jc w:val="right"/>
              <w:ind w:right="419"/>
              <w:spacing w:after="0"/>
              <w:rPr>
                <w:sz w:val="20"/>
                <w:szCs w:val="20"/>
                <w:color w:val="auto"/>
              </w:rPr>
            </w:pPr>
            <w:r>
              <w:rPr>
                <w:rFonts w:ascii="Arial" w:cs="Arial" w:eastAsia="Arial" w:hAnsi="Arial"/>
                <w:sz w:val="16"/>
                <w:szCs w:val="16"/>
                <w:color w:val="auto"/>
              </w:rPr>
              <w:t>45.8</w:t>
            </w:r>
          </w:p>
        </w:tc>
      </w:tr>
      <w:tr>
        <w:trPr>
          <w:trHeight w:val="219"/>
        </w:trPr>
        <w:tc>
          <w:tcPr>
            <w:tcW w:w="35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13.2</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8.0</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5.2</w:t>
            </w: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r>
      <w:tr>
        <w:trPr>
          <w:trHeight w:val="216"/>
        </w:trPr>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711.6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569.1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53.0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89.5</w:t>
            </w:r>
          </w:p>
        </w:tc>
      </w:tr>
    </w:tbl>
    <w:p>
      <w:pPr>
        <w:spacing w:after="0" w:line="67"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With the exception of investments measured at NAV, fair value is based on quoted market prices of the investments held by the trust and/or valuation models.</w:t>
      </w:r>
    </w:p>
    <w:p>
      <w:pPr>
        <w:ind w:left="180" w:right="440" w:hanging="172"/>
        <w:spacing w:after="0" w:line="234" w:lineRule="auto"/>
        <w:tabs>
          <w:tab w:leader="none" w:pos="168"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740"/>
        <w:spacing w:after="0" w:line="260" w:lineRule="auto"/>
        <w:rPr>
          <w:sz w:val="20"/>
          <w:szCs w:val="20"/>
          <w:color w:val="auto"/>
        </w:rPr>
      </w:pPr>
      <w:r>
        <w:rPr>
          <w:rFonts w:ascii="Arial" w:cs="Arial" w:eastAsia="Arial" w:hAnsi="Arial"/>
          <w:sz w:val="20"/>
          <w:szCs w:val="20"/>
          <w:color w:val="auto"/>
        </w:rPr>
        <w:t>Certain Evergy and Evergy Kansas Central investments included in the table above are measured at NAV as they do not have readily determinable fair values. In certain situations, these investments may have redemption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additional information on these Evergy and Evergy Kansas Central investments.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0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460" w:type="dxa"/>
            <w:vAlign w:val="bottom"/>
            <w:tcBorders>
              <w:top w:val="single" w:sz="8" w:color="auto"/>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June 30, 2021</w:t>
            </w:r>
          </w:p>
        </w:tc>
        <w:tc>
          <w:tcPr>
            <w:tcW w:w="380" w:type="dxa"/>
            <w:vAlign w:val="bottom"/>
            <w:tcBorders>
              <w:top w:val="single" w:sz="8" w:color="auto"/>
              <w:bottom w:val="single" w:sz="8" w:color="auto"/>
            </w:tcBorders>
          </w:tcPr>
          <w:p>
            <w:pPr>
              <w:spacing w:after="0"/>
              <w:rPr>
                <w:sz w:val="22"/>
                <w:szCs w:val="22"/>
                <w:color w:val="auto"/>
              </w:rPr>
            </w:pPr>
          </w:p>
        </w:tc>
        <w:tc>
          <w:tcPr>
            <w:tcW w:w="202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2640" w:type="dxa"/>
            <w:vAlign w:val="bottom"/>
            <w:tcBorders>
              <w:top w:val="single" w:sz="8" w:color="auto"/>
              <w:bottom w:val="single" w:sz="8" w:color="auto"/>
            </w:tcBorders>
            <w:gridSpan w:val="2"/>
          </w:tcPr>
          <w:p>
            <w:pPr>
              <w:ind w:left="800"/>
              <w:spacing w:after="0"/>
              <w:rPr>
                <w:sz w:val="20"/>
                <w:szCs w:val="20"/>
                <w:color w:val="auto"/>
              </w:rPr>
            </w:pPr>
            <w:r>
              <w:rPr>
                <w:rFonts w:ascii="Arial" w:cs="Arial" w:eastAsia="Arial" w:hAnsi="Arial"/>
                <w:sz w:val="18"/>
                <w:szCs w:val="18"/>
                <w:b w:val="1"/>
                <w:bCs w:val="1"/>
                <w:color w:val="auto"/>
              </w:rPr>
              <w:t>June 30, 2021</w:t>
            </w:r>
          </w:p>
        </w:tc>
      </w:tr>
      <w:tr>
        <w:trPr>
          <w:trHeight w:val="218"/>
        </w:trPr>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18"/>
                <w:szCs w:val="18"/>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Unfunded</w:t>
            </w:r>
          </w:p>
        </w:tc>
        <w:tc>
          <w:tcPr>
            <w:tcW w:w="380" w:type="dxa"/>
            <w:vAlign w:val="bottom"/>
          </w:tcPr>
          <w:p>
            <w:pPr>
              <w:spacing w:after="0"/>
              <w:rPr>
                <w:sz w:val="18"/>
                <w:szCs w:val="18"/>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1260" w:type="dxa"/>
            <w:vAlign w:val="bottom"/>
          </w:tcPr>
          <w:p>
            <w:pPr>
              <w:jc w:val="center"/>
              <w:ind w:left="330"/>
              <w:spacing w:after="0"/>
              <w:rPr>
                <w:sz w:val="20"/>
                <w:szCs w:val="20"/>
                <w:color w:val="auto"/>
              </w:rPr>
            </w:pPr>
            <w:r>
              <w:rPr>
                <w:rFonts w:ascii="Arial" w:cs="Arial" w:eastAsia="Arial" w:hAnsi="Arial"/>
                <w:sz w:val="18"/>
                <w:szCs w:val="18"/>
                <w:b w:val="1"/>
                <w:bCs w:val="1"/>
                <w:color w:val="auto"/>
                <w:w w:val="90"/>
              </w:rPr>
              <w:t>Unfunded</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Length of</w:t>
            </w:r>
          </w:p>
        </w:tc>
      </w:tr>
      <w:tr>
        <w:trPr>
          <w:trHeight w:val="234"/>
        </w:trPr>
        <w:tc>
          <w:tcPr>
            <w:tcW w:w="3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Value</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Commitments</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7"/>
              </w:rPr>
              <w:t>Value</w:t>
            </w:r>
          </w:p>
        </w:tc>
        <w:tc>
          <w:tcPr>
            <w:tcW w:w="17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89"/>
              </w:rPr>
              <w:t>Commitments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Frequency</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22"/>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Nuclear decommissioning trust:</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(millions)</w:t>
            </w: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9"/>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equity funds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(a)</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Alternative investments fund</w:t>
            </w:r>
            <w:r>
              <w:rPr>
                <w:rFonts w:ascii="Arial" w:cs="Arial" w:eastAsia="Arial" w:hAnsi="Arial"/>
                <w:sz w:val="10"/>
                <w:szCs w:val="10"/>
                <w:color w:val="auto"/>
              </w:rPr>
              <w:t>(b)</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1260" w:type="dxa"/>
            <w:vAlign w:val="bottom"/>
          </w:tcPr>
          <w:p>
            <w:pPr>
              <w:spacing w:after="0"/>
              <w:rPr>
                <w:sz w:val="19"/>
                <w:szCs w:val="19"/>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91"/>
              </w:rPr>
              <w:t>Quarterly</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65 days</w:t>
            </w:r>
          </w:p>
        </w:tc>
      </w:tr>
      <w:tr>
        <w:trPr>
          <w:trHeight w:val="229"/>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Real estate securities fund</w:t>
            </w:r>
            <w:r>
              <w:rPr>
                <w:rFonts w:ascii="Arial" w:cs="Arial" w:eastAsia="Arial" w:hAnsi="Arial"/>
                <w:sz w:val="10"/>
                <w:szCs w:val="10"/>
                <w:color w:val="auto"/>
              </w:rPr>
              <w:t>(b)</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1"/>
              </w:rPr>
              <w:t>Quarterly</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 days</w:t>
            </w:r>
          </w:p>
        </w:tc>
      </w:tr>
      <w:tr>
        <w:trPr>
          <w:trHeight w:val="223"/>
        </w:trPr>
        <w:tc>
          <w:tcPr>
            <w:tcW w:w="30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43.7</w:t>
            </w:r>
          </w:p>
        </w:tc>
        <w:tc>
          <w:tcPr>
            <w:tcW w:w="126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7"/>
              </w:rPr>
              <w:t>2.2</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3060" w:type="dxa"/>
            <w:vAlign w:val="bottom"/>
          </w:tcPr>
          <w:p>
            <w:pPr>
              <w:ind w:left="140"/>
              <w:spacing w:after="0"/>
              <w:rPr>
                <w:sz w:val="20"/>
                <w:szCs w:val="20"/>
                <w:color w:val="auto"/>
              </w:rPr>
            </w:pPr>
            <w:r>
              <w:rPr>
                <w:rFonts w:ascii="Arial" w:cs="Arial" w:eastAsia="Arial" w:hAnsi="Arial"/>
                <w:sz w:val="18"/>
                <w:szCs w:val="18"/>
                <w:color w:val="auto"/>
              </w:rPr>
              <w:t>Core bond fund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126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tcPr>
          <w:p>
            <w:pPr>
              <w:jc w:val="center"/>
              <w:ind w:right="10"/>
              <w:spacing w:after="0"/>
              <w:rPr>
                <w:sz w:val="20"/>
                <w:szCs w:val="20"/>
                <w:color w:val="auto"/>
              </w:rPr>
            </w:pPr>
            <w:r>
              <w:rPr>
                <w:rFonts w:ascii="Arial" w:cs="Arial" w:eastAsia="Arial" w:hAnsi="Arial"/>
                <w:sz w:val="18"/>
                <w:szCs w:val="18"/>
                <w:color w:val="auto"/>
                <w:w w:val="95"/>
              </w:rPr>
              <w:t>(c)</w:t>
            </w:r>
          </w:p>
        </w:tc>
        <w:tc>
          <w:tcPr>
            <w:tcW w:w="126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Combination debt/equity/other fund</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5"/>
              </w:rPr>
              <w:t>(c)</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223"/>
        </w:trPr>
        <w:tc>
          <w:tcPr>
            <w:tcW w:w="3060" w:type="dxa"/>
            <w:vAlign w:val="bottom"/>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32.7</w:t>
            </w:r>
          </w:p>
        </w:tc>
        <w:tc>
          <w:tcPr>
            <w:tcW w:w="12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Evergy</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Rabbi trust: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30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Fixed income fund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2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5"/>
              </w:rPr>
              <w:t>(c)</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230"/>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Evergy investments at NAV</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89.5</w:t>
            </w:r>
          </w:p>
        </w:tc>
        <w:tc>
          <w:tcPr>
            <w:tcW w:w="12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bl>
    <w:p>
      <w:pPr>
        <w:spacing w:after="0" w:line="85" w:lineRule="exact"/>
        <w:rPr>
          <w:sz w:val="20"/>
          <w:szCs w:val="20"/>
          <w:color w:val="auto"/>
        </w:rPr>
      </w:pPr>
    </w:p>
    <w:p>
      <w:pPr>
        <w:ind w:left="180" w:right="40" w:hanging="172"/>
        <w:spacing w:after="0" w:line="250" w:lineRule="auto"/>
        <w:tabs>
          <w:tab w:leader="none" w:pos="175"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funds occurred in 2016 and 2018, respectively. The fourth fund's term is 15 years, subject to the general partner's right to extend the term for up to three additional one-year periods. The fifth fund's term is 15 years, subject to additional extensions approved by a fund advisory committee to provide for an orderly liquidation of fund investments and dissolution of the fund.</w:t>
      </w:r>
    </w:p>
    <w:p>
      <w:pPr>
        <w:ind w:left="160" w:hanging="152"/>
        <w:spacing w:after="0" w:line="219"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There is a holdback on final redemptions.</w:t>
      </w:r>
    </w:p>
    <w:p>
      <w:pPr>
        <w:ind w:left="160" w:hanging="152"/>
        <w:spacing w:after="0" w:line="211" w:lineRule="auto"/>
        <w:tabs>
          <w:tab w:leader="none" w:pos="160"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This investment can be redeemed immediately and is not subject to any restrictions on redemptions.</w:t>
      </w:r>
    </w:p>
    <w:p>
      <w:pPr>
        <w:spacing w:after="0" w:line="192"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unrealized gains (losses) for the Evergy Companies' nuclear decommissioning trusts and rabbi trusts.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Borders>
              <w:top w:val="single" w:sz="8" w:color="auto"/>
            </w:tcBorders>
          </w:tcPr>
          <w:p>
            <w:pPr>
              <w:spacing w:after="0"/>
              <w:rPr>
                <w:sz w:val="17"/>
                <w:szCs w:val="17"/>
                <w:color w:val="auto"/>
              </w:rPr>
            </w:pPr>
          </w:p>
        </w:tc>
        <w:tc>
          <w:tcPr>
            <w:tcW w:w="2720" w:type="dxa"/>
            <w:vAlign w:val="bottom"/>
            <w:tcBorders>
              <w:top w:val="single" w:sz="8" w:color="auto"/>
            </w:tcBorders>
            <w:gridSpan w:val="3"/>
          </w:tcPr>
          <w:p>
            <w:pPr>
              <w:jc w:val="right"/>
              <w:ind w:right="230"/>
              <w:spacing w:after="0" w:line="202" w:lineRule="exact"/>
              <w:rPr>
                <w:sz w:val="20"/>
                <w:szCs w:val="20"/>
                <w:color w:val="auto"/>
              </w:rPr>
            </w:pPr>
            <w:r>
              <w:rPr>
                <w:rFonts w:ascii="Arial" w:cs="Arial" w:eastAsia="Arial" w:hAnsi="Arial"/>
                <w:sz w:val="18"/>
                <w:szCs w:val="18"/>
                <w:b w:val="1"/>
                <w:bCs w:val="1"/>
                <w:color w:val="auto"/>
              </w:rPr>
              <w:t>Three Months Ended</w:t>
            </w:r>
          </w:p>
        </w:tc>
        <w:tc>
          <w:tcPr>
            <w:tcW w:w="5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10"/>
              <w:spacing w:after="0" w:line="202" w:lineRule="exact"/>
              <w:rPr>
                <w:sz w:val="20"/>
                <w:szCs w:val="20"/>
                <w:color w:val="auto"/>
              </w:rPr>
            </w:pPr>
            <w:r>
              <w:rPr>
                <w:rFonts w:ascii="Arial" w:cs="Arial" w:eastAsia="Arial" w:hAnsi="Arial"/>
                <w:sz w:val="18"/>
                <w:szCs w:val="18"/>
                <w:b w:val="1"/>
                <w:bCs w:val="1"/>
                <w:color w:val="auto"/>
                <w:w w:val="98"/>
              </w:rPr>
              <w:t>Year to Date</w:t>
            </w:r>
          </w:p>
        </w:tc>
        <w:tc>
          <w:tcPr>
            <w:tcW w:w="1040" w:type="dxa"/>
            <w:vAlign w:val="bottom"/>
            <w:tcBorders>
              <w:top w:val="single" w:sz="8" w:color="auto"/>
            </w:tcBorders>
          </w:tcPr>
          <w:p>
            <w:pPr>
              <w:spacing w:after="0"/>
              <w:rPr>
                <w:sz w:val="17"/>
                <w:szCs w:val="17"/>
                <w:color w:val="auto"/>
              </w:rPr>
            </w:pPr>
          </w:p>
        </w:tc>
      </w:tr>
      <w:tr>
        <w:trPr>
          <w:trHeight w:val="225"/>
        </w:trPr>
        <w:tc>
          <w:tcPr>
            <w:tcW w:w="4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0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19"/>
                <w:szCs w:val="19"/>
                <w:color w:val="auto"/>
              </w:rPr>
            </w:pPr>
          </w:p>
        </w:tc>
      </w:tr>
      <w:tr>
        <w:trPr>
          <w:trHeight w:val="234"/>
        </w:trPr>
        <w:tc>
          <w:tcPr>
            <w:tcW w:w="46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60" w:type="dxa"/>
            <w:vAlign w:val="bottom"/>
            <w:gridSpan w:val="2"/>
          </w:tcPr>
          <w:p>
            <w:pPr>
              <w:jc w:val="right"/>
              <w:ind w:right="690"/>
              <w:spacing w:after="0"/>
              <w:rPr>
                <w:sz w:val="20"/>
                <w:szCs w:val="20"/>
                <w:color w:val="auto"/>
              </w:rPr>
            </w:pPr>
            <w:r>
              <w:rPr>
                <w:rFonts w:ascii="Arial" w:cs="Arial" w:eastAsia="Arial" w:hAnsi="Arial"/>
                <w:sz w:val="16"/>
                <w:szCs w:val="16"/>
                <w:color w:val="auto"/>
              </w:rPr>
              <w:t>(millions)</w:t>
            </w: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11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53.3</w:t>
            </w:r>
          </w:p>
        </w:tc>
        <w:tc>
          <w:tcPr>
            <w:tcW w:w="11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67.8</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102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160" w:type="dxa"/>
            <w:vAlign w:val="bottom"/>
          </w:tcPr>
          <w:p>
            <w:pPr>
              <w:spacing w:after="0"/>
              <w:rPr>
                <w:sz w:val="19"/>
                <w:szCs w:val="19"/>
                <w:color w:val="auto"/>
              </w:rPr>
            </w:pP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2.3</w:t>
            </w:r>
          </w:p>
        </w:tc>
        <w:tc>
          <w:tcPr>
            <w:tcW w:w="11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trusts - equity securities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2.8</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1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58.4</w:t>
            </w:r>
          </w:p>
        </w:tc>
        <w:tc>
          <w:tcPr>
            <w:tcW w:w="11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64.1</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1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22.1</w:t>
            </w:r>
          </w:p>
        </w:tc>
        <w:tc>
          <w:tcPr>
            <w:tcW w:w="11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31.6</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Rabbi trust - equity securities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2.6</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4660" w:type="dxa"/>
            <w:vAlign w:val="bottom"/>
          </w:tcPr>
          <w:p>
            <w:pPr>
              <w:ind w:left="14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18.1</w:t>
            </w:r>
          </w:p>
        </w:tc>
        <w:tc>
          <w:tcPr>
            <w:tcW w:w="11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24.7</w:t>
            </w:r>
          </w:p>
        </w:tc>
        <w:tc>
          <w:tcPr>
            <w:tcW w:w="11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31.6</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Nuclear decommissioning trust - equity securities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1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51"/>
              <w:spacing w:after="0"/>
              <w:rPr>
                <w:sz w:val="20"/>
                <w:szCs w:val="20"/>
                <w:color w:val="auto"/>
              </w:rPr>
            </w:pPr>
            <w:r>
              <w:rPr>
                <w:rFonts w:ascii="Arial" w:cs="Arial" w:eastAsia="Arial" w:hAnsi="Arial"/>
                <w:sz w:val="18"/>
                <w:szCs w:val="18"/>
                <w:color w:val="auto"/>
              </w:rPr>
              <w:t>31.2</w:t>
            </w:r>
          </w:p>
        </w:tc>
        <w:tc>
          <w:tcPr>
            <w:tcW w:w="112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36.2</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Nuclear decommissioning trust - debt securities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1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2.3</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46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11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33.5</w:t>
            </w:r>
          </w:p>
        </w:tc>
        <w:tc>
          <w:tcPr>
            <w:tcW w:w="11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32.8</w:t>
            </w:r>
          </w:p>
        </w:tc>
        <w:tc>
          <w:tcPr>
            <w:tcW w:w="5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their operations are in substantial compliance with current federal, state and local environmental standards.</w:t>
      </w:r>
    </w:p>
    <w:p>
      <w:pPr>
        <w:spacing w:after="0" w:line="19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Cross-State Air Pollution Update Rule</w:t>
      </w:r>
    </w:p>
    <w:p>
      <w:pPr>
        <w:spacing w:after="0" w:line="16" w:lineRule="exact"/>
        <w:rPr>
          <w:sz w:val="20"/>
          <w:szCs w:val="20"/>
          <w:color w:val="auto"/>
        </w:rPr>
      </w:pPr>
    </w:p>
    <w:p>
      <w:pPr>
        <w:ind w:right="60"/>
        <w:spacing w:after="0"/>
        <w:rPr>
          <w:sz w:val="20"/>
          <w:szCs w:val="20"/>
          <w:color w:val="auto"/>
        </w:rPr>
      </w:pPr>
      <w:r>
        <w:rPr>
          <w:rFonts w:ascii="Arial" w:cs="Arial" w:eastAsia="Arial" w:hAnsi="Arial"/>
          <w:sz w:val="20"/>
          <w:szCs w:val="20"/>
          <w:color w:val="auto"/>
        </w:rPr>
        <w:t>In September 2016, the Environmental Protection Agency (EPA) finalized the Cross-State Air Pollution (CSAPR) Update Rule. The final rule addresses interstate transport of nitrogen oxides emissions in 22 states including Kansas, Missouri and Oklahoma during the ozone season and the impact from the formation of ozone on downwind states with respect to the 2008 ozone National Ambient Air Quality Standards (NAAQS). In December 2018, the EPA finalized a determination, known as the CSAPR Close-Out Rule, demonstrating the CSAPR Update Rule fully addressed certain upwind states' 2008 ozone NAAQS interstate transport obligations. Various states and others challenged both the CSAPR Update Rule and the CSAPR Close-Out Rule in the U.S. Court of Appeals for the D.C. Circuit (D.C. Circuit). In 2019, the D.C. Circuit granted these petitions and remanded a portion of the CSAPR Update Rule back to the EPA and vacated the CSAPR Close-Out Rule in its entirety.</w:t>
      </w:r>
    </w:p>
    <w:p>
      <w:pPr>
        <w:spacing w:after="0" w:line="196" w:lineRule="exact"/>
        <w:rPr>
          <w:sz w:val="20"/>
          <w:szCs w:val="20"/>
          <w:color w:val="auto"/>
        </w:rPr>
      </w:pPr>
    </w:p>
    <w:p>
      <w:pPr>
        <w:ind w:right="320"/>
        <w:spacing w:after="0" w:line="244" w:lineRule="auto"/>
        <w:rPr>
          <w:sz w:val="20"/>
          <w:szCs w:val="20"/>
          <w:color w:val="auto"/>
        </w:rPr>
      </w:pPr>
      <w:r>
        <w:rPr>
          <w:rFonts w:ascii="Arial" w:cs="Arial" w:eastAsia="Arial" w:hAnsi="Arial"/>
          <w:sz w:val="20"/>
          <w:szCs w:val="20"/>
          <w:color w:val="auto"/>
        </w:rPr>
        <w:t>In response to the remand by the D.C. Circuit, the EPA published the final Revised Cross-State Air Pollution Rule Update for the 2008 Ozone NAAQS in April 2021. The final rule finds that nine of the states that were subject to the CSAPR Update Rule do not significantly contribute to downwind states' nonattainment or maintenance issues during the ozone season and that there are no further reductions in allowance budgets for these states. These nine states are Alabama, Arkansas, Iowa, Kansas, Mississippi, Missouri, Oklahoma, Texas and Wisconsin. The Evergy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63" w:lineRule="exact"/>
        <w:rPr>
          <w:sz w:val="20"/>
          <w:szCs w:val="20"/>
          <w:color w:val="auto"/>
        </w:rPr>
      </w:pPr>
    </w:p>
    <w:p>
      <w:pPr>
        <w:ind w:right="580"/>
        <w:spacing w:after="0" w:line="356" w:lineRule="auto"/>
        <w:rPr>
          <w:sz w:val="20"/>
          <w:szCs w:val="20"/>
          <w:color w:val="auto"/>
        </w:rPr>
      </w:pPr>
      <w:r>
        <w:rPr>
          <w:rFonts w:ascii="Arial" w:cs="Arial" w:eastAsia="Arial" w:hAnsi="Arial"/>
          <w:sz w:val="20"/>
          <w:szCs w:val="20"/>
          <w:color w:val="auto"/>
        </w:rPr>
        <w:t>Companies will continue to monitor this rule as any future changes to their NO</w:t>
      </w:r>
      <w:r>
        <w:rPr>
          <w:rFonts w:ascii="Arial" w:cs="Arial" w:eastAsia="Arial" w:hAnsi="Arial"/>
          <w:sz w:val="25"/>
          <w:szCs w:val="25"/>
          <w:color w:val="auto"/>
          <w:vertAlign w:val="subscript"/>
        </w:rPr>
        <w:t>x</w:t>
      </w:r>
      <w:r>
        <w:rPr>
          <w:rFonts w:ascii="Arial" w:cs="Arial" w:eastAsia="Arial" w:hAnsi="Arial"/>
          <w:sz w:val="20"/>
          <w:szCs w:val="20"/>
          <w:color w:val="auto"/>
        </w:rPr>
        <w:t xml:space="preserve"> ozone season allowance allocations could be material. </w:t>
      </w:r>
      <w:r>
        <w:rPr>
          <w:rFonts w:ascii="Arial" w:cs="Arial" w:eastAsia="Arial" w:hAnsi="Arial"/>
          <w:sz w:val="20"/>
          <w:szCs w:val="20"/>
          <w:b w:val="1"/>
          <w:bCs w:val="1"/>
          <w:i w:val="1"/>
          <w:iCs w:val="1"/>
          <w:color w:val="auto"/>
        </w:rPr>
        <w:t>Regional Haze Rule</w:t>
      </w:r>
    </w:p>
    <w:p>
      <w:pPr>
        <w:spacing w:after="0" w:line="1"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color w:val="auto"/>
        </w:rPr>
        <w:t>In 1999, the EPA finalized the Regional Haze Rule which aims to restore national parks and wilderness areas to pristine conditions. The rule requires states in coordination with the EPA, the National Park Service, the U.S. Fish and Wildlife Service, the U.S. Forest Service, and other interested parties to develop and implement air quality protection plans to reduce the pollution that causes visibility impairment. There are 156 “Class I” areas across the U.S. that must be restored to pristine conditions by the year 2064. There are no Class I areas in Kansas, whereas Missouri has two: the Hercules-Glades Wilderness Area and the Mingo Wilderness Area. States must submit revisions to their Regional Haze Rule state implementation plans (SIPs) every ten years and the first round was due in 2007. For the second ten-year implementation period, the EPA issued a final rule revision in 2017 that allowed states to submit their SIP revisions by July 31, 2021. The Evergy Companies have been in contact with the Kansas Department of Health and Environmental (KDHE) and the Missouri Department of Natural Resources (MDNR) as they worked to draft their SIP revisions. The Kansas SIP revision was placed on public notice in June 2021 and requested no additional emission reductions by electric utilities based on the significant reductions that were achieved during the first implementation period. The EPA provided comments on the Kansas SIP revision in June 2021 that each state is statutorily required to conduct a “four-factor analysis” on at least two sources within the state to help determine if further emission reductions are necessary. The EPA also stated it would be difficult to approve the Kansas SIP revision if at least two four-factor analyses are not conducted on Kansas emission sources. These sources could be from the electric utility industry or others. The Missouri SIP revision is still being drafted and MDNR has indicated they do not expect to require any additional reductions from the Evergy Companies’ generating units in the state. If a generating unit of the Evergy Companies is selected for analysis there is a chance that the state or EPA, through a federal implementation plan, determines that additional operational or physical modifications are required on the generating unit to further reduce emissions. If the EPA believes these expenses to be cost effective, the modifications may be required. The overall cost of those modifications could be material to the Evergy Companies.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Greenhouse Gases</w:t>
      </w:r>
    </w:p>
    <w:p>
      <w:pPr>
        <w:spacing w:after="0" w:line="16" w:lineRule="exact"/>
        <w:rPr>
          <w:sz w:val="20"/>
          <w:szCs w:val="20"/>
          <w:color w:val="auto"/>
        </w:rPr>
      </w:pPr>
    </w:p>
    <w:p>
      <w:pPr>
        <w:ind w:right="740"/>
        <w:spacing w:after="0" w:line="214" w:lineRule="auto"/>
        <w:rPr>
          <w:sz w:val="20"/>
          <w:szCs w:val="20"/>
          <w:color w:val="auto"/>
        </w:rPr>
      </w:pPr>
      <w:r>
        <w:rPr>
          <w:rFonts w:ascii="Arial" w:cs="Arial" w:eastAsia="Arial" w:hAnsi="Arial"/>
          <w:sz w:val="20"/>
          <w:szCs w:val="20"/>
          <w:color w:val="auto"/>
        </w:rPr>
        <w:t>Burning coal and other fossil fuels releases carbon dioxide (CO</w:t>
      </w:r>
      <w:r>
        <w:rPr>
          <w:rFonts w:ascii="Arial" w:cs="Arial" w:eastAsia="Arial" w:hAnsi="Arial"/>
          <w:sz w:val="25"/>
          <w:szCs w:val="25"/>
          <w:color w:val="auto"/>
          <w:vertAlign w:val="subscript"/>
        </w:rPr>
        <w:t>2</w:t>
      </w:r>
      <w:r>
        <w:rPr>
          <w:rFonts w:ascii="Arial" w:cs="Arial" w:eastAsia="Arial" w:hAnsi="Arial"/>
          <w:sz w:val="20"/>
          <w:szCs w:val="20"/>
          <w:color w:val="auto"/>
        </w:rPr>
        <w:t>) and other gases referred to as greenhouse gases (GHG). Various regulations under the federal Clean Air Act Amendments of 1990 (CAA) limit CO</w:t>
      </w:r>
      <w:r>
        <w:rPr>
          <w:rFonts w:ascii="Arial" w:cs="Arial" w:eastAsia="Arial" w:hAnsi="Arial"/>
          <w:sz w:val="25"/>
          <w:szCs w:val="25"/>
          <w:color w:val="auto"/>
          <w:vertAlign w:val="subscript"/>
        </w:rPr>
        <w:t>2</w:t>
      </w:r>
      <w:r>
        <w:rPr>
          <w:rFonts w:ascii="Arial" w:cs="Arial" w:eastAsia="Arial" w:hAnsi="Arial"/>
          <w:sz w:val="20"/>
          <w:szCs w:val="20"/>
          <w:color w:val="auto"/>
        </w:rPr>
        <w:t xml:space="preserve"> and other GHG emissions, and in addition, other measures are being imposed or offered by individual states, municipalities and regional agreements with the goal of reducing GHG emissions.</w:t>
      </w:r>
    </w:p>
    <w:p>
      <w:pPr>
        <w:spacing w:after="0" w:line="19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July 2019, the EPA published the final Affordable Clean Energy (ACE) rule in the Federal Register. This rule contained (1) emission guidelines for GHG emissions from existing electric utility generating units (EGUs) and (2) revisions to emission guideline implementing regulations. This rule defined the "best system of emission reduction" (BSER) for GHG emissions from existing coal-fired EGUs as on-site, heat-rate efficiency improvements. The final rule also provided states with a list of candidate technologies that can be used to establish standards of performance and incorporate these performance standards into state plans. In conjunction with the finalization of the ACE rule, the EPA repealed its previously adopted Clean Power Plan (CPP). In January 2021, the D.C. Circuit vacated and remanded the ACE rule back to the EPA. In February 2021, the D.C. Circuit granted a motion filed by the EPA for a partial stay of its January 2021 vacatur discussed above. The partial stay leaves the vacatur of the ACE rule in place while staying the mandate that vacates the repeal of the CPP. As a result of the partial stay, neither the ACE rule nor the CPP will be in effect while the EPA forms a new rule to regulate GHG emissions. In April 2021, 18 states filed a petition for a writ of certiorari to the Supreme Court requesting review of the D.C. Circuit ruling.</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Due to uncertainty regarding the future of the ACE rule or other potential GHG regulations, the Evergy Companies cannot determine the impact of the rule on their operations or consolidated financial results, but the cost to comply with the ACE rule or other potential GHG rules, could be material.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w:t>
      </w:r>
    </w:p>
    <w:p>
      <w:pPr>
        <w:spacing w:after="0" w:line="16" w:lineRule="exact"/>
        <w:rPr>
          <w:sz w:val="20"/>
          <w:szCs w:val="20"/>
          <w:color w:val="auto"/>
        </w:rPr>
      </w:pPr>
    </w:p>
    <w:p>
      <w:pPr>
        <w:ind w:right="20"/>
        <w:spacing w:after="0"/>
        <w:rPr>
          <w:sz w:val="20"/>
          <w:szCs w:val="20"/>
          <w:color w:val="auto"/>
        </w:rPr>
      </w:pPr>
      <w:r>
        <w:rPr>
          <w:rFonts w:ascii="Arial" w:cs="Arial" w:eastAsia="Arial" w:hAnsi="Arial"/>
          <w:sz w:val="20"/>
          <w:szCs w:val="20"/>
          <w:color w:val="auto"/>
        </w:rPr>
        <w:t>The Evergy Companies discharge some of the water used in generation and other operations containing substances deemed to be pollutants. A November 2015 EPA rule applicable to steam-electric power generating plants establishes effluent limitations guidelines (ELG) and standards for wastewater discharges, including limits on the amount of toxic metals and other pollutants that can be discharged. Implementation timelines for this 2015 rule vary from 2018 to 2023. In April 2019, the U.S. Court of Appeals for the 5th Circuit (5th Circuit) issued a ruling that vacates and remands portions of the original ELG rule. Due to this ruling, the EPA announced a plan in July 2021 to release a proposed rulemaking in September 2022 to address the vacated limitations for legacy wastewater and landfill leachate. Future ELG modifications for the best available technology economically achievable for the discharge of legacy wastewater and leachate are likely and could be material.</w:t>
      </w:r>
    </w:p>
    <w:p>
      <w:pPr>
        <w:spacing w:after="0" w:line="196"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In October 2020, the EPA published the final ELG reconsideration rule. This rule adjusts numeric limits for flue gas desulfurization (FGD) wastewater and adds a 10% volumetric purge limit for bottom ash transport water. The timeline for final FGD wastewater compliance is as soon as possible on or after one year following publication of the final rule in the Federal Register but no later than December 31, 2025. In August 2021, the EPA published notice in the Federal Register that it will undertake a supplemental rulemaking to revise the ELG regulations after completing its review of the reconsideration rule as a result of an executive order from President Biden. As part of the rulemaking process, the EPA will determine if more stringent limitations and standards are appropriate. The 2020 ELG reconsideration rules will remain in effect while the EPA undertakes this new rulemaking.</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Evergy Companies have reviewed the 2020 ELG reconsideration regulation, and the costs to comply with these changes are not expected to be material. However, the Evergy Companies cannot predict what revisions the EPA may make under its July 2021 announcement to revise the ELG regulations and compliance costs associated with any revisions could be material.</w:t>
      </w:r>
    </w:p>
    <w:p>
      <w:pPr>
        <w:spacing w:after="0" w:line="186"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In July 2021, the EPA and the Department of the Army released a pre-publication version of a notice announcing their intent to revise the definition of "Waters of the United States." After reviewing the Navigable Waters Protection Rule as directed by President Biden's administration, the EPA and Department of the Army have determined a need to revise the definition to prevent environmental degradation. The Evergy Companies cannot predict the outcome of any new rulemaking but will be monitoring proposals on this topic for any impact to operations.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Coal Combustion Residuals</w:t>
      </w:r>
    </w:p>
    <w:p>
      <w:pPr>
        <w:spacing w:after="0" w:line="16"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In the course of operating their coal generation plants, the Evergy Companies produce coal combustion residuals (CCRs), including fly ash, gypsum and bottom ash. The EPA published a rule to regulate CCRs in April 2015 that requires additional CCR handling, processing and storage equipment and closure of certain ash disposal units.</w:t>
      </w:r>
    </w:p>
    <w:p>
      <w:pPr>
        <w:spacing w:after="0" w:line="196"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In March 2019, the D.C. Circuit issued a ruling to grant the EPA's request to remand the Phase I, Part I CCR rule in response to a prior court ruling requiring the EPA to address un-lined surface impoundment closure requirements. In August 2020, the EPA published the Part A CCR Rule. This rule reclassified clay-lined surface impoundments from "lined" to "un-lined" and established a deadline of April 11, 2021 to initiate closure. In November 2020, the EPA published the final Part B CCR Rule. This rule includes a process to allow un-lined impoundments to continue to operate if a demonstration is made to prove that the un-lined impoundments are not adversely impacting groundwater, human health or the environment. The Evergy Companies initiated closure of all un-lined impoundments by the deadline in the Part A CCR rule and therefore the Part B CCR rule is not expected to have a material impact.</w:t>
      </w:r>
    </w:p>
    <w:p>
      <w:pPr>
        <w:spacing w:after="0" w:line="185"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The Evergy Companies have recorded Asset Retirement Obligations (ARO) for their current estimates for the closure of ash disposal ponds, but the revision of these AROs may be required in the future due to changes in existing CCR regulations, the results of groundwater monitoring of CCR units or changes in interpretation of existing CCR regulations or changes in the timing or cost to close ash disposal ponds. If revisions to these AROs are necessary, the impact on the Evergy Companies' operations or consolidated financial results could be material.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RELATED PARTY TRANSACTIONS AND RELATIONSHIPS</w:t>
      </w:r>
    </w:p>
    <w:p>
      <w:pPr>
        <w:spacing w:after="0" w:line="114"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In the normal course of business, Evergy Kansas Central, Evergy Metro and Evergy Missouri West engage in related party transactions with one another. A summary of these transactions and the amounts associated with them is provided below.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Jointly-Owned Plants and Shared Services</w:t>
      </w:r>
    </w:p>
    <w:p>
      <w:pPr>
        <w:spacing w:after="0" w:line="22" w:lineRule="exact"/>
        <w:rPr>
          <w:sz w:val="20"/>
          <w:szCs w:val="20"/>
          <w:color w:val="auto"/>
        </w:rPr>
      </w:pPr>
    </w:p>
    <w:p>
      <w:pPr>
        <w:jc w:val="both"/>
        <w:ind w:right="100"/>
        <w:spacing w:after="0" w:line="299" w:lineRule="auto"/>
        <w:rPr>
          <w:sz w:val="20"/>
          <w:szCs w:val="20"/>
          <w:color w:val="auto"/>
        </w:rPr>
      </w:pPr>
      <w:r>
        <w:rPr>
          <w:rFonts w:ascii="Arial" w:cs="Arial" w:eastAsia="Arial" w:hAnsi="Arial"/>
          <w:sz w:val="16"/>
          <w:szCs w:val="16"/>
          <w:color w:val="auto"/>
        </w:rPr>
        <w:t>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w:t>
      </w:r>
    </w:p>
    <w:p>
      <w:pPr>
        <w:spacing w:after="0" w:line="1" w:lineRule="exact"/>
        <w:rPr>
          <w:sz w:val="20"/>
          <w:szCs w:val="20"/>
          <w:color w:val="auto"/>
        </w:rPr>
      </w:pPr>
    </w:p>
    <w:p>
      <w:pPr>
        <w:ind w:right="480"/>
        <w:spacing w:after="0" w:line="244" w:lineRule="auto"/>
        <w:rPr>
          <w:sz w:val="20"/>
          <w:szCs w:val="20"/>
          <w:color w:val="auto"/>
        </w:rPr>
      </w:pPr>
      <w:r>
        <w:rPr>
          <w:rFonts w:ascii="Arial" w:cs="Arial" w:eastAsia="Arial" w:hAnsi="Arial"/>
          <w:sz w:val="20"/>
          <w:szCs w:val="20"/>
          <w:color w:val="auto"/>
        </w:rPr>
        <w:t>Employees of Evergy Metro and Evergy Kansas Central also provide one another with shared service support, including costs related to human resources, information technology, accounting and legal services.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operating expenses and capital costs billed for jointly-owned plants and shared services are detailed in the following table.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left="1110"/>
              <w:spacing w:after="0" w:line="202" w:lineRule="exact"/>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left="370"/>
              <w:spacing w:after="0" w:line="202" w:lineRule="exact"/>
              <w:rPr>
                <w:sz w:val="20"/>
                <w:szCs w:val="20"/>
                <w:color w:val="auto"/>
              </w:rPr>
            </w:pPr>
            <w:r>
              <w:rPr>
                <w:rFonts w:ascii="Arial" w:cs="Arial" w:eastAsia="Arial" w:hAnsi="Arial"/>
                <w:sz w:val="18"/>
                <w:szCs w:val="18"/>
                <w:b w:val="1"/>
                <w:bCs w:val="1"/>
                <w:color w:val="auto"/>
                <w:w w:val="91"/>
              </w:rPr>
              <w:t>Year to Date</w:t>
            </w:r>
          </w:p>
        </w:tc>
        <w:tc>
          <w:tcPr>
            <w:tcW w:w="860" w:type="dxa"/>
            <w:vAlign w:val="bottom"/>
            <w:tcBorders>
              <w:top w:val="single" w:sz="8" w:color="auto"/>
            </w:tcBorders>
          </w:tcPr>
          <w:p>
            <w:pPr>
              <w:spacing w:after="0"/>
              <w:rPr>
                <w:sz w:val="17"/>
                <w:szCs w:val="17"/>
                <w:color w:val="auto"/>
              </w:rPr>
            </w:pPr>
          </w:p>
        </w:tc>
      </w:tr>
      <w:tr>
        <w:trPr>
          <w:trHeight w:val="225"/>
        </w:trPr>
        <w:tc>
          <w:tcPr>
            <w:tcW w:w="49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38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9"/>
              </w:rPr>
              <w:t>June 30</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89"/>
              </w:rPr>
              <w:t>June 30</w:t>
            </w:r>
          </w:p>
        </w:tc>
        <w:tc>
          <w:tcPr>
            <w:tcW w:w="860" w:type="dxa"/>
            <w:vAlign w:val="bottom"/>
          </w:tcPr>
          <w:p>
            <w:pPr>
              <w:spacing w:after="0"/>
              <w:rPr>
                <w:sz w:val="19"/>
                <w:szCs w:val="19"/>
                <w:color w:val="auto"/>
              </w:rPr>
            </w:pPr>
          </w:p>
        </w:tc>
      </w:tr>
      <w:tr>
        <w:trPr>
          <w:trHeight w:val="234"/>
        </w:trPr>
        <w:tc>
          <w:tcPr>
            <w:tcW w:w="4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2020</w:t>
            </w:r>
          </w:p>
        </w:tc>
      </w:tr>
      <w:tr>
        <w:trPr>
          <w:trHeight w:val="206"/>
        </w:trPr>
        <w:tc>
          <w:tcPr>
            <w:tcW w:w="4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Missouri West</w:t>
            </w:r>
          </w:p>
        </w:tc>
        <w:tc>
          <w:tcPr>
            <w:tcW w:w="16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9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1"/>
              </w:rPr>
              <w:t>10.0</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Evergy Metro billings to Evergy Missouri West</w:t>
            </w:r>
          </w:p>
        </w:tc>
        <w:tc>
          <w:tcPr>
            <w:tcW w:w="162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w w:val="91"/>
              </w:rPr>
              <w:t>33.1</w:t>
            </w:r>
          </w:p>
        </w:tc>
        <w:tc>
          <w:tcPr>
            <w:tcW w:w="920" w:type="dxa"/>
            <w:vAlign w:val="bottom"/>
          </w:tcPr>
          <w:p>
            <w:pPr>
              <w:spacing w:after="0"/>
              <w:rPr>
                <w:sz w:val="19"/>
                <w:szCs w:val="19"/>
                <w:color w:val="auto"/>
              </w:rPr>
            </w:pPr>
          </w:p>
        </w:tc>
        <w:tc>
          <w:tcPr>
            <w:tcW w:w="480" w:type="dxa"/>
            <w:vAlign w:val="bottom"/>
          </w:tcPr>
          <w:p>
            <w:pPr>
              <w:jc w:val="right"/>
              <w:ind w:right="52"/>
              <w:spacing w:after="0"/>
              <w:rPr>
                <w:sz w:val="20"/>
                <w:szCs w:val="20"/>
                <w:color w:val="auto"/>
              </w:rPr>
            </w:pPr>
            <w:r>
              <w:rPr>
                <w:rFonts w:ascii="Arial" w:cs="Arial" w:eastAsia="Arial" w:hAnsi="Arial"/>
                <w:sz w:val="18"/>
                <w:szCs w:val="18"/>
                <w:color w:val="auto"/>
                <w:w w:val="91"/>
              </w:rPr>
              <w:t>36.0</w:t>
            </w:r>
          </w:p>
        </w:tc>
        <w:tc>
          <w:tcPr>
            <w:tcW w:w="4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Evergy Kansas Central billings to Evergy Metro</w:t>
            </w:r>
          </w:p>
        </w:tc>
        <w:tc>
          <w:tcPr>
            <w:tcW w:w="16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7"/>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Evergy Metro billings to Evergy Kansas Central</w:t>
            </w:r>
          </w:p>
        </w:tc>
        <w:tc>
          <w:tcPr>
            <w:tcW w:w="16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1"/>
              </w:rPr>
              <w:t>28.2</w:t>
            </w: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1"/>
              </w:rPr>
              <w:t>19.5</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w:t>
            </w: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Money Pool</w:t>
      </w:r>
    </w:p>
    <w:p>
      <w:pPr>
        <w:spacing w:after="0" w:line="22" w:lineRule="exact"/>
        <w:rPr>
          <w:sz w:val="20"/>
          <w:szCs w:val="20"/>
          <w:color w:val="auto"/>
        </w:rPr>
      </w:pPr>
    </w:p>
    <w:p>
      <w:pPr>
        <w:ind w:right="100"/>
        <w:spacing w:after="0" w:line="255" w:lineRule="auto"/>
        <w:rPr>
          <w:sz w:val="20"/>
          <w:szCs w:val="20"/>
          <w:color w:val="auto"/>
        </w:rPr>
      </w:pPr>
      <w:r>
        <w:rPr>
          <w:rFonts w:ascii="Arial" w:cs="Arial" w:eastAsia="Arial" w:hAnsi="Arial"/>
          <w:sz w:val="19"/>
          <w:szCs w:val="19"/>
          <w:color w:val="auto"/>
        </w:rPr>
        <w:t>Evergy Metro and Evergy Missouri West are authorized to participate in the Evergy, Inc. money pool, which is an internal financing arrangement in which funds may be lent on a short-term basis to Evergy Metro and Evergy Missouri West from Evergy, Inc. and between Evergy Metro and Evergy Missouri West. At June 30, 2021, Evergy Metro had a $95.0 million outstanding receivable from Evergy Missouri West and no outstanding payables under the money pool. At December 31, 2020, Evergy Metro had a $100.0 million outstanding receivable from Evergy Missouri West and no outstanding payables under the money pool. In July 2021, the Evergy, Inc. money pool was amended to include Evergy Kansas Central and Evergy Kansas South as participants.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Net Receivables and Payables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and Evergy Metro's related party net receivables and payables.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20" w:type="dxa"/>
            <w:vAlign w:val="bottom"/>
            <w:tcBorders>
              <w:top w:val="single" w:sz="8" w:color="auto"/>
            </w:tcBorders>
          </w:tcPr>
          <w:p>
            <w:pPr>
              <w:spacing w:after="0"/>
              <w:rPr>
                <w:sz w:val="21"/>
                <w:szCs w:val="21"/>
                <w:color w:val="auto"/>
              </w:rPr>
            </w:pPr>
          </w:p>
        </w:tc>
        <w:tc>
          <w:tcPr>
            <w:tcW w:w="3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5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4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w:t>
            </w:r>
          </w:p>
        </w:tc>
        <w:tc>
          <w:tcPr>
            <w:tcW w:w="34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Net payable to Evergy Metro</w:t>
            </w:r>
          </w:p>
        </w:tc>
        <w:tc>
          <w:tcPr>
            <w:tcW w:w="3440" w:type="dxa"/>
            <w:vAlign w:val="bottom"/>
          </w:tcPr>
          <w:p>
            <w:pPr>
              <w:spacing w:after="0"/>
              <w:rPr>
                <w:sz w:val="19"/>
                <w:szCs w:val="19"/>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w w:val="97"/>
              </w:rPr>
              <w:t>(23.5)</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34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10.4</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56"/>
        </w:trPr>
        <w:tc>
          <w:tcPr>
            <w:tcW w:w="55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3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Net receivable from Evergy</w:t>
            </w:r>
          </w:p>
        </w:tc>
        <w:tc>
          <w:tcPr>
            <w:tcW w:w="344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71"/>
              <w:spacing w:after="0"/>
              <w:rPr>
                <w:sz w:val="20"/>
                <w:szCs w:val="20"/>
                <w:color w:val="auto"/>
              </w:rPr>
            </w:pPr>
            <w:r>
              <w:rPr>
                <w:rFonts w:ascii="Arial" w:cs="Arial" w:eastAsia="Arial" w:hAnsi="Arial"/>
                <w:sz w:val="18"/>
                <w:szCs w:val="18"/>
                <w:color w:val="auto"/>
              </w:rPr>
              <w:t>16.4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receivable from Evergy Kansas Central</w:t>
            </w:r>
          </w:p>
        </w:tc>
        <w:tc>
          <w:tcPr>
            <w:tcW w:w="34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23.5</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36"/>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receivable from Evergy Missouri West</w:t>
            </w:r>
          </w:p>
        </w:tc>
        <w:tc>
          <w:tcPr>
            <w:tcW w:w="3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88"/>
              </w:rPr>
              <w:t>183.9</w:t>
            </w: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Allocation Agreement</w:t>
      </w:r>
    </w:p>
    <w:p>
      <w:pPr>
        <w:spacing w:after="0" w:line="22"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740" w:type="dxa"/>
            <w:vAlign w:val="bottom"/>
            <w:tcBorders>
              <w:top w:val="single" w:sz="8" w:color="auto"/>
            </w:tcBorders>
          </w:tcPr>
          <w:p>
            <w:pPr>
              <w:spacing w:after="0"/>
              <w:rPr>
                <w:sz w:val="21"/>
                <w:szCs w:val="21"/>
                <w:color w:val="auto"/>
              </w:rPr>
            </w:pPr>
          </w:p>
        </w:tc>
        <w:tc>
          <w:tcPr>
            <w:tcW w:w="3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7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receivable from Evergy</w:t>
            </w:r>
          </w:p>
        </w:tc>
        <w:tc>
          <w:tcPr>
            <w:tcW w:w="32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rPr>
              <w:t>41.3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57"/>
        </w:trPr>
        <w:tc>
          <w:tcPr>
            <w:tcW w:w="57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3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 receivable from (payable to) Evergy</w:t>
            </w:r>
          </w:p>
        </w:tc>
        <w:tc>
          <w:tcPr>
            <w:tcW w:w="32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Evergy Metro leases certain transmission equipment from Evergy Kansas Central. This lease was entered into prior to the merger in an arms-length transaction and is accounted for as an operating lease. The right-of-use asset related to this lease is recorded within other long-term assets and the current and long-term lease liabilities are recorded within other current liabilities and other long-term liabilities, respectively, on the consolidated balance sheet. The assets and liabilities related to this lease between Evergy Kansas Central and Evergy Metro are eliminated at consolidated Evergy. The following table summarizes Evergy Metro's right-of-use assets and related liabilities on its consolidated balance sheet.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0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tcPr>
          <w:p>
            <w:pPr>
              <w:jc w:val="center"/>
              <w:ind w:left="2210"/>
              <w:spacing w:after="0"/>
              <w:rPr>
                <w:sz w:val="20"/>
                <w:szCs w:val="20"/>
                <w:color w:val="auto"/>
              </w:rPr>
            </w:pPr>
            <w:r>
              <w:rPr>
                <w:rFonts w:ascii="Arial" w:cs="Arial" w:eastAsia="Arial" w:hAnsi="Arial"/>
                <w:sz w:val="18"/>
                <w:szCs w:val="18"/>
                <w:b w:val="1"/>
                <w:bCs w:val="1"/>
                <w:color w:val="auto"/>
                <w:w w:val="86"/>
              </w:rPr>
              <w:t>June 30</w:t>
            </w:r>
          </w:p>
        </w:tc>
        <w:tc>
          <w:tcPr>
            <w:tcW w:w="5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0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30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 recorded within other long-term assets</w:t>
            </w:r>
          </w:p>
        </w:tc>
        <w:tc>
          <w:tcPr>
            <w:tcW w:w="300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28.6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Lease liability recorded in other current liabilities</w:t>
            </w:r>
          </w:p>
        </w:tc>
        <w:tc>
          <w:tcPr>
            <w:tcW w:w="3000" w:type="dxa"/>
            <w:vAlign w:val="bottom"/>
          </w:tcPr>
          <w:p>
            <w:pPr>
              <w:spacing w:after="0"/>
              <w:rPr>
                <w:sz w:val="19"/>
                <w:szCs w:val="19"/>
                <w:color w:val="auto"/>
              </w:rPr>
            </w:pP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Lease liability recorded in other long-term liabilities</w:t>
            </w:r>
          </w:p>
        </w:tc>
        <w:tc>
          <w:tcPr>
            <w:tcW w:w="30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27.9</w:t>
            </w:r>
          </w:p>
        </w:tc>
        <w:tc>
          <w:tcPr>
            <w:tcW w:w="3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SHAREHOLDERS' EQUITY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Bluescape Energy Partners, LLC (Bluescape) Securities Purchase Agreement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In February 2021, Evergy entered into a securities purchase agreement with an affiliate of Bluescape. Pursuant to the securities purchase agreement, an affiliate of Bluescape agreed to purchase 2,269,447 shares of Evergy’s common stock for approximately $113.2 million and to receive a warrant to purchase up to 3,950,000 additional shares of Evergy’s common stock. Under the terms of the warrant, Evergy will have the option to elect a net cash settlement with respect to the exercise of the warrant under certain circumstances, or to net settle in shares of Evergy's common stock. The warrant expires three years from issuance and has an exercise price equal to $64.70 per share. Following the satisfaction of customary closing conditions, Evergy completed the sale of its common stock and warrant to the affiliate of Bluescape in April 2021 for $112.5 million, net of issuance costs of $0.7 million. The Executive Chairman of Bluescape, C. John Wilder, joined the Evergy Board in March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TAXES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tax expense are detailed in the following tables.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3"/>
          </w:tcPr>
          <w:p>
            <w:pPr>
              <w:jc w:val="center"/>
              <w:ind w:left="410"/>
              <w:spacing w:after="0" w:line="182" w:lineRule="exact"/>
              <w:rPr>
                <w:sz w:val="20"/>
                <w:szCs w:val="20"/>
                <w:color w:val="auto"/>
              </w:rPr>
            </w:pPr>
            <w:r>
              <w:rPr>
                <w:rFonts w:ascii="Arial" w:cs="Arial" w:eastAsia="Arial" w:hAnsi="Arial"/>
                <w:sz w:val="18"/>
                <w:szCs w:val="18"/>
                <w:b w:val="1"/>
                <w:bCs w:val="1"/>
                <w:color w:val="auto"/>
                <w:w w:val="90"/>
              </w:rPr>
              <w:t>Three Months Ended</w:t>
            </w:r>
          </w:p>
        </w:tc>
        <w:tc>
          <w:tcPr>
            <w:tcW w:w="5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2"/>
          </w:tcPr>
          <w:p>
            <w:pPr>
              <w:ind w:left="580"/>
              <w:spacing w:after="0" w:line="182" w:lineRule="exact"/>
              <w:rPr>
                <w:sz w:val="20"/>
                <w:szCs w:val="20"/>
                <w:color w:val="auto"/>
              </w:rPr>
            </w:pPr>
            <w:r>
              <w:rPr>
                <w:rFonts w:ascii="Arial" w:cs="Arial" w:eastAsia="Arial" w:hAnsi="Arial"/>
                <w:sz w:val="18"/>
                <w:szCs w:val="18"/>
                <w:b w:val="1"/>
                <w:bCs w:val="1"/>
                <w:color w:val="auto"/>
                <w:w w:val="98"/>
              </w:rPr>
              <w:t>Year to Date</w:t>
            </w:r>
          </w:p>
        </w:tc>
        <w:tc>
          <w:tcPr>
            <w:tcW w:w="960" w:type="dxa"/>
            <w:vAlign w:val="bottom"/>
            <w:tcBorders>
              <w:top w:val="single" w:sz="8" w:color="auto"/>
            </w:tcBorders>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6"/>
              </w:rPr>
              <w:t>June 30</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ind w:left="80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10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(21.0)</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(2.4)</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(0.5)</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(27.9)</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5.5</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15.0</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32.7</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3.2</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18.2</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39.7</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(3.0)</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(2.6)</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19.6</w:t>
            </w:r>
          </w:p>
        </w:tc>
        <w:tc>
          <w:tcPr>
            <w:tcW w:w="10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42.6</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r>
      <w:tr>
        <w:trPr>
          <w:trHeight w:val="47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76"/>
        </w:trPr>
        <w:tc>
          <w:tcPr>
            <w:tcW w:w="5200" w:type="dxa"/>
            <w:vAlign w:val="bottom"/>
          </w:tcPr>
          <w:p>
            <w:pPr>
              <w:spacing w:after="0"/>
              <w:rPr>
                <w:sz w:val="15"/>
                <w:szCs w:val="15"/>
                <w:color w:val="auto"/>
              </w:rPr>
            </w:pPr>
          </w:p>
        </w:tc>
        <w:tc>
          <w:tcPr>
            <w:tcW w:w="2520" w:type="dxa"/>
            <w:vAlign w:val="bottom"/>
            <w:gridSpan w:val="3"/>
          </w:tcPr>
          <w:p>
            <w:pPr>
              <w:jc w:val="center"/>
              <w:ind w:left="410"/>
              <w:spacing w:after="0" w:line="176" w:lineRule="exact"/>
              <w:rPr>
                <w:sz w:val="20"/>
                <w:szCs w:val="20"/>
                <w:color w:val="auto"/>
              </w:rPr>
            </w:pPr>
            <w:r>
              <w:rPr>
                <w:rFonts w:ascii="Arial" w:cs="Arial" w:eastAsia="Arial" w:hAnsi="Arial"/>
                <w:sz w:val="18"/>
                <w:szCs w:val="18"/>
                <w:b w:val="1"/>
                <w:bCs w:val="1"/>
                <w:color w:val="auto"/>
                <w:w w:val="90"/>
              </w:rPr>
              <w:t>Three Months Ended</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40" w:type="dxa"/>
            <w:vAlign w:val="bottom"/>
            <w:gridSpan w:val="2"/>
          </w:tcPr>
          <w:p>
            <w:pPr>
              <w:ind w:left="580"/>
              <w:spacing w:after="0" w:line="176" w:lineRule="exact"/>
              <w:rPr>
                <w:sz w:val="20"/>
                <w:szCs w:val="20"/>
                <w:color w:val="auto"/>
              </w:rPr>
            </w:pPr>
            <w:r>
              <w:rPr>
                <w:rFonts w:ascii="Arial" w:cs="Arial" w:eastAsia="Arial" w:hAnsi="Arial"/>
                <w:sz w:val="18"/>
                <w:szCs w:val="18"/>
                <w:b w:val="1"/>
                <w:bCs w:val="1"/>
                <w:color w:val="auto"/>
                <w:w w:val="98"/>
              </w:rPr>
              <w:t>Year to Date</w:t>
            </w:r>
          </w:p>
        </w:tc>
        <w:tc>
          <w:tcPr>
            <w:tcW w:w="960" w:type="dxa"/>
            <w:vAlign w:val="bottom"/>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86"/>
              </w:rPr>
              <w:t>June 30</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ind w:left="80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12.0</w:t>
            </w:r>
          </w:p>
        </w:tc>
        <w:tc>
          <w:tcPr>
            <w:tcW w:w="10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0.3</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(18.6)</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0.6</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150.2</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2.9</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139.8</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Investment tax credit</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2735FF"/>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2735FF"/>
              </w:rPr>
              <w:t>—</w:t>
            </w:r>
          </w:p>
        </w:tc>
      </w:tr>
      <w:tr>
        <w:trPr>
          <w:trHeight w:val="23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Amortization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(2.2)</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(1.8)</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52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6.5</w:t>
            </w:r>
          </w:p>
        </w:tc>
        <w:tc>
          <w:tcPr>
            <w:tcW w:w="10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118.9</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23.1</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Metro</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Borders>
              <w:top w:val="single" w:sz="8" w:color="auto"/>
            </w:tcBorders>
          </w:tcPr>
          <w:p>
            <w:pPr>
              <w:spacing w:after="0"/>
              <w:rPr>
                <w:sz w:val="15"/>
                <w:szCs w:val="15"/>
                <w:color w:val="auto"/>
              </w:rPr>
            </w:pPr>
          </w:p>
        </w:tc>
        <w:tc>
          <w:tcPr>
            <w:tcW w:w="2520" w:type="dxa"/>
            <w:vAlign w:val="bottom"/>
            <w:tcBorders>
              <w:top w:val="single" w:sz="8" w:color="auto"/>
            </w:tcBorders>
            <w:gridSpan w:val="3"/>
          </w:tcPr>
          <w:p>
            <w:pPr>
              <w:jc w:val="right"/>
              <w:ind w:right="110"/>
              <w:spacing w:after="0" w:line="182" w:lineRule="exact"/>
              <w:rPr>
                <w:sz w:val="20"/>
                <w:szCs w:val="20"/>
                <w:color w:val="auto"/>
              </w:rPr>
            </w:pPr>
            <w:r>
              <w:rPr>
                <w:rFonts w:ascii="Arial" w:cs="Arial" w:eastAsia="Arial" w:hAnsi="Arial"/>
                <w:sz w:val="18"/>
                <w:szCs w:val="18"/>
                <w:b w:val="1"/>
                <w:bCs w:val="1"/>
                <w:color w:val="auto"/>
              </w:rPr>
              <w:t>Three Months Ended</w:t>
            </w:r>
          </w:p>
        </w:tc>
        <w:tc>
          <w:tcPr>
            <w:tcW w:w="5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2"/>
          </w:tcPr>
          <w:p>
            <w:pPr>
              <w:jc w:val="right"/>
              <w:ind w:right="10"/>
              <w:spacing w:after="0" w:line="182" w:lineRule="exact"/>
              <w:rPr>
                <w:sz w:val="20"/>
                <w:szCs w:val="20"/>
                <w:color w:val="auto"/>
              </w:rPr>
            </w:pPr>
            <w:r>
              <w:rPr>
                <w:rFonts w:ascii="Arial" w:cs="Arial" w:eastAsia="Arial" w:hAnsi="Arial"/>
                <w:sz w:val="18"/>
                <w:szCs w:val="18"/>
                <w:b w:val="1"/>
                <w:bCs w:val="1"/>
                <w:color w:val="auto"/>
              </w:rPr>
              <w:t>Year to Date</w:t>
            </w:r>
          </w:p>
        </w:tc>
        <w:tc>
          <w:tcPr>
            <w:tcW w:w="960" w:type="dxa"/>
            <w:vAlign w:val="bottom"/>
            <w:tcBorders>
              <w:top w:val="single" w:sz="8" w:color="auto"/>
            </w:tcBorders>
          </w:tcPr>
          <w:p>
            <w:pPr>
              <w:spacing w:after="0"/>
              <w:rPr>
                <w:sz w:val="15"/>
                <w:szCs w:val="15"/>
                <w:color w:val="auto"/>
              </w:rPr>
            </w:pPr>
          </w:p>
        </w:tc>
      </w:tr>
      <w:tr>
        <w:trPr>
          <w:trHeight w:val="225"/>
        </w:trPr>
        <w:tc>
          <w:tcPr>
            <w:tcW w:w="5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19"/>
                <w:szCs w:val="19"/>
                <w:color w:val="auto"/>
              </w:rPr>
            </w:pPr>
          </w:p>
        </w:tc>
      </w:tr>
      <w:tr>
        <w:trPr>
          <w:trHeight w:val="234"/>
        </w:trPr>
        <w:tc>
          <w:tcPr>
            <w:tcW w:w="5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0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48.1</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49.3</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(37.3)</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r>
      <w:tr>
        <w:trPr>
          <w:trHeight w:val="223"/>
        </w:trPr>
        <w:tc>
          <w:tcPr>
            <w:tcW w:w="52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(11.1)</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Investment tax credit amortization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(0.3)</w:t>
            </w: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12.1</w:t>
            </w:r>
          </w:p>
        </w:tc>
        <w:tc>
          <w:tcPr>
            <w:tcW w:w="10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(22.6)</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17.2</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Income Tax Rates</w:t>
      </w:r>
    </w:p>
    <w:p>
      <w:pPr>
        <w:spacing w:after="0" w:line="22" w:lineRule="exact"/>
        <w:rPr>
          <w:sz w:val="20"/>
          <w:szCs w:val="20"/>
          <w:color w:val="auto"/>
        </w:rPr>
      </w:pPr>
    </w:p>
    <w:p>
      <w:pPr>
        <w:ind w:right="640"/>
        <w:spacing w:after="0" w:line="244" w:lineRule="auto"/>
        <w:rPr>
          <w:sz w:val="20"/>
          <w:szCs w:val="20"/>
          <w:color w:val="auto"/>
        </w:rPr>
      </w:pPr>
      <w:r>
        <w:rPr>
          <w:rFonts w:ascii="Arial" w:cs="Arial" w:eastAsia="Arial" w:hAnsi="Arial"/>
          <w:sz w:val="20"/>
          <w:szCs w:val="20"/>
          <w:color w:val="auto"/>
        </w:rPr>
        <w:t>Effective income tax rates reflected in the financial statements and the reasons for their differences from the statutory federal rates are detailed in the following tables.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Borders>
              <w:top w:val="single" w:sz="8" w:color="auto"/>
            </w:tcBorders>
            <w:gridSpan w:val="2"/>
          </w:tcPr>
          <w:p>
            <w:pPr>
              <w:jc w:val="right"/>
              <w:ind w:right="130"/>
              <w:spacing w:after="0" w:line="182" w:lineRule="exact"/>
              <w:rPr>
                <w:sz w:val="20"/>
                <w:szCs w:val="20"/>
                <w:color w:val="auto"/>
              </w:rPr>
            </w:pPr>
            <w:r>
              <w:rPr>
                <w:rFonts w:ascii="Arial" w:cs="Arial" w:eastAsia="Arial" w:hAnsi="Arial"/>
                <w:sz w:val="18"/>
                <w:szCs w:val="18"/>
                <w:b w:val="1"/>
                <w:bCs w:val="1"/>
                <w:color w:val="auto"/>
              </w:rPr>
              <w:t>Three Months Ended</w:t>
            </w:r>
          </w:p>
        </w:tc>
        <w:tc>
          <w:tcPr>
            <w:tcW w:w="82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right"/>
              <w:ind w:right="30"/>
              <w:spacing w:after="0" w:line="182" w:lineRule="exact"/>
              <w:rPr>
                <w:sz w:val="20"/>
                <w:szCs w:val="20"/>
                <w:color w:val="auto"/>
              </w:rPr>
            </w:pPr>
            <w:r>
              <w:rPr>
                <w:rFonts w:ascii="Arial" w:cs="Arial" w:eastAsia="Arial" w:hAnsi="Arial"/>
                <w:sz w:val="18"/>
                <w:szCs w:val="18"/>
                <w:b w:val="1"/>
                <w:bCs w:val="1"/>
                <w:color w:val="auto"/>
              </w:rPr>
              <w:t>Year to Date</w:t>
            </w:r>
          </w:p>
        </w:tc>
        <w:tc>
          <w:tcPr>
            <w:tcW w:w="1020" w:type="dxa"/>
            <w:vAlign w:val="bottom"/>
            <w:tcBorders>
              <w:top w:val="single" w:sz="8" w:color="auto"/>
            </w:tcBorders>
          </w:tcPr>
          <w:p>
            <w:pPr>
              <w:spacing w:after="0"/>
              <w:rPr>
                <w:sz w:val="15"/>
                <w:szCs w:val="15"/>
                <w:color w:val="auto"/>
              </w:rPr>
            </w:pPr>
          </w:p>
        </w:tc>
      </w:tr>
      <w:tr>
        <w:trPr>
          <w:trHeight w:val="225"/>
        </w:trPr>
        <w:tc>
          <w:tcPr>
            <w:tcW w:w="5800" w:type="dxa"/>
            <w:vAlign w:val="bottom"/>
          </w:tcPr>
          <w:p>
            <w:pPr>
              <w:spacing w:after="0"/>
              <w:rPr>
                <w:sz w:val="19"/>
                <w:szCs w:val="19"/>
                <w:color w:val="auto"/>
              </w:rPr>
            </w:pPr>
          </w:p>
        </w:tc>
        <w:tc>
          <w:tcPr>
            <w:tcW w:w="1700" w:type="dxa"/>
            <w:vAlign w:val="bottom"/>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9"/>
                <w:szCs w:val="19"/>
                <w:color w:val="auto"/>
              </w:rPr>
            </w:pPr>
          </w:p>
        </w:tc>
        <w:tc>
          <w:tcPr>
            <w:tcW w:w="1900" w:type="dxa"/>
            <w:vAlign w:val="bottom"/>
          </w:tcPr>
          <w:p>
            <w:pPr>
              <w:jc w:val="right"/>
              <w:ind w:right="190"/>
              <w:spacing w:after="0"/>
              <w:rPr>
                <w:sz w:val="20"/>
                <w:szCs w:val="20"/>
                <w:color w:val="auto"/>
              </w:rPr>
            </w:pPr>
            <w:r>
              <w:rPr>
                <w:rFonts w:ascii="Arial" w:cs="Arial" w:eastAsia="Arial" w:hAnsi="Arial"/>
                <w:sz w:val="18"/>
                <w:szCs w:val="18"/>
                <w:b w:val="1"/>
                <w:bCs w:val="1"/>
                <w:color w:val="auto"/>
              </w:rPr>
              <w:t>June 30</w:t>
            </w:r>
          </w:p>
        </w:tc>
        <w:tc>
          <w:tcPr>
            <w:tcW w:w="1020" w:type="dxa"/>
            <w:vAlign w:val="bottom"/>
          </w:tcPr>
          <w:p>
            <w:pPr>
              <w:spacing w:after="0"/>
              <w:rPr>
                <w:sz w:val="19"/>
                <w:szCs w:val="19"/>
                <w:color w:val="auto"/>
              </w:rPr>
            </w:pPr>
          </w:p>
        </w:tc>
      </w:tr>
      <w:tr>
        <w:trPr>
          <w:trHeight w:val="234"/>
        </w:trPr>
        <w:tc>
          <w:tcPr>
            <w:tcW w:w="580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84"/>
              </w:rPr>
              <w:t>2021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70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2"/>
              </w:rPr>
              <w:t>21.0 %</w:t>
            </w:r>
          </w:p>
        </w:tc>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2"/>
              </w:rPr>
              <w:t>21.0 %</w:t>
            </w:r>
          </w:p>
        </w:tc>
        <w:tc>
          <w:tcPr>
            <w:tcW w:w="1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21.0 %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(1.1)</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(1.6)</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(1.0)</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0.1</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3.6</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3.2</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(6.4)</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(5.0)</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(6.1)</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(3.1)</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(4.6)</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(3.1)</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(4.6)</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(0.3)</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(0.3)</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(0.3)</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AFUDC equity</w:t>
            </w:r>
          </w:p>
        </w:tc>
        <w:tc>
          <w:tcPr>
            <w:tcW w:w="1700" w:type="dxa"/>
            <w:vAlign w:val="bottom"/>
          </w:tcPr>
          <w:p>
            <w:pPr>
              <w:jc w:val="right"/>
              <w:ind w:right="1230"/>
              <w:spacing w:after="0"/>
              <w:rPr>
                <w:sz w:val="20"/>
                <w:szCs w:val="20"/>
                <w:color w:val="auto"/>
              </w:rPr>
            </w:pPr>
            <w:r>
              <w:rPr>
                <w:rFonts w:ascii="Arial" w:cs="Arial" w:eastAsia="Arial" w:hAnsi="Arial"/>
                <w:sz w:val="18"/>
                <w:szCs w:val="18"/>
                <w:color w:val="auto"/>
                <w:w w:val="97"/>
              </w:rPr>
              <w:t>(0.6)</w:t>
            </w: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97"/>
              </w:rPr>
              <w:t>(0.7)</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(0.5)</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(0.5)</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(0.4)</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State tax rate change</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8.1</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5.5</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70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97"/>
              </w:rPr>
              <w:t>(0.1)</w:t>
            </w:r>
          </w:p>
        </w:tc>
        <w:tc>
          <w:tcPr>
            <w:tcW w:w="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7"/>
              </w:rPr>
              <w:t>(0.4)</w:t>
            </w:r>
          </w:p>
        </w:tc>
        <w:tc>
          <w:tcPr>
            <w:tcW w:w="19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Officer compensation limitation</w:t>
            </w:r>
          </w:p>
        </w:tc>
        <w:tc>
          <w:tcPr>
            <w:tcW w:w="1700" w:type="dxa"/>
            <w:vAlign w:val="bottom"/>
          </w:tcPr>
          <w:p>
            <w:pPr>
              <w:jc w:val="right"/>
              <w:ind w:right="1270"/>
              <w:spacing w:after="0"/>
              <w:rPr>
                <w:sz w:val="20"/>
                <w:szCs w:val="20"/>
                <w:color w:val="auto"/>
              </w:rPr>
            </w:pPr>
            <w:r>
              <w:rPr>
                <w:rFonts w:ascii="Arial" w:cs="Arial" w:eastAsia="Arial" w:hAnsi="Arial"/>
                <w:sz w:val="18"/>
                <w:szCs w:val="18"/>
                <w:color w:val="auto"/>
              </w:rPr>
              <w:t>0.5</w:t>
            </w: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0.2</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0.2</w:t>
            </w:r>
          </w:p>
        </w:tc>
      </w:tr>
      <w:tr>
        <w:trPr>
          <w:trHeight w:val="230"/>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97"/>
              </w:rPr>
              <w:t>(0.1)</w:t>
            </w:r>
          </w:p>
        </w:tc>
        <w:tc>
          <w:tcPr>
            <w:tcW w:w="8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(0.8)</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Effective income tax rate</w:t>
            </w:r>
          </w:p>
        </w:tc>
        <w:tc>
          <w:tcPr>
            <w:tcW w:w="170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9.4 %</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2"/>
              </w:rPr>
              <w:t>19.8 %</w:t>
            </w:r>
          </w:p>
        </w:tc>
        <w:tc>
          <w:tcPr>
            <w:tcW w:w="19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10.0 %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17.4 %</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Evergy Kansas Central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20" w:type="dxa"/>
            <w:vAlign w:val="bottom"/>
            <w:tcBorders>
              <w:top w:val="single" w:sz="8" w:color="auto"/>
            </w:tcBorders>
            <w:gridSpan w:val="3"/>
          </w:tcPr>
          <w:p>
            <w:pPr>
              <w:jc w:val="center"/>
              <w:ind w:left="4510"/>
              <w:spacing w:after="0" w:line="182" w:lineRule="exact"/>
              <w:rPr>
                <w:sz w:val="20"/>
                <w:szCs w:val="20"/>
                <w:color w:val="auto"/>
              </w:rPr>
            </w:pPr>
            <w:r>
              <w:rPr>
                <w:rFonts w:ascii="Arial" w:cs="Arial" w:eastAsia="Arial" w:hAnsi="Arial"/>
                <w:sz w:val="18"/>
                <w:szCs w:val="18"/>
                <w:b w:val="1"/>
                <w:bCs w:val="1"/>
                <w:color w:val="auto"/>
                <w:w w:val="92"/>
              </w:rPr>
              <w:t>Three Months Ended</w:t>
            </w:r>
          </w:p>
        </w:tc>
        <w:tc>
          <w:tcPr>
            <w:tcW w:w="1900" w:type="dxa"/>
            <w:vAlign w:val="bottom"/>
            <w:tcBorders>
              <w:top w:val="single" w:sz="8" w:color="auto"/>
            </w:tcBorders>
          </w:tcPr>
          <w:p>
            <w:pPr>
              <w:jc w:val="center"/>
              <w:ind w:left="610"/>
              <w:spacing w:after="0" w:line="182" w:lineRule="exact"/>
              <w:rPr>
                <w:sz w:val="20"/>
                <w:szCs w:val="20"/>
                <w:color w:val="auto"/>
              </w:rPr>
            </w:pPr>
            <w:r>
              <w:rPr>
                <w:rFonts w:ascii="Arial" w:cs="Arial" w:eastAsia="Arial" w:hAnsi="Arial"/>
                <w:sz w:val="18"/>
                <w:szCs w:val="18"/>
                <w:b w:val="1"/>
                <w:bCs w:val="1"/>
                <w:color w:val="auto"/>
                <w:w w:val="91"/>
              </w:rPr>
              <w:t>Year to Date</w:t>
            </w:r>
          </w:p>
        </w:tc>
        <w:tc>
          <w:tcPr>
            <w:tcW w:w="1020" w:type="dxa"/>
            <w:vAlign w:val="bottom"/>
            <w:tcBorders>
              <w:top w:val="single" w:sz="8" w:color="auto"/>
            </w:tcBorders>
          </w:tcPr>
          <w:p>
            <w:pPr>
              <w:spacing w:after="0"/>
              <w:rPr>
                <w:sz w:val="15"/>
                <w:szCs w:val="15"/>
                <w:color w:val="auto"/>
              </w:rPr>
            </w:pPr>
          </w:p>
        </w:tc>
      </w:tr>
      <w:tr>
        <w:trPr>
          <w:trHeight w:val="225"/>
        </w:trPr>
        <w:tc>
          <w:tcPr>
            <w:tcW w:w="5800" w:type="dxa"/>
            <w:vAlign w:val="bottom"/>
          </w:tcPr>
          <w:p>
            <w:pPr>
              <w:spacing w:after="0"/>
              <w:rPr>
                <w:sz w:val="19"/>
                <w:szCs w:val="19"/>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b w:val="1"/>
                <w:bCs w:val="1"/>
                <w:color w:val="auto"/>
                <w:w w:val="86"/>
              </w:rPr>
              <w:t>June 30</w:t>
            </w:r>
          </w:p>
        </w:tc>
        <w:tc>
          <w:tcPr>
            <w:tcW w:w="1380" w:type="dxa"/>
            <w:vAlign w:val="bottom"/>
          </w:tcPr>
          <w:p>
            <w:pPr>
              <w:spacing w:after="0"/>
              <w:rPr>
                <w:sz w:val="19"/>
                <w:szCs w:val="19"/>
                <w:color w:val="auto"/>
              </w:rPr>
            </w:pPr>
          </w:p>
        </w:tc>
        <w:tc>
          <w:tcPr>
            <w:tcW w:w="190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June 30</w:t>
            </w:r>
          </w:p>
        </w:tc>
        <w:tc>
          <w:tcPr>
            <w:tcW w:w="1020" w:type="dxa"/>
            <w:vAlign w:val="bottom"/>
          </w:tcPr>
          <w:p>
            <w:pPr>
              <w:spacing w:after="0"/>
              <w:rPr>
                <w:sz w:val="19"/>
                <w:szCs w:val="19"/>
                <w:color w:val="auto"/>
              </w:rPr>
            </w:pPr>
          </w:p>
        </w:tc>
      </w:tr>
      <w:tr>
        <w:trPr>
          <w:trHeight w:val="234"/>
        </w:trPr>
        <w:tc>
          <w:tcPr>
            <w:tcW w:w="580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84"/>
              </w:rPr>
              <w:t>2021</w:t>
            </w:r>
          </w:p>
        </w:tc>
        <w:tc>
          <w:tcPr>
            <w:tcW w:w="1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1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2"/>
              </w:rPr>
              <w:t>21.0 %</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21.0 %</w:t>
            </w:r>
          </w:p>
        </w:tc>
        <w:tc>
          <w:tcPr>
            <w:tcW w:w="1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21.0 %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11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7"/>
              </w:rPr>
              <w:t>(1.6)</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(1.7)</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140" w:type="dxa"/>
            <w:vAlign w:val="bottom"/>
          </w:tcPr>
          <w:p>
            <w:pPr>
              <w:jc w:val="right"/>
              <w:ind w:right="710"/>
              <w:spacing w:after="0"/>
              <w:rPr>
                <w:sz w:val="20"/>
                <w:szCs w:val="20"/>
                <w:color w:val="auto"/>
              </w:rPr>
            </w:pPr>
            <w:r>
              <w:rPr>
                <w:rFonts w:ascii="Arial" w:cs="Arial" w:eastAsia="Arial" w:hAnsi="Arial"/>
                <w:sz w:val="18"/>
                <w:szCs w:val="18"/>
                <w:color w:val="auto"/>
              </w:rPr>
              <w:t>0.4</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4.4</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1.0</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3.6</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11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7"/>
              </w:rPr>
              <w:t>(5.2)</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(3.8)</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1140" w:type="dxa"/>
            <w:vAlign w:val="bottom"/>
          </w:tcPr>
          <w:p>
            <w:pPr>
              <w:jc w:val="right"/>
              <w:ind w:right="670"/>
              <w:spacing w:after="0"/>
              <w:rPr>
                <w:sz w:val="20"/>
                <w:szCs w:val="20"/>
                <w:color w:val="auto"/>
              </w:rPr>
            </w:pPr>
            <w:r>
              <w:rPr>
                <w:rFonts w:ascii="Arial" w:cs="Arial" w:eastAsia="Arial" w:hAnsi="Arial"/>
                <w:sz w:val="18"/>
                <w:szCs w:val="18"/>
                <w:color w:val="auto"/>
                <w:w w:val="97"/>
              </w:rPr>
              <w:t>(5.1)</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(6.9)</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(5.3)</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(6.8)</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1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7"/>
              </w:rPr>
              <w:t>(0.5)</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(0.6)</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(0.5)</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AFUDC equity</w:t>
            </w:r>
          </w:p>
        </w:tc>
        <w:tc>
          <w:tcPr>
            <w:tcW w:w="1140" w:type="dxa"/>
            <w:vAlign w:val="bottom"/>
          </w:tcPr>
          <w:p>
            <w:pPr>
              <w:jc w:val="right"/>
              <w:ind w:right="670"/>
              <w:spacing w:after="0"/>
              <w:rPr>
                <w:sz w:val="20"/>
                <w:szCs w:val="20"/>
                <w:color w:val="auto"/>
              </w:rPr>
            </w:pPr>
            <w:r>
              <w:rPr>
                <w:rFonts w:ascii="Arial" w:cs="Arial" w:eastAsia="Arial" w:hAnsi="Arial"/>
                <w:sz w:val="18"/>
                <w:szCs w:val="18"/>
                <w:color w:val="auto"/>
                <w:w w:val="97"/>
              </w:rPr>
              <w:t>(0.6)</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(1.6)</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(0.7)</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11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7"/>
              </w:rPr>
              <w:t>(0.5)</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(0.7)</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(0.5)</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State tax rate change</w:t>
            </w:r>
          </w:p>
        </w:tc>
        <w:tc>
          <w:tcPr>
            <w:tcW w:w="11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134.0</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75.6</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1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7"/>
              </w:rPr>
              <w:t>(0.3)</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(0.5)</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(0.1)</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Officer compensation limitation</w:t>
            </w:r>
          </w:p>
        </w:tc>
        <w:tc>
          <w:tcPr>
            <w:tcW w:w="1140" w:type="dxa"/>
            <w:vAlign w:val="bottom"/>
          </w:tcPr>
          <w:p>
            <w:pPr>
              <w:jc w:val="right"/>
              <w:ind w:right="710"/>
              <w:spacing w:after="0"/>
              <w:rPr>
                <w:sz w:val="20"/>
                <w:szCs w:val="20"/>
                <w:color w:val="auto"/>
              </w:rPr>
            </w:pPr>
            <w:r>
              <w:rPr>
                <w:rFonts w:ascii="Arial" w:cs="Arial" w:eastAsia="Arial" w:hAnsi="Arial"/>
                <w:sz w:val="18"/>
                <w:szCs w:val="18"/>
                <w:color w:val="auto"/>
              </w:rPr>
              <w:t>0.2</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0.2</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7"/>
              </w:rPr>
              <w:t>(0.4)</w:t>
            </w:r>
          </w:p>
        </w:tc>
        <w:tc>
          <w:tcPr>
            <w:tcW w:w="1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(1.5)</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r>
      <w:tr>
        <w:trPr>
          <w:trHeight w:val="230"/>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Effective income tax rate</w:t>
            </w: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7.4 %</w:t>
            </w: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146.2 %</w:t>
            </w:r>
          </w:p>
        </w:tc>
        <w:tc>
          <w:tcPr>
            <w:tcW w:w="19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8.1 %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87.8 %</w:t>
            </w:r>
          </w:p>
        </w:tc>
      </w:tr>
      <w:tr>
        <w:trPr>
          <w:trHeight w:val="48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Metro</w:t>
            </w:r>
          </w:p>
        </w:tc>
        <w:tc>
          <w:tcPr>
            <w:tcW w:w="1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5"/>
        </w:trPr>
        <w:tc>
          <w:tcPr>
            <w:tcW w:w="8320" w:type="dxa"/>
            <w:vAlign w:val="bottom"/>
            <w:gridSpan w:val="3"/>
          </w:tcPr>
          <w:p>
            <w:pPr>
              <w:jc w:val="center"/>
              <w:ind w:left="4510"/>
              <w:spacing w:after="0" w:line="176" w:lineRule="exact"/>
              <w:rPr>
                <w:sz w:val="20"/>
                <w:szCs w:val="20"/>
                <w:color w:val="auto"/>
              </w:rPr>
            </w:pPr>
            <w:r>
              <w:rPr>
                <w:rFonts w:ascii="Arial" w:cs="Arial" w:eastAsia="Arial" w:hAnsi="Arial"/>
                <w:sz w:val="18"/>
                <w:szCs w:val="18"/>
                <w:b w:val="1"/>
                <w:bCs w:val="1"/>
                <w:color w:val="auto"/>
                <w:w w:val="92"/>
              </w:rPr>
              <w:t>Three Months Ended</w:t>
            </w:r>
          </w:p>
        </w:tc>
        <w:tc>
          <w:tcPr>
            <w:tcW w:w="1900" w:type="dxa"/>
            <w:vAlign w:val="bottom"/>
          </w:tcPr>
          <w:p>
            <w:pPr>
              <w:jc w:val="center"/>
              <w:ind w:left="610"/>
              <w:spacing w:after="0" w:line="176" w:lineRule="exact"/>
              <w:rPr>
                <w:sz w:val="20"/>
                <w:szCs w:val="20"/>
                <w:color w:val="auto"/>
              </w:rPr>
            </w:pPr>
            <w:r>
              <w:rPr>
                <w:rFonts w:ascii="Arial" w:cs="Arial" w:eastAsia="Arial" w:hAnsi="Arial"/>
                <w:sz w:val="18"/>
                <w:szCs w:val="18"/>
                <w:b w:val="1"/>
                <w:bCs w:val="1"/>
                <w:color w:val="auto"/>
                <w:w w:val="91"/>
              </w:rPr>
              <w:t>Year to Date</w:t>
            </w:r>
          </w:p>
        </w:tc>
        <w:tc>
          <w:tcPr>
            <w:tcW w:w="1020" w:type="dxa"/>
            <w:vAlign w:val="bottom"/>
          </w:tcPr>
          <w:p>
            <w:pPr>
              <w:spacing w:after="0"/>
              <w:rPr>
                <w:sz w:val="15"/>
                <w:szCs w:val="15"/>
                <w:color w:val="auto"/>
              </w:rPr>
            </w:pPr>
          </w:p>
        </w:tc>
      </w:tr>
      <w:tr>
        <w:trPr>
          <w:trHeight w:val="225"/>
        </w:trPr>
        <w:tc>
          <w:tcPr>
            <w:tcW w:w="5800" w:type="dxa"/>
            <w:vAlign w:val="bottom"/>
          </w:tcPr>
          <w:p>
            <w:pPr>
              <w:spacing w:after="0"/>
              <w:rPr>
                <w:sz w:val="19"/>
                <w:szCs w:val="19"/>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b w:val="1"/>
                <w:bCs w:val="1"/>
                <w:color w:val="auto"/>
                <w:w w:val="86"/>
              </w:rPr>
              <w:t>June 30</w:t>
            </w:r>
          </w:p>
        </w:tc>
        <w:tc>
          <w:tcPr>
            <w:tcW w:w="1380" w:type="dxa"/>
            <w:vAlign w:val="bottom"/>
          </w:tcPr>
          <w:p>
            <w:pPr>
              <w:spacing w:after="0"/>
              <w:rPr>
                <w:sz w:val="19"/>
                <w:szCs w:val="19"/>
                <w:color w:val="auto"/>
              </w:rPr>
            </w:pPr>
          </w:p>
        </w:tc>
        <w:tc>
          <w:tcPr>
            <w:tcW w:w="1900" w:type="dxa"/>
            <w:vAlign w:val="bottom"/>
          </w:tcPr>
          <w:p>
            <w:pPr>
              <w:jc w:val="center"/>
              <w:ind w:left="650"/>
              <w:spacing w:after="0"/>
              <w:rPr>
                <w:sz w:val="20"/>
                <w:szCs w:val="20"/>
                <w:color w:val="auto"/>
              </w:rPr>
            </w:pPr>
            <w:r>
              <w:rPr>
                <w:rFonts w:ascii="Arial" w:cs="Arial" w:eastAsia="Arial" w:hAnsi="Arial"/>
                <w:sz w:val="18"/>
                <w:szCs w:val="18"/>
                <w:b w:val="1"/>
                <w:bCs w:val="1"/>
                <w:color w:val="auto"/>
                <w:w w:val="89"/>
              </w:rPr>
              <w:t>June 30</w:t>
            </w:r>
          </w:p>
        </w:tc>
        <w:tc>
          <w:tcPr>
            <w:tcW w:w="1020" w:type="dxa"/>
            <w:vAlign w:val="bottom"/>
          </w:tcPr>
          <w:p>
            <w:pPr>
              <w:spacing w:after="0"/>
              <w:rPr>
                <w:sz w:val="19"/>
                <w:szCs w:val="19"/>
                <w:color w:val="auto"/>
              </w:rPr>
            </w:pPr>
          </w:p>
        </w:tc>
      </w:tr>
      <w:tr>
        <w:trPr>
          <w:trHeight w:val="234"/>
        </w:trPr>
        <w:tc>
          <w:tcPr>
            <w:tcW w:w="5800" w:type="dxa"/>
            <w:vAlign w:val="bottom"/>
            <w:tcBorders>
              <w:bottom w:val="single" w:sz="8" w:color="auto"/>
            </w:tcBorders>
          </w:tcPr>
          <w:p>
            <w:pPr>
              <w:ind w:left="5440"/>
              <w:spacing w:after="0"/>
              <w:rPr>
                <w:sz w:val="20"/>
                <w:szCs w:val="20"/>
                <w:color w:val="auto"/>
              </w:rPr>
            </w:pPr>
            <w:r>
              <w:rPr>
                <w:rFonts w:ascii="Arial" w:cs="Arial" w:eastAsia="Arial" w:hAnsi="Arial"/>
                <w:sz w:val="18"/>
                <w:szCs w:val="18"/>
                <w:b w:val="1"/>
                <w:bCs w:val="1"/>
                <w:color w:val="auto"/>
                <w:w w:val="84"/>
              </w:rPr>
              <w:t>2021</w:t>
            </w:r>
          </w:p>
        </w:tc>
        <w:tc>
          <w:tcPr>
            <w:tcW w:w="1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90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statutory income tax rate</w:t>
            </w:r>
          </w:p>
        </w:tc>
        <w:tc>
          <w:tcPr>
            <w:tcW w:w="11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2"/>
              </w:rPr>
              <w:t>21.0 %</w:t>
            </w:r>
          </w:p>
        </w:tc>
        <w:tc>
          <w:tcPr>
            <w:tcW w:w="1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21.0 %</w:t>
            </w:r>
          </w:p>
        </w:tc>
        <w:tc>
          <w:tcPr>
            <w:tcW w:w="1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21.0 %</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COLI policies</w:t>
            </w:r>
          </w:p>
        </w:tc>
        <w:tc>
          <w:tcPr>
            <w:tcW w:w="11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7"/>
              </w:rPr>
              <w:t>(0.3)</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(0.3)</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(0.3)</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State income taxes</w:t>
            </w:r>
          </w:p>
        </w:tc>
        <w:tc>
          <w:tcPr>
            <w:tcW w:w="1140" w:type="dxa"/>
            <w:vAlign w:val="bottom"/>
          </w:tcPr>
          <w:p>
            <w:pPr>
              <w:jc w:val="right"/>
              <w:ind w:right="710"/>
              <w:spacing w:after="0"/>
              <w:rPr>
                <w:sz w:val="20"/>
                <w:szCs w:val="20"/>
                <w:color w:val="auto"/>
              </w:rPr>
            </w:pPr>
            <w:r>
              <w:rPr>
                <w:rFonts w:ascii="Arial" w:cs="Arial" w:eastAsia="Arial" w:hAnsi="Arial"/>
                <w:sz w:val="18"/>
                <w:szCs w:val="18"/>
                <w:color w:val="auto"/>
              </w:rPr>
              <w:t>0.4</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3.3</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3.0</w:t>
            </w: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11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7"/>
              </w:rPr>
              <w:t>(8.3)</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(9.5)</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(8.2)</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Federal tax credits</w:t>
            </w:r>
          </w:p>
        </w:tc>
        <w:tc>
          <w:tcPr>
            <w:tcW w:w="1140" w:type="dxa"/>
            <w:vAlign w:val="bottom"/>
          </w:tcPr>
          <w:p>
            <w:pPr>
              <w:jc w:val="right"/>
              <w:ind w:right="670"/>
              <w:spacing w:after="0"/>
              <w:rPr>
                <w:sz w:val="20"/>
                <w:szCs w:val="20"/>
                <w:color w:val="auto"/>
              </w:rPr>
            </w:pPr>
            <w:r>
              <w:rPr>
                <w:rFonts w:ascii="Arial" w:cs="Arial" w:eastAsia="Arial" w:hAnsi="Arial"/>
                <w:sz w:val="18"/>
                <w:szCs w:val="18"/>
                <w:color w:val="auto"/>
                <w:w w:val="97"/>
              </w:rPr>
              <w:t>(0.7)</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(2.4)</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(0.6)</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(2.4)</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11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7"/>
              </w:rPr>
              <w:t>(0.6)</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0.1</w:t>
            </w:r>
          </w:p>
        </w:tc>
        <w:tc>
          <w:tcPr>
            <w:tcW w:w="190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(0.6)</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1140" w:type="dxa"/>
            <w:vAlign w:val="bottom"/>
          </w:tcPr>
          <w:p>
            <w:pPr>
              <w:jc w:val="right"/>
              <w:ind w:right="670"/>
              <w:spacing w:after="0"/>
              <w:rPr>
                <w:sz w:val="20"/>
                <w:szCs w:val="20"/>
                <w:color w:val="auto"/>
              </w:rPr>
            </w:pPr>
            <w:r>
              <w:rPr>
                <w:rFonts w:ascii="Arial" w:cs="Arial" w:eastAsia="Arial" w:hAnsi="Arial"/>
                <w:sz w:val="18"/>
                <w:szCs w:val="18"/>
                <w:color w:val="auto"/>
                <w:w w:val="97"/>
              </w:rPr>
              <w:t>(0.4)</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(0.4)</w:t>
            </w: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(0.4)</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rate change</w:t>
            </w:r>
          </w:p>
        </w:tc>
        <w:tc>
          <w:tcPr>
            <w:tcW w:w="11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(40.1)</w:t>
            </w:r>
          </w:p>
        </w:tc>
        <w:tc>
          <w:tcPr>
            <w:tcW w:w="19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(29.7)</w:t>
            </w: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11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(0.3)</w:t>
            </w:r>
          </w:p>
        </w:tc>
        <w:tc>
          <w:tcPr>
            <w:tcW w:w="1900" w:type="dxa"/>
            <w:vAlign w:val="bottom"/>
          </w:tcPr>
          <w:p>
            <w:pPr>
              <w:jc w:val="right"/>
              <w:ind w:right="810"/>
              <w:spacing w:after="0"/>
              <w:rPr>
                <w:sz w:val="20"/>
                <w:szCs w:val="20"/>
                <w:color w:val="auto"/>
              </w:rPr>
            </w:pPr>
            <w:r>
              <w:rPr>
                <w:rFonts w:ascii="Arial" w:cs="Arial" w:eastAsia="Arial" w:hAnsi="Arial"/>
                <w:sz w:val="18"/>
                <w:szCs w:val="18"/>
                <w:color w:val="auto"/>
              </w:rPr>
              <w:t>0.1</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114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1.0</w:t>
            </w:r>
          </w:p>
        </w:tc>
        <w:tc>
          <w:tcPr>
            <w:tcW w:w="13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0.6</w:t>
            </w:r>
          </w:p>
        </w:tc>
        <w:tc>
          <w:tcPr>
            <w:tcW w:w="19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0.9</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r>
      <w:tr>
        <w:trPr>
          <w:trHeight w:val="230"/>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7"/>
              </w:rPr>
              <w:t>(0.1)</w:t>
            </w: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(0.1)</w:t>
            </w:r>
          </w:p>
        </w:tc>
        <w:tc>
          <w:tcPr>
            <w:tcW w:w="19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0.1</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Effective income tax rate</w:t>
            </w:r>
          </w:p>
        </w:tc>
        <w:tc>
          <w:tcPr>
            <w:tcW w:w="11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2"/>
              </w:rPr>
              <w:t>12.0 %</w:t>
            </w: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(28.1)%</w:t>
            </w:r>
          </w:p>
        </w:tc>
        <w:tc>
          <w:tcPr>
            <w:tcW w:w="19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12.4 %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Kansas Tax Reform</w:t>
      </w:r>
    </w:p>
    <w:p>
      <w:pPr>
        <w:spacing w:after="0" w:line="22"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In May 2020, the state of Kansas exempted certain public utilities, including Evergy Kansas Central and Evergy Metro, from Kansas corporate income tax beginning in 2021 and authorized the KCC to approve changes in rates related to increases or decreases in federal or state income tax rates.</w:t>
      </w:r>
    </w:p>
    <w:p>
      <w:pPr>
        <w:spacing w:after="0" w:line="196"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As a result of the exemption from Kansas corporate income tax, the Evergy Companies revalued their deferred income tax assets and liabilities in May 2020. Evergy decreased its net deferred income tax liabilities by $233.8 million, primarily consisting of a $400.4 million adjustment for the revaluation of deferred income tax assets and liabilities included in rate base and a $31.7 million tax gross-up adjustment on this amount for ratemaking purposes and $13.8 million of income tax expense primarily related to the revaluation of deferred income taxes that will not be recovered from customers in future rates; partially offset by a decrease to unamortized investment tax credits of $183.6 million due to the revaluation of certain Kansas income tax credits and a $16.9 million tax gross-up adjustment on this amount for ratemaking purposes.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Evergy Kansas Central decreased its net deferred income tax liabilities by $17.6 million, primarily consisting of a $293.7 million adjustment for the revaluation of deferred income tax assets and liabilities included in rate base and a $17.3 million tax gross-up adjustment on this amount for ratemaking purposes; partially offset by a decrease to unamortized investment tax credits of $183.6 million due to the revaluation of certain Kansas income tax credits and a $16.9 million tax gross-up adjustment on this amount for ratemaking purposes and $109.0 million of income tax expense primarily related to the revaluation of deferred income taxes that will not be recovered from customers in future rates.</w:t>
      </w:r>
    </w:p>
    <w:p>
      <w:pPr>
        <w:spacing w:after="0" w:line="16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Evergy Metro decreased its net deferred income tax liabilities by $152.9 million, primarily consisting of a $106.7 million adjustment for the revaluation of deferred income tax assets and liabilities included in rate base and a $14.4 million tax gross-up adjustment on this amount for ratemaking purposes and $32.2 million of income tax benefit primarily related to the revaluation of deferred income taxes that will not be refunded to customers in future rates.</w:t>
      </w:r>
    </w:p>
    <w:p>
      <w:pPr>
        <w:spacing w:after="0" w:line="191"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changes to the Evergy Companies' net deferred income tax liabilities included in rate base were offset by corresponding changes in regulatory liabilities. The net regulatory liabilities will be refunded to customers in future rates by amortizing the amounts related to plant assets over the remaining useful life of the assets, and amortizing the amounts related to other items over a period to be determined in a future rate case. The changes to the Evergy Companies' unamortized investment tax credits were related to the portion of certain Kansas income tax credits that were not expected to be used after December 31, 2020. The amounts of income tax expense (benefit) recognized by the Evergy Companies related to the revaluation of deferred income taxes that will not be recovered from or refunded to customers in future rates primarily pertain to deferred tax adjustments related to the difference between Evergy's consolidated tax rate and the statutory tax rates used for setting rates at Evergy Kansas Central, Evergy Metro and Evergy Missouri West as well as deferred income tax adjustments related to non-regulated operations.</w:t>
      </w:r>
    </w:p>
    <w:p>
      <w:pPr>
        <w:spacing w:after="0" w:line="184"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Prior to 2021, Evergy Kansas Central and Evergy Metro recovered the cost of Kansas corporate income taxes in rates from their customers at the prior statutory rate of 7%. In accordance with the provisions of the income tax exemption, Evergy Metro and Evergy Kansas Central filed a joint application with the KCC in July 2020 to reduce their retail rates to reflect their exemption from Kansas corporate income taxes beginning in 2021. In the joint application, Evergy Metro requested to implement its rate reduction in one phase, effective January 1, 2021, and Evergy Kansas Central requested to implement its rate reduction in three phases, effective January 1 in each of 2021, 2022 and 2023. In November 2020, the KCC approved Evergy Kansas Central's and Evergy Metro's joint application.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MANAGEMENT'S DISCUSSION AND ANALYSIS OF FINANCIAL CONDITION AND RESULTS OF OPERATIONS</w:t>
      </w:r>
    </w:p>
    <w:p>
      <w:pPr>
        <w:spacing w:after="0" w:line="222" w:lineRule="exact"/>
        <w:rPr>
          <w:sz w:val="20"/>
          <w:szCs w:val="20"/>
          <w:color w:val="auto"/>
        </w:rPr>
      </w:pPr>
    </w:p>
    <w:p>
      <w:pPr>
        <w:jc w:val="both"/>
        <w:ind w:right="140"/>
        <w:spacing w:after="0" w:line="246" w:lineRule="auto"/>
        <w:rPr>
          <w:sz w:val="20"/>
          <w:szCs w:val="20"/>
          <w:color w:val="auto"/>
        </w:rPr>
      </w:pPr>
      <w:r>
        <w:rPr>
          <w:rFonts w:ascii="Arial" w:cs="Arial" w:eastAsia="Arial" w:hAnsi="Arial"/>
          <w:sz w:val="20"/>
          <w:szCs w:val="20"/>
          <w:color w:val="auto"/>
        </w:rPr>
        <w:t>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2020 Form 10-K. None of the registrants make any representation as to information related solely to Evergy, Evergy Kansas Central or Evergy Metro other than itself.</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EVERGY,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SUMMARY</w:t>
      </w:r>
    </w:p>
    <w:p>
      <w:pPr>
        <w:spacing w:after="0" w:line="222" w:lineRule="exact"/>
        <w:rPr>
          <w:sz w:val="20"/>
          <w:szCs w:val="20"/>
          <w:color w:val="auto"/>
        </w:rPr>
      </w:pPr>
    </w:p>
    <w:p>
      <w:pPr>
        <w:ind w:right="460"/>
        <w:spacing w:after="0" w:line="260"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w:t>
      </w:r>
    </w:p>
    <w:p>
      <w:pPr>
        <w:spacing w:after="0" w:line="177" w:lineRule="exact"/>
        <w:rPr>
          <w:sz w:val="20"/>
          <w:szCs w:val="20"/>
          <w:color w:val="auto"/>
        </w:rPr>
      </w:pPr>
    </w:p>
    <w:p>
      <w:pPr>
        <w:ind w:left="660" w:right="120" w:hanging="328"/>
        <w:spacing w:after="0" w:line="287"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Kansas Central is an integrated, regulated electric utility that provides electricity to customers in the state of Kansas. Evergy Kansas Central has one active wholly-owned subsidiary with significant operations, Evergy Kansas South.</w:t>
      </w:r>
    </w:p>
    <w:p>
      <w:pPr>
        <w:spacing w:after="0" w:line="44" w:lineRule="exact"/>
        <w:rPr>
          <w:rFonts w:ascii="Arial" w:cs="Arial" w:eastAsia="Arial" w:hAnsi="Arial"/>
          <w:sz w:val="19"/>
          <w:szCs w:val="19"/>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Evergy Metro is an integrated, regulated electric utility that provides electricity to customers in the states of Missouri and Kansas.</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Missouri West is an integrated, regulated electric utility that provides electricity to customers in the state of Missouri.</w:t>
      </w:r>
    </w:p>
    <w:p>
      <w:pPr>
        <w:spacing w:after="0" w:line="119" w:lineRule="exact"/>
        <w:rPr>
          <w:rFonts w:ascii="Arial" w:cs="Arial" w:eastAsia="Arial" w:hAnsi="Arial"/>
          <w:sz w:val="19"/>
          <w:szCs w:val="19"/>
          <w:color w:val="auto"/>
        </w:rPr>
      </w:pPr>
    </w:p>
    <w:p>
      <w:pPr>
        <w:ind w:left="660" w:right="20" w:hanging="328"/>
        <w:spacing w:after="0" w:line="269" w:lineRule="auto"/>
        <w:tabs>
          <w:tab w:leader="none" w:pos="648" w:val="left"/>
        </w:tabs>
        <w:numPr>
          <w:ilvl w:val="0"/>
          <w:numId w:val="11"/>
        </w:numPr>
        <w:rPr>
          <w:rFonts w:ascii="Arial" w:cs="Arial" w:eastAsia="Arial" w:hAnsi="Arial"/>
          <w:sz w:val="19"/>
          <w:szCs w:val="19"/>
          <w:color w:val="auto"/>
        </w:rPr>
      </w:pPr>
      <w:r>
        <w:rPr>
          <w:rFonts w:ascii="Arial" w:cs="Arial" w:eastAsia="Arial" w:hAnsi="Arial"/>
          <w:sz w:val="19"/>
          <w:szCs w:val="19"/>
          <w:color w:val="auto"/>
        </w:rPr>
        <w:t>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52"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Evergy Kansas Central, Evergy Kansas South, Evergy Metro and Evergy Missouri West conduct business in their respective service territories using the name Evergy. Collectively, the Evergy Companies have approximately 15,400 MWs of owned generating capacity and renewable power purchase agreements and engage in the generation, transmission, distribution and sale of electricity to approximately 1.6 million customers in the states of Kansas and Missouri. The Evergy Companies assess financial performance and allocate resources on a consolidated basis (i.e., operate in one segment).</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February 2021 Winter Weather Event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2021, much of the central and southern United States, including the service territories of the Evergy Companies, experienced a</w:t>
      </w:r>
    </w:p>
    <w:p>
      <w:pPr>
        <w:spacing w:after="0" w:line="34" w:lineRule="exact"/>
        <w:rPr>
          <w:sz w:val="20"/>
          <w:szCs w:val="20"/>
          <w:color w:val="auto"/>
        </w:rPr>
      </w:pPr>
    </w:p>
    <w:p>
      <w:pPr>
        <w:ind w:right="240"/>
        <w:spacing w:after="0" w:line="316" w:lineRule="auto"/>
        <w:rPr>
          <w:sz w:val="20"/>
          <w:szCs w:val="20"/>
          <w:color w:val="auto"/>
        </w:rPr>
      </w:pPr>
      <w:r>
        <w:rPr>
          <w:rFonts w:ascii="Arial" w:cs="Arial" w:eastAsia="Arial" w:hAnsi="Arial"/>
          <w:sz w:val="16"/>
          <w:szCs w:val="16"/>
          <w:color w:val="auto"/>
        </w:rPr>
        <w:t>significant winter weather event that resulted in extremely cold temperatures over a multi-day period. The February 2021 winter weather event resulted in an increase in the demand for natural gas used by the Evergy Companies for generating electricity and also contributed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limited availability of other generation resources, including coal and renewables, within the SPP Integrated Marketplace. As part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February 2021 winter weather event, Evergy incurred natural gas and purchased power costs, net of wholesale revenues, of $349.5 million.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$349.5 million of net fuel and purchased power costs was primarily driven by $292.7 million of costs at Evergy Missouri West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$128.2 million of costs at Evergy Kansas Central, partially offset by $71.4 million of net wholesale revenues at Evergy Metro. The amount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purchased power costs incurred by the Evergy Companies during the February 2021 winter weather event is subject to resettlement activity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and further review by the SPP. This review and any subsequent resettlement activity could result in increases or decreases to the final amount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purchased power costs incurred by the Evergy Companies during the February 2021 winter weather event and these changes could be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material.</w:t>
      </w: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As of June 30, 2021, the Evergy Companies have deferred substantially all of the fuel and purchased power costs, net of wholesale revenues, related to the February 2021 winter weather event to a regulatory asset or liability pursuant to their fuel recovery mechanisms and an emergency AAO issued by the KCC in February 2021. Further, in June 2021, Evergy Metro and Evergy Missouri West filed a joint request for an AAO with the MPSC regarding the deferral and subsequent recovery or refund of the February 2021 winter weather event amounts. While the Evergy Companies expect to recover substantially all of any increased fuel and purchased power costs related to the February 2021 winter weather event from customers, the timing of the cost recovery could be delayed or spread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900"/>
        <w:spacing w:after="0" w:line="246" w:lineRule="auto"/>
        <w:rPr>
          <w:sz w:val="20"/>
          <w:szCs w:val="20"/>
          <w:color w:val="auto"/>
        </w:rPr>
      </w:pPr>
      <w:r>
        <w:rPr>
          <w:rFonts w:ascii="Arial" w:cs="Arial" w:eastAsia="Arial" w:hAnsi="Arial"/>
          <w:sz w:val="20"/>
          <w:szCs w:val="20"/>
          <w:color w:val="auto"/>
        </w:rPr>
        <w:t>over a longer than typical recovery timeframe by the KCC or the MPSC to help moderate monthly customer bill impacts given the extraordinary nature of the February 2021 winter weather event.</w:t>
      </w:r>
    </w:p>
    <w:p>
      <w:pPr>
        <w:spacing w:after="0" w:line="177" w:lineRule="exact"/>
        <w:rPr>
          <w:sz w:val="20"/>
          <w:szCs w:val="20"/>
          <w:color w:val="auto"/>
        </w:rPr>
      </w:pPr>
    </w:p>
    <w:p>
      <w:pPr>
        <w:ind w:right="100"/>
        <w:spacing w:after="0" w:line="241" w:lineRule="auto"/>
        <w:rPr>
          <w:sz w:val="20"/>
          <w:szCs w:val="20"/>
          <w:color w:val="auto"/>
        </w:rPr>
      </w:pPr>
      <w:r>
        <w:rPr>
          <w:rFonts w:ascii="Arial" w:cs="Arial" w:eastAsia="Arial" w:hAnsi="Arial"/>
          <w:sz w:val="19"/>
          <w:szCs w:val="19"/>
          <w:color w:val="auto"/>
        </w:rPr>
        <w:t>The Evergy Companies also engage in limited non-regulated energy marketing activities in various regional power markets that have historically not had a significant impact on the Evergy Companies' results of operations. These energy marketing margins are recorded net in operating revenues on the Evergy Companies' statements of income and comprehensive income. As a result of the elevated market prices experienced in regional power markets across the central and southern United States driven by the February 2021 winter weather event discussed above, Evergy and Evergy Kansas Central recorded $95.0 million of energy marketing margins in 2021 related to the February 2021 winter weather event, primarily driven by activities in ERCOT. The amount of energy marketing margins recorded as a result of the February 2021 winter weather event is subject to resettlement activities and/or legislative action in Texas that could result in increases or decreases to the final amount of energy marketing margins earned by Evergy and Evergy Kansas Central as a result of the February 2021 winter weather event and these changes could be material.</w:t>
      </w:r>
    </w:p>
    <w:p>
      <w:pPr>
        <w:spacing w:after="0" w:line="185" w:lineRule="exact"/>
        <w:rPr>
          <w:sz w:val="20"/>
          <w:szCs w:val="20"/>
          <w:color w:val="auto"/>
        </w:rPr>
      </w:pPr>
    </w:p>
    <w:p>
      <w:pPr>
        <w:ind w:right="1020"/>
        <w:spacing w:after="0" w:line="353" w:lineRule="auto"/>
        <w:rPr>
          <w:sz w:val="20"/>
          <w:szCs w:val="20"/>
          <w:color w:val="auto"/>
        </w:rPr>
      </w:pPr>
      <w:r>
        <w:rPr>
          <w:rFonts w:ascii="Arial" w:cs="Arial" w:eastAsia="Arial" w:hAnsi="Arial"/>
          <w:sz w:val="20"/>
          <w:szCs w:val="20"/>
          <w:color w:val="auto"/>
        </w:rPr>
        <w:t xml:space="preserve">See Note 1 to the consolidated financial statements for additional information regarding the February 2021 winter weather event. </w:t>
      </w:r>
      <w:r>
        <w:rPr>
          <w:rFonts w:ascii="Arial" w:cs="Arial" w:eastAsia="Arial" w:hAnsi="Arial"/>
          <w:sz w:val="20"/>
          <w:szCs w:val="20"/>
          <w:b w:val="1"/>
          <w:bCs w:val="1"/>
          <w:color w:val="auto"/>
        </w:rPr>
        <w:t>Bluescape Securities Purchase Agreement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February 2021, Evergy entered into a securities purchase agreement with an affiliate of Bluescape. Pursuant to the securities purchase agreement, an affiliate of Bluescape agreed to purchase 2,269,447 shares of Evergy’s common stock for approximately $113.2 million and to receive a warrant to purchase up to 3,950,000 additional shares of Evergy’s common stock. Under the terms of the warrant, Evergy will have the option to elect a net cash settlement with respect to the exercise of the warrant under certain circumstances, or to net settle in shares of Evergy's common stock. The warrant expires three years from issuance and has an exercise price equal to $64.70 per share. Following the satisfaction of customary closing conditions, Evergy completed the sale of its common stock and warrant to the affiliate of Bluescape in April 2021 for $112.5 million, net of issuance costs of $0.7 million. The Executive Chairman of Bluescape, C. John Wilder, joined the Evergy Board in March 2021.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Transforming Evergy’s Generation Fleet</w:t>
      </w:r>
    </w:p>
    <w:p>
      <w:pPr>
        <w:spacing w:after="0" w:line="22" w:lineRule="exact"/>
        <w:rPr>
          <w:sz w:val="20"/>
          <w:szCs w:val="20"/>
          <w:color w:val="auto"/>
        </w:rPr>
      </w:pPr>
    </w:p>
    <w:p>
      <w:pPr>
        <w:ind w:right="40"/>
        <w:spacing w:after="0" w:line="226" w:lineRule="auto"/>
        <w:rPr>
          <w:sz w:val="20"/>
          <w:szCs w:val="20"/>
          <w:color w:val="auto"/>
        </w:rPr>
      </w:pPr>
      <w:r>
        <w:rPr>
          <w:rFonts w:ascii="Arial" w:cs="Arial" w:eastAsia="Arial" w:hAnsi="Arial"/>
          <w:sz w:val="19"/>
          <w:szCs w:val="19"/>
          <w:color w:val="auto"/>
        </w:rPr>
        <w:t>The Evergy Companies are committed to a long-term strategy to reduce CO</w:t>
      </w:r>
      <w:r>
        <w:rPr>
          <w:rFonts w:ascii="Arial" w:cs="Arial" w:eastAsia="Arial" w:hAnsi="Arial"/>
          <w:sz w:val="24"/>
          <w:szCs w:val="24"/>
          <w:color w:val="auto"/>
          <w:vertAlign w:val="subscript"/>
        </w:rPr>
        <w:t>2</w:t>
      </w:r>
      <w:r>
        <w:rPr>
          <w:rFonts w:ascii="Arial" w:cs="Arial" w:eastAsia="Arial" w:hAnsi="Arial"/>
          <w:sz w:val="19"/>
          <w:szCs w:val="19"/>
          <w:color w:val="auto"/>
        </w:rPr>
        <w:t xml:space="preserve"> emissions in a cost-effective and reliable manner. In 2020, Evergy achieved a reduction of CO</w:t>
      </w:r>
      <w:r>
        <w:rPr>
          <w:rFonts w:ascii="Arial" w:cs="Arial" w:eastAsia="Arial" w:hAnsi="Arial"/>
          <w:sz w:val="24"/>
          <w:szCs w:val="24"/>
          <w:color w:val="auto"/>
          <w:vertAlign w:val="subscript"/>
        </w:rPr>
        <w:t>2</w:t>
      </w:r>
      <w:r>
        <w:rPr>
          <w:rFonts w:ascii="Arial" w:cs="Arial" w:eastAsia="Arial" w:hAnsi="Arial"/>
          <w:sz w:val="19"/>
          <w:szCs w:val="19"/>
          <w:color w:val="auto"/>
        </w:rPr>
        <w:t xml:space="preserve"> emissions of approximately 50% from 2005 levels in connection with its goal to achieve an 80% reduction from 2005 levels by 2050. In connection with the filing of its triennial integrated resource plan in Missouri in April 2021, Evergy announced a revised goal to achieve net-zero carbon emissions by 2045, which includes an interim goal of a 70% reduction of CO</w:t>
      </w:r>
      <w:r>
        <w:rPr>
          <w:rFonts w:ascii="Arial" w:cs="Arial" w:eastAsia="Arial" w:hAnsi="Arial"/>
          <w:sz w:val="24"/>
          <w:szCs w:val="24"/>
          <w:color w:val="auto"/>
          <w:vertAlign w:val="subscript"/>
        </w:rPr>
        <w:t>2</w:t>
      </w:r>
      <w:r>
        <w:rPr>
          <w:rFonts w:ascii="Arial" w:cs="Arial" w:eastAsia="Arial" w:hAnsi="Arial"/>
          <w:sz w:val="19"/>
          <w:szCs w:val="19"/>
          <w:color w:val="auto"/>
        </w:rPr>
        <w:t xml:space="preserve"> emissions from 2005 levels by 2030. Evergy’s five-year Sustainability Transformation Plan (STP) includes steps that would achieve significant CO</w:t>
      </w:r>
      <w:r>
        <w:rPr>
          <w:rFonts w:ascii="Arial" w:cs="Arial" w:eastAsia="Arial" w:hAnsi="Arial"/>
          <w:sz w:val="24"/>
          <w:szCs w:val="24"/>
          <w:color w:val="auto"/>
          <w:vertAlign w:val="subscript"/>
        </w:rPr>
        <w:t>2</w:t>
      </w:r>
      <w:r>
        <w:rPr>
          <w:rFonts w:ascii="Arial" w:cs="Arial" w:eastAsia="Arial" w:hAnsi="Arial"/>
          <w:sz w:val="19"/>
          <w:szCs w:val="19"/>
          <w:color w:val="auto"/>
        </w:rPr>
        <w:t xml:space="preserve"> emission reductions and provide a foundation to achieve future reductions by pursuing constructive legislative and regulatory recovery mechanisms to facilitate the retirement of coal-fired generation and expanding Evergy’s wind and solar footprint, while maintaining reliability. The trajectory and timing of reaching Evergy's net-zero carbon emissions goal are dependent on enabling technology developments and supportive energy policies and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COVID-19</w:t>
      </w:r>
    </w:p>
    <w:p>
      <w:pPr>
        <w:spacing w:after="0" w:line="2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See Part II, Item 7, MD&amp;A - Executive Summary in the Evergy Companies' combined 2020 Form 10-K for information regarding the impact of COVID-19 on the Evergy Companies.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Proceedings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4 to the consolidated financial statements for information regarding regulatory proceedings.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Overview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net income and diluted EPS.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93"/>
              </w:rPr>
              <w:t>Three Months Ended</w:t>
            </w:r>
          </w:p>
        </w:tc>
        <w:tc>
          <w:tcPr>
            <w:tcW w:w="8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00"/>
              <w:spacing w:after="0" w:line="202" w:lineRule="exact"/>
              <w:rPr>
                <w:sz w:val="20"/>
                <w:szCs w:val="20"/>
                <w:color w:val="auto"/>
              </w:rPr>
            </w:pPr>
            <w:r>
              <w:rPr>
                <w:rFonts w:ascii="Arial" w:cs="Arial" w:eastAsia="Arial" w:hAnsi="Arial"/>
                <w:sz w:val="18"/>
                <w:szCs w:val="18"/>
                <w:b w:val="1"/>
                <w:bCs w:val="1"/>
                <w:color w:val="auto"/>
              </w:rPr>
              <w:t>Year to Date</w:t>
            </w: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25"/>
        </w:trPr>
        <w:tc>
          <w:tcPr>
            <w:tcW w:w="3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w:t>
            </w: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3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Change</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Change</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07"/>
        </w:trPr>
        <w:tc>
          <w:tcPr>
            <w:tcW w:w="3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80" w:type="dxa"/>
            <w:vAlign w:val="bottom"/>
            <w:gridSpan w:val="4"/>
          </w:tcPr>
          <w:p>
            <w:pPr>
              <w:jc w:val="right"/>
              <w:ind w:right="10"/>
              <w:spacing w:after="0"/>
              <w:rPr>
                <w:sz w:val="20"/>
                <w:szCs w:val="20"/>
                <w:color w:val="auto"/>
              </w:rPr>
            </w:pPr>
            <w:r>
              <w:rPr>
                <w:rFonts w:ascii="Arial" w:cs="Arial" w:eastAsia="Arial" w:hAnsi="Arial"/>
                <w:sz w:val="16"/>
                <w:szCs w:val="16"/>
                <w:color w:val="auto"/>
                <w:w w:val="95"/>
              </w:rPr>
              <w:t>(millions, except per share amounts)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2"/>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51.9</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133.4</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376.9</w:t>
            </w:r>
          </w:p>
        </w:tc>
        <w:tc>
          <w:tcPr>
            <w:tcW w:w="2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174.1</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r>
      <w:tr>
        <w:trPr>
          <w:trHeight w:val="237"/>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common share, diluted</w:t>
            </w:r>
          </w:p>
        </w:tc>
        <w:tc>
          <w:tcPr>
            <w:tcW w:w="7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0.22</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0.59</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0.76</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r>
    </w:tbl>
    <w:p>
      <w:pPr>
        <w:spacing w:after="0" w:line="294"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Net income attributable to Evergy, Inc. increased for the three months ended June 30, 2021, compared to the same period in 2020, primarily due to higher retail sales driven by an increase in weather-normalized demand, lower operating and maintenance expenses and lower income tax expense.</w:t>
      </w:r>
    </w:p>
    <w:p>
      <w:pPr>
        <w:spacing w:after="0" w:line="186"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Diluted EPS increased for the three months ended June 30, 2021, compared to the same period in 2020, primarily due to the increase in net income attributable to Evergy discussed above.</w:t>
      </w:r>
    </w:p>
    <w:p>
      <w:pPr>
        <w:spacing w:after="0" w:line="177" w:lineRule="exact"/>
        <w:rPr>
          <w:sz w:val="20"/>
          <w:szCs w:val="20"/>
          <w:color w:val="auto"/>
        </w:rPr>
      </w:pPr>
    </w:p>
    <w:p>
      <w:pPr>
        <w:ind w:right="200"/>
        <w:spacing w:after="0" w:line="246" w:lineRule="auto"/>
        <w:rPr>
          <w:sz w:val="20"/>
          <w:szCs w:val="20"/>
          <w:color w:val="auto"/>
        </w:rPr>
      </w:pPr>
      <w:r>
        <w:rPr>
          <w:rFonts w:ascii="Arial" w:cs="Arial" w:eastAsia="Arial" w:hAnsi="Arial"/>
          <w:sz w:val="20"/>
          <w:szCs w:val="20"/>
          <w:color w:val="auto"/>
        </w:rPr>
        <w:t>Net income attributable to Evergy, Inc. increased year to date June 30, 2021, compared to the same period in 2020, primarily due to non-regulated energy marketing margins related to the February 2021 winter weather event, higher retail sales driven by an increase in weather-normalized demand and favorable weather, lower operating and maintenance expenses and higher equity allowance for funds used during construction (AFUDC).</w:t>
      </w:r>
    </w:p>
    <w:p>
      <w:pPr>
        <w:spacing w:after="0" w:line="191" w:lineRule="exact"/>
        <w:rPr>
          <w:sz w:val="20"/>
          <w:szCs w:val="20"/>
          <w:color w:val="auto"/>
        </w:rPr>
      </w:pPr>
    </w:p>
    <w:p>
      <w:pPr>
        <w:ind w:right="800"/>
        <w:spacing w:after="0" w:line="260" w:lineRule="auto"/>
        <w:rPr>
          <w:sz w:val="20"/>
          <w:szCs w:val="20"/>
          <w:color w:val="auto"/>
        </w:rPr>
      </w:pPr>
      <w:r>
        <w:rPr>
          <w:rFonts w:ascii="Arial" w:cs="Arial" w:eastAsia="Arial" w:hAnsi="Arial"/>
          <w:sz w:val="20"/>
          <w:szCs w:val="20"/>
          <w:color w:val="auto"/>
        </w:rPr>
        <w:t>Diluted EPS increased year to date June 30, 2021, compared to the same period in 2020, primarily due to the increase in net income attributable to Evergy discussed above.</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For additional information regarding the change in net income, refer to the Evergy Results of Operations section within this MD&amp;A.</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Earnings (non-GAAP) and Adjusted EPS (non-GAAP)</w:t>
      </w:r>
    </w:p>
    <w:p>
      <w:pPr>
        <w:spacing w:after="0" w:line="2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Evergy's adjusted earnings (non-GAAP) and adjusted EPS (non-GAAP) for the three months ended and year to date June 30, 2021, were $195.1 million or $0.85 per share and $320.5 million or $1.40 per share, respectively. For the three months ended and year to date June 30, 2020, Evergy's adjusted earnings (non-GAAP) and adjusted EPS (non-GAAP) were $154.2 million or $0.68 per share and $248.4 million or $1.09 per share, respectively. In addition to net income attributable to Evergy, Inc. and diluted EPS, Evergy's management uses adjusted earnings (non-GAAP) and adjusted EPS (non-GAAP) to evaluate earnings and EPS without the income or costs resulting from non-regulated energy marketing margins from the February 2021 winter weather event, as well as costs resulting from executive transition, severance, advisor expenses and the revaluation of deferred tax assets and liabilities from the Kansas corporate income tax rate change.</w:t>
      </w:r>
    </w:p>
    <w:p>
      <w:pPr>
        <w:spacing w:after="0" w:line="170"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Adjusted earnings (non-GAAP) and adjusted EPS (non-GAAP) are intended to enhance an investor's overall understanding of results. Management believes that adjusted earnings (non-GAAP) provides a meaningful basis for evaluating Evergy's operations across periods because it excludes certain items that management does not believe are indicative of Evergy's ongoing performance. 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following tables provide a reconciliation between net income attributable to Evergy, Inc. and diluted EPS as determined in accordance with GAAP and adjusted earnings (non-GAAP) and adjusted EPS (non-GAAP).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10"/>
              <w:spacing w:after="0" w:line="202" w:lineRule="exact"/>
              <w:rPr>
                <w:sz w:val="20"/>
                <w:szCs w:val="20"/>
                <w:color w:val="auto"/>
              </w:rPr>
            </w:pPr>
            <w:r>
              <w:rPr>
                <w:rFonts w:ascii="Arial" w:cs="Arial" w:eastAsia="Arial" w:hAnsi="Arial"/>
                <w:sz w:val="18"/>
                <w:szCs w:val="18"/>
                <w:b w:val="1"/>
                <w:bCs w:val="1"/>
                <w:color w:val="auto"/>
                <w:w w:val="90"/>
              </w:rPr>
              <w:t>Earnings</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30"/>
              <w:spacing w:after="0" w:line="202"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0"/>
              </w:rPr>
              <w:t>Earnings</w:t>
            </w: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5"/>
                <w:szCs w:val="15"/>
                <w:color w:val="auto"/>
              </w:rPr>
            </w:pPr>
          </w:p>
        </w:tc>
        <w:tc>
          <w:tcPr>
            <w:tcW w:w="10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4"/>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185.3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Non-regulated energy marketing margin related to February 2021</w:t>
            </w:r>
          </w:p>
        </w:tc>
        <w:tc>
          <w:tcPr>
            <w:tcW w:w="8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360"/>
              <w:spacing w:after="0" w:line="176" w:lineRule="exact"/>
              <w:rPr>
                <w:sz w:val="20"/>
                <w:szCs w:val="20"/>
                <w:color w:val="auto"/>
              </w:rPr>
            </w:pPr>
            <w:r>
              <w:rPr>
                <w:rFonts w:ascii="Arial" w:cs="Arial" w:eastAsia="Arial" w:hAnsi="Arial"/>
                <w:sz w:val="18"/>
                <w:szCs w:val="18"/>
                <w:color w:val="auto"/>
              </w:rPr>
              <w:t>Non-regulated energy marketing costs related to February 2021</w:t>
            </w:r>
          </w:p>
        </w:tc>
        <w:tc>
          <w:tcPr>
            <w:tcW w:w="860" w:type="dxa"/>
            <w:vAlign w:val="bottom"/>
          </w:tcPr>
          <w:p>
            <w:pPr>
              <w:spacing w:after="0"/>
              <w:rPr>
                <w:sz w:val="15"/>
                <w:szCs w:val="15"/>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5"/>
                <w:szCs w:val="15"/>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5"/>
                <w:szCs w:val="15"/>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(b)</w:t>
            </w:r>
          </w:p>
        </w:tc>
        <w:tc>
          <w:tcPr>
            <w:tcW w:w="8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Executive transition costs, pre-tax</w:t>
            </w:r>
            <w:r>
              <w:rPr>
                <w:rFonts w:ascii="Arial" w:cs="Arial" w:eastAsia="Arial" w:hAnsi="Arial"/>
                <w:sz w:val="23"/>
                <w:szCs w:val="23"/>
                <w:color w:val="auto"/>
                <w:vertAlign w:val="superscript"/>
              </w:rPr>
              <w:t>(c)</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Severance costs, pre-tax</w:t>
            </w:r>
            <w:r>
              <w:rPr>
                <w:rFonts w:ascii="Arial" w:cs="Arial" w:eastAsia="Arial" w:hAnsi="Arial"/>
                <w:sz w:val="23"/>
                <w:szCs w:val="23"/>
                <w:color w:val="auto"/>
                <w:vertAlign w:val="superscript"/>
              </w:rPr>
              <w:t>(d)</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(e)</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Income tax benefit</w:t>
            </w:r>
            <w:r>
              <w:rPr>
                <w:rFonts w:ascii="Arial" w:cs="Arial" w:eastAsia="Arial" w:hAnsi="Arial"/>
                <w:sz w:val="23"/>
                <w:szCs w:val="23"/>
                <w:color w:val="auto"/>
                <w:vertAlign w:val="superscript"/>
              </w:rPr>
              <w:t>(f)</w:t>
            </w:r>
          </w:p>
        </w:tc>
        <w:tc>
          <w:tcPr>
            <w:tcW w:w="8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shd w:val="clear" w:color="auto" w:fill="CCEEFF"/>
          </w:tcPr>
          <w:p>
            <w:pPr>
              <w:ind w:left="360"/>
              <w:spacing w:after="0" w:line="230" w:lineRule="exact"/>
              <w:rPr>
                <w:sz w:val="20"/>
                <w:szCs w:val="20"/>
                <w:color w:val="auto"/>
              </w:rPr>
            </w:pPr>
            <w:r>
              <w:rPr>
                <w:rFonts w:ascii="Arial" w:cs="Arial" w:eastAsia="Arial" w:hAnsi="Arial"/>
                <w:sz w:val="18"/>
                <w:szCs w:val="18"/>
                <w:color w:val="auto"/>
              </w:rPr>
              <w:t>Kansas corporate income tax change</w:t>
            </w:r>
            <w:r>
              <w:rPr>
                <w:rFonts w:ascii="Arial" w:cs="Arial" w:eastAsia="Arial" w:hAnsi="Arial"/>
                <w:sz w:val="23"/>
                <w:szCs w:val="23"/>
                <w:color w:val="auto"/>
                <w:vertAlign w:val="superscript"/>
              </w:rPr>
              <w:t>(g)</w:t>
            </w:r>
          </w:p>
        </w:tc>
        <w:tc>
          <w:tcPr>
            <w:tcW w:w="8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earnings (non-GAAP)</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37"/>
        </w:trPr>
        <w:tc>
          <w:tcPr>
            <w:tcW w:w="57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0"/>
              </w:rPr>
              <w:t>Earnings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0"/>
              </w:rPr>
              <w:t>Earnings</w:t>
            </w: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9"/>
              </w:rPr>
              <w:t>(Loss) per</w:t>
            </w:r>
          </w:p>
        </w:tc>
        <w:tc>
          <w:tcPr>
            <w:tcW w:w="240" w:type="dxa"/>
            <w:vAlign w:val="bottom"/>
          </w:tcPr>
          <w:p>
            <w:pPr>
              <w:spacing w:after="0"/>
              <w:rPr>
                <w:sz w:val="15"/>
                <w:szCs w:val="15"/>
                <w:color w:val="auto"/>
              </w:rPr>
            </w:pPr>
          </w:p>
        </w:tc>
        <w:tc>
          <w:tcPr>
            <w:tcW w:w="1020" w:type="dxa"/>
            <w:vAlign w:val="bottom"/>
            <w:vMerge w:val="restart"/>
          </w:tcPr>
          <w:p>
            <w:pPr>
              <w:jc w:val="center"/>
              <w:ind w:right="19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9"/>
              </w:rPr>
              <w:t>(Loss) per</w:t>
            </w: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4"/>
              </w:rPr>
              <w:t>Diluted</w:t>
            </w:r>
          </w:p>
        </w:tc>
        <w:tc>
          <w:tcPr>
            <w:tcW w:w="2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4"/>
              </w:rPr>
              <w:t>Diluted</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(Loss)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8"/>
              </w:rPr>
              <w:t>(Loss)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Share</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8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color w:val="auto"/>
                <w:w w:val="93"/>
              </w:rPr>
              <w:t>(millions, except per share amounts)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Non-GAAP reconciling items:</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Non-regulated energy marketing margin related to February 2021</w:t>
            </w:r>
          </w:p>
        </w:tc>
        <w:tc>
          <w:tcPr>
            <w:tcW w:w="8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(a)</w:t>
            </w:r>
          </w:p>
        </w:tc>
        <w:tc>
          <w:tcPr>
            <w:tcW w:w="8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360"/>
              <w:spacing w:after="0" w:line="176" w:lineRule="exact"/>
              <w:rPr>
                <w:sz w:val="20"/>
                <w:szCs w:val="20"/>
                <w:color w:val="auto"/>
              </w:rPr>
            </w:pPr>
            <w:r>
              <w:rPr>
                <w:rFonts w:ascii="Arial" w:cs="Arial" w:eastAsia="Arial" w:hAnsi="Arial"/>
                <w:sz w:val="18"/>
                <w:szCs w:val="18"/>
                <w:color w:val="auto"/>
              </w:rPr>
              <w:t>Non-regulated energy marketing costs related to February 2021</w:t>
            </w:r>
          </w:p>
        </w:tc>
        <w:tc>
          <w:tcPr>
            <w:tcW w:w="860" w:type="dxa"/>
            <w:vAlign w:val="bottom"/>
          </w:tcPr>
          <w:p>
            <w:pPr>
              <w:spacing w:after="0"/>
              <w:rPr>
                <w:sz w:val="15"/>
                <w:szCs w:val="15"/>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5"/>
                <w:szCs w:val="15"/>
                <w:color w:val="auto"/>
              </w:rPr>
            </w:pPr>
          </w:p>
        </w:tc>
        <w:tc>
          <w:tcPr>
            <w:tcW w:w="1020" w:type="dxa"/>
            <w:vAlign w:val="bottom"/>
            <w:vMerge w:val="restart"/>
          </w:tcPr>
          <w:p>
            <w:pPr>
              <w:jc w:val="right"/>
              <w:ind w:right="5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5"/>
                <w:szCs w:val="15"/>
                <w:color w:val="auto"/>
              </w:rPr>
            </w:pPr>
          </w:p>
        </w:tc>
        <w:tc>
          <w:tcPr>
            <w:tcW w:w="102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tcPr>
          <w:p>
            <w:pPr>
              <w:ind w:left="480"/>
              <w:spacing w:after="0" w:line="230" w:lineRule="exact"/>
              <w:rPr>
                <w:sz w:val="20"/>
                <w:szCs w:val="20"/>
                <w:color w:val="auto"/>
              </w:rPr>
            </w:pPr>
            <w:r>
              <w:rPr>
                <w:rFonts w:ascii="Arial" w:cs="Arial" w:eastAsia="Arial" w:hAnsi="Arial"/>
                <w:sz w:val="18"/>
                <w:szCs w:val="18"/>
                <w:color w:val="auto"/>
              </w:rPr>
              <w:t>winter weather event, pre-tax</w:t>
            </w:r>
            <w:r>
              <w:rPr>
                <w:rFonts w:ascii="Arial" w:cs="Arial" w:eastAsia="Arial" w:hAnsi="Arial"/>
                <w:sz w:val="23"/>
                <w:szCs w:val="23"/>
                <w:color w:val="auto"/>
                <w:vertAlign w:val="superscript"/>
              </w:rPr>
              <w:t>(b)</w:t>
            </w:r>
          </w:p>
        </w:tc>
        <w:tc>
          <w:tcPr>
            <w:tcW w:w="8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Executive transition costs, pre-tax</w:t>
            </w:r>
            <w:r>
              <w:rPr>
                <w:rFonts w:ascii="Arial" w:cs="Arial" w:eastAsia="Arial" w:hAnsi="Arial"/>
                <w:sz w:val="23"/>
                <w:szCs w:val="23"/>
                <w:color w:val="auto"/>
                <w:vertAlign w:val="superscript"/>
              </w:rPr>
              <w:t>(c)</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Severance costs, pre-tax</w:t>
            </w:r>
            <w:r>
              <w:rPr>
                <w:rFonts w:ascii="Arial" w:cs="Arial" w:eastAsia="Arial" w:hAnsi="Arial"/>
                <w:sz w:val="23"/>
                <w:szCs w:val="23"/>
                <w:color w:val="auto"/>
                <w:vertAlign w:val="superscript"/>
              </w:rPr>
              <w:t>(d)</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Advisor expenses, pre-tax</w:t>
            </w:r>
            <w:r>
              <w:rPr>
                <w:rFonts w:ascii="Arial" w:cs="Arial" w:eastAsia="Arial" w:hAnsi="Arial"/>
                <w:sz w:val="23"/>
                <w:szCs w:val="23"/>
                <w:color w:val="auto"/>
                <w:vertAlign w:val="superscript"/>
              </w:rPr>
              <w:t>(e)</w:t>
            </w:r>
          </w:p>
        </w:tc>
        <w:tc>
          <w:tcPr>
            <w:tcW w:w="8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0.03</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3"/>
                <w:szCs w:val="23"/>
                <w:color w:val="auto"/>
                <w:vertAlign w:val="superscript"/>
              </w:rPr>
              <w:t>(f)</w:t>
            </w:r>
          </w:p>
        </w:tc>
        <w:tc>
          <w:tcPr>
            <w:tcW w:w="86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shd w:val="clear" w:color="auto" w:fill="CCEEFF"/>
          </w:tcPr>
          <w:p>
            <w:pPr>
              <w:ind w:left="360"/>
              <w:spacing w:after="0" w:line="230" w:lineRule="exact"/>
              <w:rPr>
                <w:sz w:val="20"/>
                <w:szCs w:val="20"/>
                <w:color w:val="auto"/>
              </w:rPr>
            </w:pPr>
            <w:r>
              <w:rPr>
                <w:rFonts w:ascii="Arial" w:cs="Arial" w:eastAsia="Arial" w:hAnsi="Arial"/>
                <w:sz w:val="18"/>
                <w:szCs w:val="18"/>
                <w:color w:val="auto"/>
              </w:rPr>
              <w:t>Kansas corporate income tax change</w:t>
            </w:r>
            <w:r>
              <w:rPr>
                <w:rFonts w:ascii="Arial" w:cs="Arial" w:eastAsia="Arial" w:hAnsi="Arial"/>
                <w:sz w:val="23"/>
                <w:szCs w:val="23"/>
                <w:color w:val="auto"/>
                <w:vertAlign w:val="superscript"/>
              </w:rPr>
              <w:t>(g)</w:t>
            </w:r>
          </w:p>
        </w:tc>
        <w:tc>
          <w:tcPr>
            <w:tcW w:w="8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13.8</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Adjusted earnings (non-GAAP)</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180" w:right="20" w:hanging="172"/>
        <w:spacing w:after="0" w:line="233" w:lineRule="auto"/>
        <w:tabs>
          <w:tab w:leader="none" w:pos="17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non-regulated energy marketing margins related to the February 2021 winter weather event and are included in operating revenues on the consolidated statements of comprehensive income.</w:t>
      </w:r>
    </w:p>
    <w:p>
      <w:pPr>
        <w:spacing w:after="0" w:line="1" w:lineRule="exact"/>
        <w:rPr>
          <w:rFonts w:ascii="Arial" w:cs="Arial" w:eastAsia="Arial" w:hAnsi="Arial"/>
          <w:sz w:val="20"/>
          <w:szCs w:val="20"/>
          <w:color w:val="auto"/>
          <w:vertAlign w:val="superscript"/>
        </w:rPr>
      </w:pPr>
    </w:p>
    <w:p>
      <w:pPr>
        <w:ind w:left="180" w:right="160" w:hanging="172"/>
        <w:spacing w:after="0" w:line="232"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non-regulated energy marketing incentive compensation costs related to the February 2021 winter weather event and are included in operating and maintenance expense on the consolidated statements of comprehensive income.</w:t>
      </w:r>
    </w:p>
    <w:p>
      <w:pPr>
        <w:ind w:left="180" w:right="200" w:hanging="172"/>
        <w:spacing w:after="0" w:line="213" w:lineRule="auto"/>
        <w:tabs>
          <w:tab w:leader="none" w:pos="175"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Reflects costs associated with executive transition including inducement bonuses, severance agreements and other transition expenses and are included in operating and maintenance expense on the consolidated statements of comprehensive income.</w:t>
      </w:r>
    </w:p>
    <w:p>
      <w:pPr>
        <w:ind w:left="180" w:right="120" w:hanging="172"/>
        <w:spacing w:after="0" w:line="232"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severance costs incurred associated with certain voluntary severance programs at the Evergy Companies and are included in operating and maintenance expense on the consolidated statements of comprehensive income.</w:t>
      </w:r>
    </w:p>
    <w:p>
      <w:pPr>
        <w:ind w:left="180" w:right="760" w:hanging="172"/>
        <w:spacing w:after="0" w:line="225" w:lineRule="auto"/>
        <w:tabs>
          <w:tab w:leader="none" w:pos="175"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advisor expenses incurred associated with strategic planning and are included in operating and maintenance expense on the consolidated statements of comprehensive income.</w:t>
      </w:r>
    </w:p>
    <w:p>
      <w:pPr>
        <w:ind w:left="160" w:hanging="152"/>
        <w:spacing w:after="0" w:line="197" w:lineRule="auto"/>
        <w:tabs>
          <w:tab w:leader="none" w:pos="160"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Reflects an income tax effect calculated at a statutory rate of approximately 22% in 2021 and 26% in 2020, with the exception of certain non-deductible items.</w:t>
      </w:r>
    </w:p>
    <w:p>
      <w:pPr>
        <w:ind w:left="180" w:right="400" w:hanging="172"/>
        <w:spacing w:after="0" w:line="234" w:lineRule="auto"/>
        <w:tabs>
          <w:tab w:leader="none" w:pos="168"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Reflects the revaluation of Evergy Kansas Central's, Evergy Metro's and Evergy Missouri West's deferred income tax assets and liabilities from the Kansas corporate income tax rate change and are included in income tax expense on the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Wolf Creek Refueling Outage</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Wolf Creek's most recent refueling outage began in March 2021 and the unit returned to service in May 2021. Wolf Creek's next refueling outage is planned to begin in the third quarter of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10 to the consolidated financial statements for information regarding environmental matters.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11 to the consolidated financial statements for information regarding related party transactions.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comparative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gridSpan w:val="4"/>
          </w:tcPr>
          <w:p>
            <w:pPr>
              <w:jc w:val="right"/>
              <w:ind w:right="30"/>
              <w:spacing w:after="0" w:line="202" w:lineRule="exact"/>
              <w:rPr>
                <w:sz w:val="20"/>
                <w:szCs w:val="20"/>
                <w:color w:val="auto"/>
              </w:rPr>
            </w:pPr>
            <w:r>
              <w:rPr>
                <w:rFonts w:ascii="Arial" w:cs="Arial" w:eastAsia="Arial" w:hAnsi="Arial"/>
                <w:sz w:val="18"/>
                <w:szCs w:val="18"/>
                <w:b w:val="1"/>
                <w:bCs w:val="1"/>
                <w:color w:val="auto"/>
              </w:rPr>
              <w:t>Three Months Ended</w:t>
            </w:r>
          </w:p>
        </w:tc>
        <w:tc>
          <w:tcPr>
            <w:tcW w:w="9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100"/>
              <w:spacing w:after="0" w:line="202" w:lineRule="exact"/>
              <w:rPr>
                <w:sz w:val="20"/>
                <w:szCs w:val="20"/>
                <w:color w:val="auto"/>
              </w:rPr>
            </w:pPr>
            <w:r>
              <w:rPr>
                <w:rFonts w:ascii="Arial" w:cs="Arial" w:eastAsia="Arial" w:hAnsi="Arial"/>
                <w:sz w:val="18"/>
                <w:szCs w:val="18"/>
                <w:b w:val="1"/>
                <w:bCs w:val="1"/>
                <w:color w:val="auto"/>
              </w:rPr>
              <w:t>Year to Date</w:t>
            </w: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June 30</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w:t>
            </w: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0"/>
        </w:trPr>
        <w:tc>
          <w:tcPr>
            <w:tcW w:w="4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1,236.2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51.5</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1,184.7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2,848.1</w:t>
            </w:r>
          </w:p>
        </w:tc>
        <w:tc>
          <w:tcPr>
            <w:tcW w:w="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546.7</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284.1</w:t>
            </w:r>
          </w:p>
        </w:tc>
        <w:tc>
          <w:tcPr>
            <w:tcW w:w="2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26.0</w:t>
            </w:r>
          </w:p>
        </w:tc>
        <w:tc>
          <w:tcPr>
            <w:tcW w:w="3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258.1</w:t>
            </w:r>
          </w:p>
        </w:tc>
        <w:tc>
          <w:tcPr>
            <w:tcW w:w="3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919.2</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402.9</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516.3</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69.7</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143.2</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259.9</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3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272.7</w:t>
            </w:r>
          </w:p>
        </w:tc>
        <w:tc>
          <w:tcPr>
            <w:tcW w:w="3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535.4</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560.9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225.2</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221.6</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444.5</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97.9</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90.9</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192.8</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295.3</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23.6</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271.7</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613.0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143.8</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99.5</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187.8</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33.7</w:t>
            </w:r>
          </w:p>
        </w:tc>
        <w:tc>
          <w:tcPr>
            <w:tcW w:w="3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42.6</w:t>
            </w: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Equity in earnings of equity method investees, net of</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188.3</w:t>
            </w:r>
          </w:p>
        </w:tc>
        <w:tc>
          <w:tcPr>
            <w:tcW w:w="2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52.0</w:t>
            </w:r>
          </w:p>
        </w:tc>
        <w:tc>
          <w:tcPr>
            <w:tcW w:w="3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136.3</w:t>
            </w:r>
          </w:p>
        </w:tc>
        <w:tc>
          <w:tcPr>
            <w:tcW w:w="36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382.9</w:t>
            </w:r>
          </w:p>
        </w:tc>
        <w:tc>
          <w:tcPr>
            <w:tcW w:w="24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174.4</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Less: Net income attributable to noncontrolling</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51.9</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133.4</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376.9</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174.1</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Utility Gross Margin and MWh Sales</w:t>
      </w:r>
    </w:p>
    <w:p>
      <w:pPr>
        <w:spacing w:after="0" w:line="22"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color w:val="auto"/>
        </w:rPr>
        <w:t>Utility gross margin is a financial measure that is not calculated in accordance with GAAP. Utility gross margin,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w:t>
      </w:r>
    </w:p>
    <w:p>
      <w:pPr>
        <w:spacing w:after="0" w:line="188" w:lineRule="exact"/>
        <w:rPr>
          <w:sz w:val="20"/>
          <w:szCs w:val="20"/>
          <w:color w:val="auto"/>
        </w:rPr>
      </w:pPr>
    </w:p>
    <w:p>
      <w:pPr>
        <w:jc w:val="both"/>
        <w:ind w:right="40"/>
        <w:spacing w:after="0" w:line="282" w:lineRule="auto"/>
        <w:rPr>
          <w:sz w:val="20"/>
          <w:szCs w:val="20"/>
          <w:color w:val="auto"/>
        </w:rPr>
      </w:pPr>
      <w:r>
        <w:rPr>
          <w:rFonts w:ascii="Arial" w:cs="Arial" w:eastAsia="Arial" w:hAnsi="Arial"/>
          <w:sz w:val="18"/>
          <w:szCs w:val="18"/>
          <w:color w:val="auto"/>
        </w:rPr>
        <w:t>Management believes that utility gross margin provides a meaningful basis for evaluating the Evergy Companies' operations across periods because utility gross margin excludes the revenue effect of fluctuations in these expenses. Utility gross margin is used internally to measure performance against budget and in reports for management and the Evergy Board. Utility gross margin should be viewed as a supplement to, and not a substitute for, income from operations, which is the most directly comparable financial measure prepared in accordance with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ind w:left="1"/>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1"/>
        <w:spacing w:after="0"/>
        <w:rPr>
          <w:sz w:val="20"/>
          <w:szCs w:val="20"/>
          <w:color w:val="auto"/>
        </w:rPr>
      </w:pPr>
      <w:r>
        <w:rPr>
          <w:rFonts w:ascii="Arial" w:cs="Arial" w:eastAsia="Arial" w:hAnsi="Arial"/>
          <w:sz w:val="20"/>
          <w:szCs w:val="20"/>
          <w:color w:val="auto"/>
        </w:rPr>
        <w:t>GAAP. The Evergy Companies' definition of utility gross margin may differ from similar terms used by other companies.</w:t>
      </w:r>
    </w:p>
    <w:p>
      <w:pPr>
        <w:spacing w:after="0" w:line="216" w:lineRule="exact"/>
        <w:rPr>
          <w:sz w:val="20"/>
          <w:szCs w:val="20"/>
          <w:color w:val="auto"/>
        </w:rPr>
      </w:pPr>
    </w:p>
    <w:p>
      <w:pPr>
        <w:ind w:left="1" w:right="80"/>
        <w:spacing w:after="0" w:line="260" w:lineRule="auto"/>
        <w:rPr>
          <w:sz w:val="20"/>
          <w:szCs w:val="20"/>
          <w:color w:val="auto"/>
        </w:rPr>
      </w:pPr>
      <w:r>
        <w:rPr>
          <w:rFonts w:ascii="Arial" w:cs="Arial" w:eastAsia="Arial" w:hAnsi="Arial"/>
          <w:sz w:val="20"/>
          <w:szCs w:val="20"/>
          <w:color w:val="auto"/>
        </w:rPr>
        <w:t>The following tables summarize Evergy's utility gross margin and MWhs sold and provide a reconciliation of utility gross margin to income from operations.</w:t>
      </w:r>
    </w:p>
    <w:p>
      <w:pPr>
        <w:spacing w:after="0" w:line="201"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49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6"/>
              </w:rPr>
              <w:t>Revenues and Expenses</w:t>
            </w: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20" w:type="dxa"/>
            <w:vAlign w:val="bottom"/>
            <w:tcBorders>
              <w:top w:val="single" w:sz="8" w:color="auto"/>
            </w:tcBorders>
          </w:tcPr>
          <w:p>
            <w:pPr>
              <w:spacing w:after="0"/>
              <w:rPr>
                <w:sz w:val="21"/>
                <w:szCs w:val="21"/>
                <w:color w:val="auto"/>
              </w:rPr>
            </w:pPr>
          </w:p>
        </w:tc>
      </w:tr>
      <w:tr>
        <w:trPr>
          <w:trHeight w:val="234"/>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0"/>
              </w:rPr>
              <w:t>Change</w:t>
            </w:r>
          </w:p>
        </w:tc>
        <w:tc>
          <w:tcPr>
            <w:tcW w:w="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2020</w:t>
            </w:r>
          </w:p>
        </w:tc>
        <w:tc>
          <w:tcPr>
            <w:tcW w:w="106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center"/>
              <w:ind w:right="151"/>
              <w:spacing w:after="0"/>
              <w:rPr>
                <w:sz w:val="20"/>
                <w:szCs w:val="20"/>
                <w:color w:val="auto"/>
              </w:rPr>
            </w:pPr>
            <w:r>
              <w:rPr>
                <w:rFonts w:ascii="Arial" w:cs="Arial" w:eastAsia="Arial" w:hAnsi="Arial"/>
                <w:sz w:val="16"/>
                <w:szCs w:val="16"/>
                <w:color w:val="auto"/>
                <w:w w:val="99"/>
              </w:rPr>
              <w:t>(millions)</w:t>
            </w: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20" w:type="dxa"/>
            <w:vAlign w:val="bottom"/>
          </w:tcPr>
          <w:p>
            <w:pPr>
              <w:spacing w:after="0"/>
              <w:rPr>
                <w:sz w:val="19"/>
                <w:szCs w:val="19"/>
                <w:color w:val="auto"/>
              </w:rPr>
            </w:pPr>
          </w:p>
        </w:tc>
      </w:tr>
      <w:tr>
        <w:trPr>
          <w:trHeight w:val="229"/>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3,459</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422.5</w:t>
            </w:r>
          </w:p>
        </w:tc>
        <w:tc>
          <w:tcPr>
            <w:tcW w:w="24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33.8</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388.7</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4,170</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316</w:t>
            </w:r>
          </w:p>
        </w:tc>
        <w:tc>
          <w:tcPr>
            <w:tcW w:w="820" w:type="dxa"/>
            <w:vAlign w:val="bottom"/>
          </w:tcPr>
          <w:p>
            <w:pPr>
              <w:jc w:val="right"/>
              <w:spacing w:after="0"/>
              <w:rPr>
                <w:sz w:val="20"/>
                <w:szCs w:val="20"/>
                <w:color w:val="auto"/>
              </w:rPr>
            </w:pPr>
            <w:r>
              <w:rPr>
                <w:rFonts w:ascii="Arial" w:cs="Arial" w:eastAsia="Arial" w:hAnsi="Arial"/>
                <w:sz w:val="18"/>
                <w:szCs w:val="18"/>
                <w:color w:val="auto"/>
              </w:rPr>
              <w:t>3,854</w:t>
            </w: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150.0</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2,073</w:t>
            </w: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174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29"/>
        </w:trPr>
        <w:tc>
          <w:tcPr>
            <w:tcW w:w="490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35</w:t>
            </w:r>
          </w:p>
        </w:tc>
        <w:tc>
          <w:tcPr>
            <w:tcW w:w="1160" w:type="dxa"/>
            <w:vAlign w:val="bottom"/>
          </w:tcPr>
          <w:p>
            <w:pPr>
              <w:jc w:val="right"/>
              <w:ind w:right="191"/>
              <w:spacing w:after="0"/>
              <w:rPr>
                <w:sz w:val="20"/>
                <w:szCs w:val="20"/>
                <w:color w:val="auto"/>
              </w:rPr>
            </w:pPr>
            <w:r>
              <w:rPr>
                <w:rFonts w:ascii="Arial" w:cs="Arial" w:eastAsia="Arial" w:hAnsi="Arial"/>
                <w:sz w:val="18"/>
                <w:szCs w:val="18"/>
                <w:color w:val="auto"/>
              </w:rPr>
              <w:t>3</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4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1,041.8</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28.0</w:t>
            </w:r>
          </w:p>
        </w:tc>
        <w:tc>
          <w:tcPr>
            <w:tcW w:w="3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1,013.8</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9,737</w:t>
            </w:r>
          </w:p>
        </w:tc>
        <w:tc>
          <w:tcPr>
            <w:tcW w:w="1160" w:type="dxa"/>
            <w:vAlign w:val="bottom"/>
            <w:tcBorders>
              <w:top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rPr>
              <w:t>229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9,508</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22.7</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3,486</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(375)</w:t>
            </w:r>
          </w:p>
        </w:tc>
        <w:tc>
          <w:tcPr>
            <w:tcW w:w="820" w:type="dxa"/>
            <w:vAlign w:val="bottom"/>
          </w:tcPr>
          <w:p>
            <w:pPr>
              <w:jc w:val="right"/>
              <w:spacing w:after="0"/>
              <w:rPr>
                <w:sz w:val="20"/>
                <w:szCs w:val="20"/>
                <w:color w:val="auto"/>
              </w:rPr>
            </w:pPr>
            <w:r>
              <w:rPr>
                <w:rFonts w:ascii="Arial" w:cs="Arial" w:eastAsia="Arial" w:hAnsi="Arial"/>
                <w:sz w:val="18"/>
                <w:szCs w:val="18"/>
                <w:color w:val="auto"/>
              </w:rPr>
              <w:t>3,861</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90.4</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8.2</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34.0</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(7.4)</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N/A</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1,236.2</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51.5</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1,184.7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13,223</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13,369</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(284.1)</w:t>
            </w:r>
          </w:p>
        </w:tc>
        <w:tc>
          <w:tcPr>
            <w:tcW w:w="2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(26.0)</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(73.8)</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49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00" w:type="dxa"/>
            <w:vAlign w:val="bottom"/>
          </w:tcPr>
          <w:p>
            <w:pPr>
              <w:spacing w:after="0"/>
              <w:rPr>
                <w:sz w:val="19"/>
                <w:szCs w:val="19"/>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878.3</w:t>
            </w:r>
          </w:p>
        </w:tc>
        <w:tc>
          <w:tcPr>
            <w:tcW w:w="240" w:type="dxa"/>
            <w:vAlign w:val="bottom"/>
          </w:tcPr>
          <w:p>
            <w:pPr>
              <w:spacing w:after="0"/>
              <w:rPr>
                <w:sz w:val="19"/>
                <w:szCs w:val="19"/>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21.4</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856.9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(259.9)</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12.8</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(225.2)</w:t>
            </w:r>
          </w:p>
        </w:tc>
        <w:tc>
          <w:tcPr>
            <w:tcW w:w="240" w:type="dxa"/>
            <w:vAlign w:val="bottom"/>
          </w:tcPr>
          <w:p>
            <w:pPr>
              <w:spacing w:after="0"/>
              <w:rPr>
                <w:sz w:val="19"/>
                <w:szCs w:val="19"/>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(97.9)</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(7.0)</w:t>
            </w: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8"/>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295.3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11"/>
              <w:spacing w:after="0"/>
              <w:rPr>
                <w:sz w:val="20"/>
                <w:szCs w:val="20"/>
                <w:color w:val="auto"/>
              </w:rPr>
            </w:pPr>
            <w:r>
              <w:rPr>
                <w:rFonts w:ascii="Arial" w:cs="Arial" w:eastAsia="Arial" w:hAnsi="Arial"/>
                <w:sz w:val="18"/>
                <w:szCs w:val="18"/>
                <w:b w:val="1"/>
                <w:bCs w:val="1"/>
                <w:color w:val="auto"/>
              </w:rPr>
              <w:t>23.6</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271.7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0980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ind w:left="161" w:hanging="161"/>
        <w:spacing w:after="0"/>
        <w:tabs>
          <w:tab w:leader="none" w:pos="16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Utility gross margin is a non-GAAP financial measure. See explanation of utility gross margin above.</w:t>
      </w:r>
    </w:p>
    <w:p>
      <w:pPr>
        <w:spacing w:after="0" w:line="215" w:lineRule="exact"/>
        <w:rPr>
          <w:sz w:val="20"/>
          <w:szCs w:val="20"/>
          <w:color w:val="auto"/>
        </w:rPr>
      </w:pPr>
    </w:p>
    <w:tbl>
      <w:tblPr>
        <w:tblLayout w:type="fixed"/>
        <w:tblInd w:w="1" w:type="dxa"/>
        <w:tblCellMar>
          <w:top w:w="0" w:type="dxa"/>
          <w:left w:w="0" w:type="dxa"/>
          <w:bottom w:w="0" w:type="dxa"/>
          <w:right w:w="0" w:type="dxa"/>
        </w:tblCellMar>
      </w:tblPr>
      <w:tr>
        <w:trPr>
          <w:trHeight w:val="252"/>
        </w:trPr>
        <w:tc>
          <w:tcPr>
            <w:tcW w:w="5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780" w:type="dxa"/>
            <w:vAlign w:val="bottom"/>
            <w:tcBorders>
              <w:top w:val="single" w:sz="8" w:color="auto"/>
            </w:tcBorders>
            <w:gridSpan w:val="5"/>
          </w:tcPr>
          <w:p>
            <w:pPr>
              <w:jc w:val="center"/>
              <w:ind w:right="110"/>
              <w:spacing w:after="0"/>
              <w:rPr>
                <w:sz w:val="20"/>
                <w:szCs w:val="20"/>
                <w:color w:val="auto"/>
              </w:rPr>
            </w:pPr>
            <w:r>
              <w:rPr>
                <w:rFonts w:ascii="Arial" w:cs="Arial" w:eastAsia="Arial" w:hAnsi="Arial"/>
                <w:sz w:val="18"/>
                <w:szCs w:val="18"/>
                <w:b w:val="1"/>
                <w:bCs w:val="1"/>
                <w:color w:val="auto"/>
                <w:w w:val="86"/>
              </w:rPr>
              <w:t>Revenues and Expenses</w:t>
            </w: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2"/>
              </w:rPr>
              <w:t>MWhs Sold</w:t>
            </w:r>
          </w:p>
        </w:tc>
        <w:tc>
          <w:tcPr>
            <w:tcW w:w="840" w:type="dxa"/>
            <w:vAlign w:val="bottom"/>
            <w:tcBorders>
              <w:top w:val="single" w:sz="8" w:color="auto"/>
            </w:tcBorders>
          </w:tcPr>
          <w:p>
            <w:pPr>
              <w:spacing w:after="0"/>
              <w:rPr>
                <w:sz w:val="21"/>
                <w:szCs w:val="21"/>
                <w:color w:val="auto"/>
              </w:rPr>
            </w:pPr>
          </w:p>
        </w:tc>
      </w:tr>
      <w:tr>
        <w:trPr>
          <w:trHeight w:val="234"/>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7"/>
              </w:rPr>
              <w:t>Change</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7"/>
              </w:rPr>
              <w:t>Change</w:t>
            </w: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ind w:right="91"/>
              <w:spacing w:after="0"/>
              <w:rPr>
                <w:sz w:val="20"/>
                <w:szCs w:val="20"/>
                <w:color w:val="auto"/>
              </w:rPr>
            </w:pPr>
            <w:r>
              <w:rPr>
                <w:rFonts w:ascii="Arial" w:cs="Arial" w:eastAsia="Arial" w:hAnsi="Arial"/>
                <w:sz w:val="16"/>
                <w:szCs w:val="16"/>
                <w:color w:val="auto"/>
                <w:w w:val="96"/>
              </w:rPr>
              <w:t>(millions)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jc w:val="center"/>
              <w:ind w:right="31"/>
              <w:spacing w:after="0"/>
              <w:rPr>
                <w:sz w:val="20"/>
                <w:szCs w:val="20"/>
                <w:color w:val="auto"/>
              </w:rPr>
            </w:pPr>
            <w:r>
              <w:rPr>
                <w:rFonts w:ascii="Arial" w:cs="Arial" w:eastAsia="Arial" w:hAnsi="Arial"/>
                <w:sz w:val="16"/>
                <w:szCs w:val="16"/>
                <w:color w:val="auto"/>
                <w:w w:val="89"/>
              </w:rPr>
              <w:t>(thousands)</w:t>
            </w: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7,421</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768.5</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773.4</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8,392</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332</w:t>
            </w:r>
          </w:p>
        </w:tc>
        <w:tc>
          <w:tcPr>
            <w:tcW w:w="840" w:type="dxa"/>
            <w:vAlign w:val="bottom"/>
          </w:tcPr>
          <w:p>
            <w:pPr>
              <w:jc w:val="right"/>
              <w:spacing w:after="0"/>
              <w:rPr>
                <w:sz w:val="20"/>
                <w:szCs w:val="20"/>
                <w:color w:val="auto"/>
              </w:rPr>
            </w:pPr>
            <w:r>
              <w:rPr>
                <w:rFonts w:ascii="Arial" w:cs="Arial" w:eastAsia="Arial" w:hAnsi="Arial"/>
                <w:sz w:val="18"/>
                <w:szCs w:val="18"/>
                <w:color w:val="auto"/>
              </w:rPr>
              <w:t>8,060</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283.6</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4,131</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66</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5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1,925.5</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20,010</w:t>
            </w:r>
          </w:p>
        </w:tc>
        <w:tc>
          <w:tcPr>
            <w:tcW w:w="116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rPr>
              <w:t>686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19,324</w:t>
            </w: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557.5</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446.7</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110.8</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7,799</w:t>
            </w:r>
          </w:p>
        </w:tc>
        <w:tc>
          <w:tcPr>
            <w:tcW w:w="1160" w:type="dxa"/>
            <w:vAlign w:val="bottom"/>
          </w:tcPr>
          <w:p>
            <w:pPr>
              <w:jc w:val="right"/>
              <w:ind w:right="171"/>
              <w:spacing w:after="0"/>
              <w:rPr>
                <w:sz w:val="20"/>
                <w:szCs w:val="20"/>
                <w:color w:val="auto"/>
              </w:rPr>
            </w:pPr>
            <w:r>
              <w:rPr>
                <w:rFonts w:ascii="Arial" w:cs="Arial" w:eastAsia="Arial" w:hAnsi="Arial"/>
                <w:sz w:val="18"/>
                <w:szCs w:val="18"/>
                <w:color w:val="auto"/>
              </w:rPr>
              <w:t>1,064</w:t>
            </w:r>
          </w:p>
        </w:tc>
        <w:tc>
          <w:tcPr>
            <w:tcW w:w="840" w:type="dxa"/>
            <w:vAlign w:val="bottom"/>
          </w:tcPr>
          <w:p>
            <w:pPr>
              <w:jc w:val="right"/>
              <w:spacing w:after="0"/>
              <w:rPr>
                <w:sz w:val="20"/>
                <w:szCs w:val="20"/>
                <w:color w:val="auto"/>
              </w:rPr>
            </w:pPr>
            <w:r>
              <w:rPr>
                <w:rFonts w:ascii="Arial" w:cs="Arial" w:eastAsia="Arial" w:hAnsi="Arial"/>
                <w:sz w:val="18"/>
                <w:szCs w:val="18"/>
                <w:color w:val="auto"/>
              </w:rPr>
              <w:t>6,735</w:t>
            </w: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188.7</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108.1</w:t>
            </w: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N/A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2,848.1</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546.7</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27,809</w:t>
            </w:r>
          </w:p>
        </w:tc>
        <w:tc>
          <w:tcPr>
            <w:tcW w:w="11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26,059</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(919.2)</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(402.9)</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51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00" w:type="dxa"/>
            <w:vAlign w:val="bottom"/>
          </w:tcPr>
          <w:p>
            <w:pPr>
              <w:spacing w:after="0"/>
              <w:rPr>
                <w:sz w:val="19"/>
                <w:szCs w:val="19"/>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1,785.7</w:t>
            </w:r>
          </w:p>
        </w:tc>
        <w:tc>
          <w:tcPr>
            <w:tcW w:w="18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132.3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1,653.4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(535.4)</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(444.5)</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613.0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b w:val="1"/>
                <w:bCs w:val="1"/>
                <w:color w:val="auto"/>
              </w:rPr>
              <w:t>143.8</w:t>
            </w:r>
          </w:p>
        </w:tc>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469.2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wp:posOffset>
            </wp:positionV>
            <wp:extent cx="709803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ind w:left="161" w:hanging="161"/>
        <w:spacing w:after="0"/>
        <w:tabs>
          <w:tab w:leader="none" w:pos="161"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Utility gross margin is a non-GAAP financial measure. See explanation of utility gross margin above.</w:t>
      </w: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42" w:lineRule="exact"/>
        <w:rPr>
          <w:rFonts w:ascii="Arial" w:cs="Arial" w:eastAsia="Arial" w:hAnsi="Arial"/>
          <w:sz w:val="19"/>
          <w:szCs w:val="19"/>
          <w:color w:val="auto"/>
          <w:vertAlign w:val="superscript"/>
        </w:rPr>
      </w:pPr>
    </w:p>
    <w:p>
      <w:pPr>
        <w:ind w:left="5541"/>
        <w:spacing w:after="0"/>
        <w:rPr>
          <w:rFonts w:ascii="Arial" w:cs="Arial" w:eastAsia="Arial" w:hAnsi="Arial"/>
          <w:sz w:val="19"/>
          <w:szCs w:val="19"/>
          <w:color w:val="auto"/>
          <w:vertAlign w:val="superscript"/>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1"/>
          </w:cols>
          <w:pgMar w:left="319" w:top="122" w:right="399" w:bottom="1440" w:gutter="0" w:footer="0" w:header="0"/>
        </w:sectPr>
      </w:pPr>
    </w:p>
    <w:bookmarkStart w:id="58" w:name="page59"/>
    <w:bookmarkEnd w:id="5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Evergy's utility gross margin increased $21.4 million for the three months ended June 30, 2021, compared to the same period in 2020, primarily driven by:</w:t>
      </w:r>
    </w:p>
    <w:p>
      <w:pPr>
        <w:spacing w:after="0" w:line="69" w:lineRule="exact"/>
        <w:rPr>
          <w:sz w:val="20"/>
          <w:szCs w:val="20"/>
          <w:color w:val="auto"/>
        </w:rPr>
      </w:pPr>
    </w:p>
    <w:p>
      <w:pPr>
        <w:ind w:left="660" w:right="16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 $8.2 million increase in transmission revenue due to updated transmission costs reflected in Evergy Kansas Central's FERC TFR effective in January 2021;</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$5.6 million increase related to TDC riders in 2021, primarily at Evergy Kansas Central; and</w:t>
      </w:r>
    </w:p>
    <w:p>
      <w:pPr>
        <w:spacing w:after="0" w:line="107" w:lineRule="exact"/>
        <w:rPr>
          <w:rFonts w:ascii="Arial" w:cs="Arial" w:eastAsia="Arial" w:hAnsi="Arial"/>
          <w:sz w:val="20"/>
          <w:szCs w:val="20"/>
          <w:color w:val="auto"/>
        </w:rPr>
      </w:pPr>
    </w:p>
    <w:p>
      <w:pPr>
        <w:jc w:val="both"/>
        <w:ind w:left="660" w:right="320" w:hanging="328"/>
        <w:spacing w:after="0" w:line="25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$4.1 million increase primarily due to higher retail sales driven by an increase in weather-normalized commercial and industrial demand partially offset by a decrease in weather-normalized residential demand; partially offset by unfavorable weather (cooling degree days decreased by 2%); partially offset by</w:t>
      </w:r>
    </w:p>
    <w:p>
      <w:pPr>
        <w:spacing w:after="0" w:line="77" w:lineRule="exact"/>
        <w:rPr>
          <w:rFonts w:ascii="Arial" w:cs="Arial" w:eastAsia="Arial" w:hAnsi="Arial"/>
          <w:sz w:val="20"/>
          <w:szCs w:val="20"/>
          <w:color w:val="auto"/>
        </w:rPr>
      </w:pPr>
    </w:p>
    <w:p>
      <w:pPr>
        <w:ind w:left="660" w:right="120" w:hanging="328"/>
        <w:spacing w:after="0" w:line="26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a $6.9 million decrease in revenues at Evergy Kansas Central and Evergy Metro due to rate reductions beginning January 1, 2021 in Kansas to reflect their exemption from Kansas corporate income taxes.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Evergy's utility gross margin increased $132.3 million year to date June 30, 2021, compared to the same period in 2020, primarily driven by:</w:t>
      </w:r>
    </w:p>
    <w:p>
      <w:pPr>
        <w:spacing w:after="0" w:line="131" w:lineRule="exact"/>
        <w:rPr>
          <w:sz w:val="20"/>
          <w:szCs w:val="20"/>
          <w:color w:val="auto"/>
        </w:rPr>
      </w:pPr>
    </w:p>
    <w:p>
      <w:pPr>
        <w:ind w:left="660" w:right="20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$95.0 million of non-regulated energy marketing margins recognized at Evergy Kansas Central related to the February 2021 winter weather event;</w:t>
      </w:r>
    </w:p>
    <w:p>
      <w:pPr>
        <w:spacing w:after="0" w:line="68" w:lineRule="exact"/>
        <w:rPr>
          <w:rFonts w:ascii="Arial" w:cs="Arial" w:eastAsia="Arial" w:hAnsi="Arial"/>
          <w:sz w:val="20"/>
          <w:szCs w:val="20"/>
          <w:color w:val="auto"/>
        </w:rPr>
      </w:pPr>
    </w:p>
    <w:p>
      <w:pPr>
        <w:ind w:left="660" w:right="220" w:hanging="328"/>
        <w:spacing w:after="0" w:line="25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$20.9 million increase primarily due to higher retail sales driven by colder winter weather (heating degree days increased by 7%) and an increase in weather-normalized commercial and industrial demand, partially offset by a decrease in weather-normalized residential demand;</w:t>
      </w:r>
    </w:p>
    <w:p>
      <w:pPr>
        <w:spacing w:after="0" w:line="77" w:lineRule="exact"/>
        <w:rPr>
          <w:rFonts w:ascii="Arial" w:cs="Arial" w:eastAsia="Arial" w:hAnsi="Arial"/>
          <w:sz w:val="20"/>
          <w:szCs w:val="20"/>
          <w:color w:val="auto"/>
        </w:rPr>
      </w:pPr>
    </w:p>
    <w:p>
      <w:pPr>
        <w:ind w:left="660" w:right="22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an $18.6 million increase in transmission revenue primarily due to updated transmission costs reflected in Evergy Kansas Central's FERC TFR effective in January 2021;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$1.6 million net increase due to other impacts from the February 2021 winter weather event driven by:</w:t>
      </w:r>
    </w:p>
    <w:p>
      <w:pPr>
        <w:spacing w:after="0" w:line="107" w:lineRule="exact"/>
        <w:rPr>
          <w:rFonts w:ascii="Arial" w:cs="Arial" w:eastAsia="Arial" w:hAnsi="Arial"/>
          <w:sz w:val="20"/>
          <w:szCs w:val="20"/>
          <w:color w:val="auto"/>
        </w:rPr>
      </w:pPr>
    </w:p>
    <w:p>
      <w:pPr>
        <w:ind w:left="1300" w:right="240" w:hanging="320"/>
        <w:spacing w:after="0" w:line="287" w:lineRule="auto"/>
        <w:tabs>
          <w:tab w:leader="none" w:pos="1289" w:val="left"/>
        </w:tabs>
        <w:numPr>
          <w:ilvl w:val="1"/>
          <w:numId w:val="16"/>
        </w:numPr>
        <w:rPr>
          <w:rFonts w:ascii="Arial" w:cs="Arial" w:eastAsia="Arial" w:hAnsi="Arial"/>
          <w:sz w:val="19"/>
          <w:szCs w:val="19"/>
          <w:color w:val="auto"/>
        </w:rPr>
      </w:pPr>
      <w:r>
        <w:rPr>
          <w:rFonts w:ascii="Arial" w:cs="Arial" w:eastAsia="Arial" w:hAnsi="Arial"/>
          <w:sz w:val="19"/>
          <w:szCs w:val="19"/>
          <w:color w:val="auto"/>
        </w:rPr>
        <w:t>a $33.9 million increase at Evergy Kansas Central driven by higher utility gross margin at its non-regulated 8% ownership share of JEC due to higher wholesale sales prices and MWhs sold in February 2021; partially offset by</w:t>
      </w:r>
    </w:p>
    <w:p>
      <w:pPr>
        <w:spacing w:after="0" w:line="44" w:lineRule="exact"/>
        <w:rPr>
          <w:rFonts w:ascii="Arial" w:cs="Arial" w:eastAsia="Arial" w:hAnsi="Arial"/>
          <w:sz w:val="19"/>
          <w:szCs w:val="19"/>
          <w:color w:val="auto"/>
        </w:rPr>
      </w:pPr>
    </w:p>
    <w:p>
      <w:pPr>
        <w:jc w:val="both"/>
        <w:ind w:left="1300" w:right="320" w:hanging="320"/>
        <w:spacing w:after="0" w:line="269" w:lineRule="auto"/>
        <w:tabs>
          <w:tab w:leader="none" w:pos="1289" w:val="left"/>
        </w:tabs>
        <w:numPr>
          <w:ilvl w:val="1"/>
          <w:numId w:val="16"/>
        </w:numPr>
        <w:rPr>
          <w:rFonts w:ascii="Arial" w:cs="Arial" w:eastAsia="Arial" w:hAnsi="Arial"/>
          <w:sz w:val="19"/>
          <w:szCs w:val="19"/>
          <w:color w:val="auto"/>
        </w:rPr>
      </w:pPr>
      <w:r>
        <w:rPr>
          <w:rFonts w:ascii="Arial" w:cs="Arial" w:eastAsia="Arial" w:hAnsi="Arial"/>
          <w:sz w:val="19"/>
          <w:szCs w:val="19"/>
          <w:color w:val="auto"/>
        </w:rPr>
        <w:t>a $20.9 million decrease at Evergy Missouri West driven by $14.6 million of increased fuel and purchased power costs in February 2021 that are not currently recoverable from customers through its fuel recovery mechanism and a $6.2 million decrease related to a special requirements contract with an industrial customer; and</w:t>
      </w:r>
    </w:p>
    <w:p>
      <w:pPr>
        <w:spacing w:after="0" w:line="61" w:lineRule="exact"/>
        <w:rPr>
          <w:rFonts w:ascii="Arial" w:cs="Arial" w:eastAsia="Arial" w:hAnsi="Arial"/>
          <w:sz w:val="19"/>
          <w:szCs w:val="19"/>
          <w:color w:val="auto"/>
        </w:rPr>
      </w:pPr>
    </w:p>
    <w:p>
      <w:pPr>
        <w:ind w:left="1300" w:right="20" w:hanging="320"/>
        <w:spacing w:after="0" w:line="250" w:lineRule="auto"/>
        <w:tabs>
          <w:tab w:leader="none" w:pos="1289" w:val="left"/>
        </w:tabs>
        <w:numPr>
          <w:ilvl w:val="1"/>
          <w:numId w:val="16"/>
        </w:numPr>
        <w:rPr>
          <w:rFonts w:ascii="Arial" w:cs="Arial" w:eastAsia="Arial" w:hAnsi="Arial"/>
          <w:sz w:val="20"/>
          <w:szCs w:val="20"/>
          <w:color w:val="auto"/>
        </w:rPr>
      </w:pPr>
      <w:r>
        <w:rPr>
          <w:rFonts w:ascii="Arial" w:cs="Arial" w:eastAsia="Arial" w:hAnsi="Arial"/>
          <w:sz w:val="20"/>
          <w:szCs w:val="20"/>
          <w:color w:val="auto"/>
        </w:rPr>
        <w:t>an $11.4 million decrease at Evergy Metro primarily driven by jurisdictional allocation differences currently present between its fuel recovery mechanisms in Missouri and Kansas regarding its refund to customers for the net increase in wholesale revenues in February 2021; partially offset by</w:t>
      </w:r>
    </w:p>
    <w:p>
      <w:pPr>
        <w:spacing w:after="0" w:line="77" w:lineRule="exact"/>
        <w:rPr>
          <w:rFonts w:ascii="Arial" w:cs="Arial" w:eastAsia="Arial" w:hAnsi="Arial"/>
          <w:sz w:val="20"/>
          <w:szCs w:val="20"/>
          <w:color w:val="auto"/>
        </w:rPr>
      </w:pPr>
    </w:p>
    <w:p>
      <w:pPr>
        <w:ind w:left="660" w:right="20" w:hanging="328"/>
        <w:spacing w:after="0" w:line="260" w:lineRule="auto"/>
        <w:tabs>
          <w:tab w:leader="none" w:pos="648" w:val="left"/>
        </w:tabs>
        <w:numPr>
          <w:ilvl w:val="0"/>
          <w:numId w:val="16"/>
        </w:numPr>
        <w:rPr>
          <w:rFonts w:ascii="Arial" w:cs="Arial" w:eastAsia="Arial" w:hAnsi="Arial"/>
          <w:sz w:val="20"/>
          <w:szCs w:val="20"/>
          <w:color w:val="auto"/>
        </w:rPr>
      </w:pPr>
      <w:r>
        <w:rPr>
          <w:rFonts w:ascii="Arial" w:cs="Arial" w:eastAsia="Arial" w:hAnsi="Arial"/>
          <w:sz w:val="20"/>
          <w:szCs w:val="20"/>
          <w:color w:val="auto"/>
        </w:rPr>
        <w:t>a $14.1 million decrease in revenues at Evergy Kansas Central and Evergy Metro due to rate reductions beginning January 1, 2021 in Kansas to reflect their exemption from Kansas corporate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and Maintenance</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Evergy's operating and maintenance expense decreased $12.8 million for the three months ended June 30, 2021, compared to the same period in 2020, primarily driven by:</w:t>
      </w:r>
    </w:p>
    <w:p>
      <w:pPr>
        <w:spacing w:after="0" w:line="83" w:lineRule="exact"/>
        <w:rPr>
          <w:sz w:val="20"/>
          <w:szCs w:val="20"/>
          <w:color w:val="auto"/>
        </w:rPr>
      </w:pPr>
    </w:p>
    <w:p>
      <w:pPr>
        <w:jc w:val="both"/>
        <w:ind w:left="660" w:right="80" w:hanging="328"/>
        <w:spacing w:after="0" w:line="25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an $11.4 million decrease in credit loss expense at Evergy Kansas Central, Evergy Metro and Evergy Missouri West primarily due to increases made to the allowance for credit losses in 2020 related to the economic slowdown resulting from the COVID-19 pandemic and a lower level of write-offs in 2021;</w:t>
      </w:r>
    </w:p>
    <w:p>
      <w:pPr>
        <w:spacing w:after="0" w:line="77" w:lineRule="exact"/>
        <w:rPr>
          <w:rFonts w:ascii="Arial" w:cs="Arial" w:eastAsia="Arial" w:hAnsi="Arial"/>
          <w:sz w:val="20"/>
          <w:szCs w:val="20"/>
          <w:color w:val="auto"/>
        </w:rPr>
      </w:pPr>
    </w:p>
    <w:p>
      <w:pPr>
        <w:ind w:left="660" w:hanging="328"/>
        <w:spacing w:after="0" w:line="25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$6.7 million decrease in various transmission and distribution operating and maintenance expenses primarily due to lower labor and contractor costs primarily driven by a higher mix of transmission capital projects in the second quarter of 2021 and a $2.2 million decrease in vegetation management costs in the second quarter of 2021; and</w:t>
      </w:r>
    </w:p>
    <w:p>
      <w:pPr>
        <w:spacing w:after="0" w:line="77" w:lineRule="exact"/>
        <w:rPr>
          <w:rFonts w:ascii="Arial" w:cs="Arial" w:eastAsia="Arial" w:hAnsi="Arial"/>
          <w:sz w:val="20"/>
          <w:szCs w:val="20"/>
          <w:color w:val="auto"/>
        </w:rPr>
      </w:pPr>
    </w:p>
    <w:p>
      <w:pPr>
        <w:ind w:left="660" w:right="80" w:hanging="328"/>
        <w:spacing w:after="0" w:line="260" w:lineRule="auto"/>
        <w:tabs>
          <w:tab w:leader="none" w:pos="648"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$4.1 million decrease in advisor expenses incurred in the second quarter of 2021 associated with strategic planning; partially offset by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60" w:right="60" w:hanging="328"/>
        <w:spacing w:after="0" w:line="25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$7.1 million increase in plant operating and maintenance expense at fossil-fuel generating units primarily due to a $5.2 million increase at Evergy Kansas Central primarily driven by $6.9 million of increases related to major maintenance outages at JEC and the State Line Generating Station in 2021;</w:t>
      </w:r>
    </w:p>
    <w:p>
      <w:pPr>
        <w:spacing w:after="0" w:line="77"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$2.0 million of costs at Evergy Kansas Central related to non-regulated energy marketing margins recognized during the February 2021 winter weather event; and</w:t>
      </w:r>
    </w:p>
    <w:p>
      <w:pPr>
        <w:spacing w:after="0" w:line="68" w:lineRule="exact"/>
        <w:rPr>
          <w:rFonts w:ascii="Arial" w:cs="Arial" w:eastAsia="Arial" w:hAnsi="Arial"/>
          <w:sz w:val="20"/>
          <w:szCs w:val="20"/>
          <w:color w:val="auto"/>
        </w:rPr>
      </w:pPr>
    </w:p>
    <w:p>
      <w:pPr>
        <w:ind w:left="660" w:right="300" w:hanging="328"/>
        <w:spacing w:after="0" w:line="26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20"/>
          <w:szCs w:val="20"/>
          <w:color w:val="auto"/>
        </w:rPr>
        <w:t>$1.8 million of costs associated with executive transition in the second quarter of 2021, including severance agreements and other transition expenses.</w:t>
      </w:r>
    </w:p>
    <w:p>
      <w:pPr>
        <w:spacing w:after="0" w:line="69" w:lineRule="exact"/>
        <w:rPr>
          <w:sz w:val="20"/>
          <w:szCs w:val="20"/>
          <w:color w:val="auto"/>
        </w:rPr>
      </w:pPr>
    </w:p>
    <w:p>
      <w:pPr>
        <w:ind w:right="500"/>
        <w:spacing w:after="0" w:line="260" w:lineRule="auto"/>
        <w:rPr>
          <w:sz w:val="20"/>
          <w:szCs w:val="20"/>
          <w:color w:val="auto"/>
        </w:rPr>
      </w:pPr>
      <w:r>
        <w:rPr>
          <w:rFonts w:ascii="Arial" w:cs="Arial" w:eastAsia="Arial" w:hAnsi="Arial"/>
          <w:sz w:val="20"/>
          <w:szCs w:val="20"/>
          <w:color w:val="auto"/>
        </w:rPr>
        <w:t>Evergy's operating and maintenance expense decreased $25.5 million year to date June 30, 2021, compared to the same period in 2020, primarily driven by:</w:t>
      </w:r>
    </w:p>
    <w:p>
      <w:pPr>
        <w:spacing w:after="0" w:line="177" w:lineRule="exact"/>
        <w:rPr>
          <w:sz w:val="20"/>
          <w:szCs w:val="20"/>
          <w:color w:val="auto"/>
        </w:rPr>
      </w:pPr>
    </w:p>
    <w:p>
      <w:pPr>
        <w:ind w:left="660" w:right="260" w:hanging="328"/>
        <w:spacing w:after="0" w:line="291"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$23.7 million decrease in voluntary severance expenses due to a $17.1 million decrease at Evergy Kansas Central, Evergy Metro and Evergy Missouri West related to Evergy voluntary exit programs in 2020 and a $6.6 million decrease in voluntary severance expenses incurred at Evergy Kansas Central and Evergy Metro related to Wolf Creek voluntary exit programs in 2020;</w:t>
      </w:r>
    </w:p>
    <w:p>
      <w:pPr>
        <w:spacing w:after="0" w:line="43" w:lineRule="exact"/>
        <w:rPr>
          <w:rFonts w:ascii="Arial" w:cs="Arial" w:eastAsia="Arial" w:hAnsi="Arial"/>
          <w:sz w:val="18"/>
          <w:szCs w:val="18"/>
          <w:color w:val="auto"/>
        </w:rPr>
      </w:pPr>
    </w:p>
    <w:p>
      <w:pPr>
        <w:ind w:left="660" w:hanging="328"/>
        <w:spacing w:after="0" w:line="25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$5.6 million decrease in various transmission and distribution operating and maintenance expenses primarily due to lower labor and contractor costs primarily driven by a higher mix of transmission capital projects in 2021 and a $1.4 million decrease in vegetation management costs in 2021;</w:t>
      </w:r>
    </w:p>
    <w:p>
      <w:pPr>
        <w:spacing w:after="0" w:line="77" w:lineRule="exact"/>
        <w:rPr>
          <w:rFonts w:ascii="Arial" w:cs="Arial" w:eastAsia="Arial" w:hAnsi="Arial"/>
          <w:sz w:val="20"/>
          <w:szCs w:val="20"/>
          <w:color w:val="auto"/>
        </w:rPr>
      </w:pPr>
    </w:p>
    <w:p>
      <w:pPr>
        <w:ind w:left="660" w:right="80" w:hanging="328"/>
        <w:spacing w:after="0" w:line="25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$9.3 million decrease in credit loss expense at Evergy Kansas Central, Evergy Metro and Evergy Missouri West primarily due to increases made to the allowance for credit losses in 2020 related to the economic slowdown resulting from the COVID-19 pandemic and a lower level of write-offs in 2021; and</w:t>
      </w:r>
    </w:p>
    <w:p>
      <w:pPr>
        <w:spacing w:after="0" w:line="77" w:lineRule="exact"/>
        <w:rPr>
          <w:rFonts w:ascii="Arial" w:cs="Arial" w:eastAsia="Arial" w:hAnsi="Arial"/>
          <w:sz w:val="20"/>
          <w:szCs w:val="20"/>
          <w:color w:val="auto"/>
        </w:rPr>
      </w:pPr>
    </w:p>
    <w:p>
      <w:pPr>
        <w:ind w:left="640" w:hanging="308"/>
        <w:spacing w:after="0"/>
        <w:tabs>
          <w:tab w:leader="none" w:pos="6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$9.2 million decrease in advisor expenses incurred in 2021 associated with strategic planning; partially offset by</w:t>
      </w:r>
    </w:p>
    <w:p>
      <w:pPr>
        <w:spacing w:after="0" w:line="107" w:lineRule="exact"/>
        <w:rPr>
          <w:rFonts w:ascii="Arial" w:cs="Arial" w:eastAsia="Arial" w:hAnsi="Arial"/>
          <w:sz w:val="20"/>
          <w:szCs w:val="20"/>
          <w:color w:val="auto"/>
        </w:rPr>
      </w:pPr>
    </w:p>
    <w:p>
      <w:pPr>
        <w:ind w:left="660" w:right="30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$7.3 million of costs associated with executive transition in 2021, including inducement bonuses, severance agreements and other transition expenses;</w:t>
      </w:r>
    </w:p>
    <w:p>
      <w:pPr>
        <w:spacing w:after="0" w:line="68" w:lineRule="exact"/>
        <w:rPr>
          <w:rFonts w:ascii="Arial" w:cs="Arial" w:eastAsia="Arial" w:hAnsi="Arial"/>
          <w:sz w:val="20"/>
          <w:szCs w:val="20"/>
          <w:color w:val="auto"/>
        </w:rPr>
      </w:pPr>
    </w:p>
    <w:p>
      <w:pPr>
        <w:ind w:left="660" w:right="42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$6.8 million increase in plant operating and maintenance expense at fossil-fuel generating units primarily due to a $9.2 million increase at Evergy Kansas Central from a major maintenance outage at JEC in 2021;</w:t>
      </w:r>
    </w:p>
    <w:p>
      <w:pPr>
        <w:spacing w:after="0" w:line="68"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19"/>
        </w:numPr>
        <w:rPr>
          <w:rFonts w:ascii="Arial" w:cs="Arial" w:eastAsia="Arial" w:hAnsi="Arial"/>
          <w:sz w:val="20"/>
          <w:szCs w:val="20"/>
          <w:color w:val="auto"/>
        </w:rPr>
      </w:pPr>
      <w:r>
        <w:rPr>
          <w:rFonts w:ascii="Arial" w:cs="Arial" w:eastAsia="Arial" w:hAnsi="Arial"/>
          <w:sz w:val="20"/>
          <w:szCs w:val="20"/>
          <w:color w:val="auto"/>
        </w:rPr>
        <w:t>$4.0 million of costs at Evergy Kansas Central related to non-regulated energy marketing margins recognized during the February 2021 winter weather event; and</w:t>
      </w:r>
    </w:p>
    <w:p>
      <w:pPr>
        <w:spacing w:after="0" w:line="68" w:lineRule="exact"/>
        <w:rPr>
          <w:rFonts w:ascii="Arial" w:cs="Arial" w:eastAsia="Arial" w:hAnsi="Arial"/>
          <w:sz w:val="20"/>
          <w:szCs w:val="20"/>
          <w:color w:val="auto"/>
        </w:rPr>
      </w:pPr>
    </w:p>
    <w:p>
      <w:pPr>
        <w:ind w:left="660" w:right="580" w:hanging="328"/>
        <w:spacing w:after="0" w:line="287" w:lineRule="auto"/>
        <w:tabs>
          <w:tab w:leader="none" w:pos="648"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$2.7 million increase in property insurance expense due to a lower annual refund of nuclear insurance premiums received by Evergy Kansas Central and Evergy Metro in 2021 related to their ownership interests in Wolf Creek.</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Other Than Income Tax</w:t>
      </w:r>
    </w:p>
    <w:p>
      <w:pPr>
        <w:spacing w:after="0" w:line="22"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Evergy's taxes other than income tax increased $7.0 million for the three months ended June 30, 2021 and $9.6 million year to date June 30, 2021, compared to the same periods in 2020; driven by an increase in property taxes in Missouri and Kansas primarily due to higher assessed property tax values.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Evergy's other expense, net decreased $8.5 million for the three months ended June 30, 2021, compared to the same period in 2020, primarily driven by:</w:t>
      </w:r>
    </w:p>
    <w:p>
      <w:pPr>
        <w:spacing w:after="0" w:line="83" w:lineRule="exact"/>
        <w:rPr>
          <w:sz w:val="20"/>
          <w:szCs w:val="20"/>
          <w:color w:val="auto"/>
        </w:rPr>
      </w:pPr>
    </w:p>
    <w:p>
      <w:pPr>
        <w:ind w:left="660" w:right="12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$4.0 million decrease due to higher Evergy Kansas Central and Evergy Metro equity AFUDC primarily due to higher construction work in progress balances in the second quarter of 2021;</w:t>
      </w:r>
    </w:p>
    <w:p>
      <w:pPr>
        <w:spacing w:after="0" w:line="68"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$5.3 million decrease due to higher investment earnings primarily due to unrealized gains from equity investments in the second quarter of 2021; and</w:t>
      </w:r>
    </w:p>
    <w:p>
      <w:pPr>
        <w:spacing w:after="0" w:line="68" w:lineRule="exact"/>
        <w:rPr>
          <w:rFonts w:ascii="Arial" w:cs="Arial" w:eastAsia="Arial" w:hAnsi="Arial"/>
          <w:sz w:val="20"/>
          <w:szCs w:val="20"/>
          <w:color w:val="auto"/>
        </w:rPr>
      </w:pPr>
    </w:p>
    <w:p>
      <w:pPr>
        <w:ind w:left="660" w:right="40" w:hanging="328"/>
        <w:spacing w:after="0" w:line="260" w:lineRule="auto"/>
        <w:tabs>
          <w:tab w:leader="none" w:pos="648"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$2.2 million decrease due to recording higher Evergy Kansas Central corporate-owned life insurance (COLI) benefits in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0" w:name="page61"/>
    <w:bookmarkEnd w:id="6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Evergy's other expense, net decreased $21.6 million year to date June 30, 2021, compared to the same period in 2020, primarily driven by:</w:t>
      </w:r>
    </w:p>
    <w:p>
      <w:pPr>
        <w:spacing w:after="0" w:line="131" w:lineRule="exact"/>
        <w:rPr>
          <w:sz w:val="20"/>
          <w:szCs w:val="20"/>
          <w:color w:val="auto"/>
        </w:rPr>
      </w:pPr>
    </w:p>
    <w:p>
      <w:pPr>
        <w:ind w:left="660" w:right="260" w:hanging="328"/>
        <w:spacing w:after="0" w:line="260"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$9.7 million decrease due to higher Evergy Kansas Central and Evergy Metro equity AFUDC primarily due to lower short-term debt and higher construction work in progress balances in 2021;</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 $7.7 million decrease due to higher investment earnings primarily due to unrealized gains from equity investments in 2021;</w:t>
      </w:r>
    </w:p>
    <w:p>
      <w:pPr>
        <w:spacing w:after="0" w:line="119" w:lineRule="exact"/>
        <w:rPr>
          <w:rFonts w:ascii="Arial" w:cs="Arial" w:eastAsia="Arial" w:hAnsi="Arial"/>
          <w:sz w:val="19"/>
          <w:szCs w:val="19"/>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$3.1 million of other income recorded in 2021 related to a contract termination fee;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$2.2 million decrease due to recording higher Evergy Kansas Central COLI benefits in 2021.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2" w:lineRule="exact"/>
        <w:rPr>
          <w:sz w:val="20"/>
          <w:szCs w:val="20"/>
          <w:color w:val="auto"/>
        </w:rPr>
      </w:pPr>
    </w:p>
    <w:p>
      <w:pPr>
        <w:ind w:right="500"/>
        <w:spacing w:after="0" w:line="244" w:lineRule="auto"/>
        <w:rPr>
          <w:sz w:val="20"/>
          <w:szCs w:val="20"/>
          <w:color w:val="auto"/>
        </w:rPr>
      </w:pPr>
      <w:r>
        <w:rPr>
          <w:rFonts w:ascii="Arial" w:cs="Arial" w:eastAsia="Arial" w:hAnsi="Arial"/>
          <w:sz w:val="20"/>
          <w:szCs w:val="20"/>
          <w:color w:val="auto"/>
        </w:rPr>
        <w:t>Evergy's income tax expense decreased $14.1 million for the three months ended June 30, 2021, compared to the same period in 2020, primarily driven by:</w:t>
      </w:r>
    </w:p>
    <w:p>
      <w:pPr>
        <w:spacing w:after="0" w:line="83" w:lineRule="exact"/>
        <w:rPr>
          <w:sz w:val="20"/>
          <w:szCs w:val="20"/>
          <w:color w:val="auto"/>
        </w:rPr>
      </w:pPr>
    </w:p>
    <w:p>
      <w:pPr>
        <w:ind w:left="660" w:right="18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$13.8 million decrease related to the revaluation of deferred income tax assets and liabilities in the second quarter of 2020 due to the change in the Kansas corporate income tax rate;</w:t>
      </w:r>
    </w:p>
    <w:p>
      <w:pPr>
        <w:spacing w:after="0" w:line="68" w:lineRule="exact"/>
        <w:rPr>
          <w:rFonts w:ascii="Arial" w:cs="Arial" w:eastAsia="Arial" w:hAnsi="Arial"/>
          <w:sz w:val="20"/>
          <w:szCs w:val="20"/>
          <w:color w:val="auto"/>
        </w:rPr>
      </w:pPr>
    </w:p>
    <w:p>
      <w:pPr>
        <w:ind w:left="660" w:right="28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 $8.7 million decrease as a result of the state of Kansas exempting certain public utilities, including Evergy Kansas Central and Evergy Metro, from Kansas corporate income tax beginning in 2021; and</w:t>
      </w:r>
    </w:p>
    <w:p>
      <w:pPr>
        <w:spacing w:after="0" w:line="68"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$5.0 million decrease due to flow-through items primarily driven by higher amortization of excess deferred income taxes at Evergy Kansas Central; partially offset by</w:t>
      </w:r>
    </w:p>
    <w:p>
      <w:pPr>
        <w:spacing w:after="0" w:line="68" w:lineRule="exact"/>
        <w:rPr>
          <w:rFonts w:ascii="Arial" w:cs="Arial" w:eastAsia="Arial" w:hAnsi="Arial"/>
          <w:sz w:val="20"/>
          <w:szCs w:val="20"/>
          <w:color w:val="auto"/>
        </w:rPr>
      </w:pPr>
    </w:p>
    <w:p>
      <w:pPr>
        <w:ind w:left="660" w:right="120" w:hanging="328"/>
        <w:spacing w:after="0" w:line="260" w:lineRule="auto"/>
        <w:tabs>
          <w:tab w:leader="none" w:pos="648"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 $11.3 million increase primarily due to higher Evergy Kansas Central and Evergy Metro pre-tax income in the second quarter of 2021.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Evergy's income tax expense decreased $1.2 million year to date June 30, 2021, compared to the same period in 2020, primarily driven by:</w:t>
      </w:r>
    </w:p>
    <w:p>
      <w:pPr>
        <w:spacing w:after="0" w:line="131" w:lineRule="exact"/>
        <w:rPr>
          <w:sz w:val="20"/>
          <w:szCs w:val="20"/>
          <w:color w:val="auto"/>
        </w:rPr>
      </w:pPr>
    </w:p>
    <w:p>
      <w:pPr>
        <w:ind w:left="660" w:right="180" w:hanging="328"/>
        <w:spacing w:after="0" w:line="260"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an $18.9 million decrease as a result of the state of Kansas exempting certain public utilities, including Evergy Kansas Central and Evergy Metro, from Kansas corporate income tax beginning in 2021;</w:t>
      </w:r>
    </w:p>
    <w:p>
      <w:pPr>
        <w:spacing w:after="0" w:line="68" w:lineRule="exact"/>
        <w:rPr>
          <w:rFonts w:ascii="Arial" w:cs="Arial" w:eastAsia="Arial" w:hAnsi="Arial"/>
          <w:sz w:val="20"/>
          <w:szCs w:val="20"/>
          <w:color w:val="auto"/>
        </w:rPr>
      </w:pPr>
    </w:p>
    <w:p>
      <w:pPr>
        <w:ind w:left="660" w:right="520" w:hanging="328"/>
        <w:spacing w:after="0" w:line="260"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$14.0 million decrease due to flow-through items primarily driven by higher amortization of excess deferred income taxes at Evergy Kansas Central;</w:t>
      </w:r>
    </w:p>
    <w:p>
      <w:pPr>
        <w:spacing w:after="0" w:line="68"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$13.8 million decrease related to the revaluation of deferred income tax assets and liabilities in the second quarter of 2020 due to the change in the Kansas corporate income tax rate;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$2.5 million decrease due to higher wind and other income tax credits in 2021; partially offset by</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$47.8 million increase due to higher Evergy Kansas Central and Evergy Metro pre-tax income in 2021.</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222"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Evergy relies primarily upon cash from operations, short-term borrowings, debt and equity issuances and its existing cash and cash equivalents to fund its capital requirements. Evergy's capital requirements primarily consist of capital expenditures, payment of contractual obligations and other commitments, and the payment of dividends to shareholders. See the Evergy Companies' combined 2020 Form 10-K for more information on Evergy's sources and uses of cash.</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Short-Term Borrowings</w:t>
      </w:r>
    </w:p>
    <w:p>
      <w:pPr>
        <w:spacing w:after="0" w:line="22"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As of June 30, 2021, Evergy had $1.6 billion of available borrowing capacity under its master credit facility. The available borrowing capacity under the master credit facility consisted of $328.3 million for Evergy, Inc., $455.9 million for Evergy Kansas Central, $350.0 million for Evergy Metro and $452.0 million for Evergy Missouri West. The Evergy Companies' borrowing capacity under the master credit facility also supports their issuance of commercial paper. See Note 7 to the consolidated financial statements for more information regarding the master credit facility. Along with cash flows from operations and receivable sales facilities, Evergy generally uses borrowings under its master credit facility and the issuance of commercial paper to meet its day-to-day cash flow</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1" w:name="page62"/>
    <w:bookmarkEnd w:id="6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requirements. Evergy believes that its existing cash on hand and available borrowing capacity under its master credit facility provide sufficient liquidity for its existing capital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May 2021, Evergy, Inc. established a commercial paper program supported by its borrowing capacity under the master credit facility.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Debt Issuances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See Note 8 to the consolidated financial statements for information regarding significant debt issuances.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Issuance</w:t>
      </w:r>
    </w:p>
    <w:p>
      <w:pPr>
        <w:spacing w:after="0" w:line="22" w:lineRule="exact"/>
        <w:rPr>
          <w:sz w:val="20"/>
          <w:szCs w:val="20"/>
          <w:color w:val="auto"/>
        </w:rPr>
      </w:pPr>
    </w:p>
    <w:p>
      <w:pPr>
        <w:ind w:right="340"/>
        <w:spacing w:after="0" w:line="244" w:lineRule="auto"/>
        <w:rPr>
          <w:sz w:val="20"/>
          <w:szCs w:val="20"/>
          <w:color w:val="auto"/>
        </w:rPr>
      </w:pPr>
      <w:r>
        <w:rPr>
          <w:rFonts w:ascii="Arial" w:cs="Arial" w:eastAsia="Arial" w:hAnsi="Arial"/>
          <w:sz w:val="20"/>
          <w:szCs w:val="20"/>
          <w:color w:val="auto"/>
        </w:rPr>
        <w:t>See Note 12 to the consolidated financial statements for information regarding Evergy's securities purchase agreement with an affiliate of Bluescape to purchase Evergy's common stock and a warrant that was completed in April 2021.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Pensions</w:t>
      </w:r>
    </w:p>
    <w:p>
      <w:pPr>
        <w:spacing w:after="0" w:line="22" w:lineRule="exact"/>
        <w:rPr>
          <w:sz w:val="20"/>
          <w:szCs w:val="20"/>
          <w:color w:val="auto"/>
        </w:rPr>
      </w:pPr>
    </w:p>
    <w:p>
      <w:pPr>
        <w:jc w:val="both"/>
        <w:ind w:right="80"/>
        <w:spacing w:after="0" w:line="241" w:lineRule="auto"/>
        <w:rPr>
          <w:sz w:val="20"/>
          <w:szCs w:val="20"/>
          <w:color w:val="auto"/>
        </w:rPr>
      </w:pPr>
      <w:r>
        <w:rPr>
          <w:rFonts w:ascii="Arial" w:cs="Arial" w:eastAsia="Arial" w:hAnsi="Arial"/>
          <w:sz w:val="20"/>
          <w:szCs w:val="20"/>
          <w:color w:val="auto"/>
        </w:rPr>
        <w:t>Year to date June 30, 2021, Evergy made pension contributions of $41.7 million. Evergy expects to make additional pension contributions of $68.2 million in 2021 to satisfy ERISA funding requirements and KCC and MPSC rate orders, of which $11.1 million is expected to be paid by Evergy Kansas Central and $57.1 million is expected to be paid by Evergy Metro. Also in 2021, Evergy expects to make additional post-retirement benefit contributions of $3.8 million.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Covenants</w:t>
      </w:r>
    </w:p>
    <w:p>
      <w:pPr>
        <w:spacing w:after="0" w:line="22" w:lineRule="exact"/>
        <w:rPr>
          <w:sz w:val="20"/>
          <w:szCs w:val="20"/>
          <w:color w:val="auto"/>
        </w:rPr>
      </w:pPr>
    </w:p>
    <w:p>
      <w:pPr>
        <w:ind w:right="440"/>
        <w:spacing w:after="0" w:line="241" w:lineRule="auto"/>
        <w:rPr>
          <w:sz w:val="20"/>
          <w:szCs w:val="20"/>
          <w:color w:val="auto"/>
        </w:rPr>
      </w:pPr>
      <w:r>
        <w:rPr>
          <w:rFonts w:ascii="Arial" w:cs="Arial" w:eastAsia="Arial" w:hAnsi="Arial"/>
          <w:sz w:val="20"/>
          <w:szCs w:val="20"/>
          <w:color w:val="auto"/>
        </w:rPr>
        <w:t>As of June 30, 2021, Evergy was in compliance with all debt covenants under the master credit facility and certain debt instruments that contain restrictions that require the maintenance of certain capitalization and leverage ratios. See Note 7 to the consolidated financial statements for more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2" w:lineRule="exact"/>
        <w:rPr>
          <w:sz w:val="20"/>
          <w:szCs w:val="20"/>
          <w:color w:val="auto"/>
        </w:rPr>
      </w:pPr>
    </w:p>
    <w:p>
      <w:pPr>
        <w:jc w:val="both"/>
        <w:ind w:right="60"/>
        <w:spacing w:after="0" w:line="241" w:lineRule="auto"/>
        <w:rPr>
          <w:sz w:val="20"/>
          <w:szCs w:val="20"/>
          <w:color w:val="auto"/>
        </w:rPr>
      </w:pPr>
      <w:r>
        <w:rPr>
          <w:rFonts w:ascii="Arial" w:cs="Arial" w:eastAsia="Arial" w:hAnsi="Arial"/>
          <w:sz w:val="20"/>
          <w:szCs w:val="20"/>
          <w:color w:val="auto"/>
        </w:rPr>
        <w:t>Evergy's off-balance sheet arrangements were reported in the Evergy Companies' combined 2020 Form 10-K. See Note 8 to the consolidated financial statements for information regarding Evergy's agreement to unconditionally guarantee certain series of Evergy Missouri West long-term debt in April 2021.</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Evergy's cash flows from operating, investing and financing activities.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5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3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07"/>
        </w:trPr>
        <w:tc>
          <w:tcPr>
            <w:tcW w:w="57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440" w:type="dxa"/>
            <w:vAlign w:val="bottom"/>
            <w:gridSpan w:val="2"/>
          </w:tcPr>
          <w:p>
            <w:pPr>
              <w:jc w:val="right"/>
              <w:ind w:right="10"/>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17"/>
                <w:szCs w:val="17"/>
                <w:color w:val="auto"/>
              </w:rPr>
            </w:pPr>
          </w:p>
        </w:tc>
      </w:tr>
      <w:tr>
        <w:trPr>
          <w:trHeight w:val="23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ind w:left="412"/>
              <w:spacing w:after="0"/>
              <w:rPr>
                <w:sz w:val="20"/>
                <w:szCs w:val="20"/>
                <w:color w:val="auto"/>
              </w:rPr>
            </w:pPr>
            <w:r>
              <w:rPr>
                <w:rFonts w:ascii="Arial" w:cs="Arial" w:eastAsia="Arial" w:hAnsi="Arial"/>
                <w:sz w:val="18"/>
                <w:szCs w:val="18"/>
                <w:color w:val="auto"/>
                <w:w w:val="88"/>
              </w:rPr>
              <w:t>224.6</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3"/>
              </w:rPr>
              <w:t>522.5</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Cash Flows used in Investing Activities</w:t>
            </w:r>
          </w:p>
        </w:tc>
        <w:tc>
          <w:tcPr>
            <w:tcW w:w="3120" w:type="dxa"/>
            <w:vAlign w:val="bottom"/>
          </w:tcPr>
          <w:p>
            <w:pPr>
              <w:spacing w:after="0"/>
              <w:rPr>
                <w:sz w:val="19"/>
                <w:szCs w:val="19"/>
                <w:color w:val="auto"/>
              </w:rPr>
            </w:pPr>
          </w:p>
        </w:tc>
        <w:tc>
          <w:tcPr>
            <w:tcW w:w="1020" w:type="dxa"/>
            <w:vAlign w:val="bottom"/>
          </w:tcPr>
          <w:p>
            <w:pPr>
              <w:jc w:val="center"/>
              <w:ind w:left="372"/>
              <w:spacing w:after="0"/>
              <w:rPr>
                <w:sz w:val="20"/>
                <w:szCs w:val="20"/>
                <w:color w:val="auto"/>
              </w:rPr>
            </w:pPr>
            <w:r>
              <w:rPr>
                <w:rFonts w:ascii="Arial" w:cs="Arial" w:eastAsia="Arial" w:hAnsi="Arial"/>
                <w:sz w:val="18"/>
                <w:szCs w:val="18"/>
                <w:color w:val="auto"/>
                <w:w w:val="91"/>
              </w:rPr>
              <w:t>(918.2)</w:t>
            </w:r>
          </w:p>
        </w:tc>
        <w:tc>
          <w:tcPr>
            <w:tcW w:w="420" w:type="dxa"/>
            <w:vAlign w:val="bottom"/>
          </w:tcPr>
          <w:p>
            <w:pPr>
              <w:spacing w:after="0"/>
              <w:rPr>
                <w:sz w:val="19"/>
                <w:szCs w:val="19"/>
                <w:color w:val="auto"/>
              </w:rPr>
            </w:pPr>
          </w:p>
        </w:tc>
        <w:tc>
          <w:tcPr>
            <w:tcW w:w="920" w:type="dxa"/>
            <w:vAlign w:val="bottom"/>
          </w:tcPr>
          <w:p>
            <w:pPr>
              <w:jc w:val="center"/>
              <w:ind w:left="270"/>
              <w:spacing w:after="0"/>
              <w:rPr>
                <w:sz w:val="20"/>
                <w:szCs w:val="20"/>
                <w:color w:val="auto"/>
              </w:rPr>
            </w:pPr>
            <w:r>
              <w:rPr>
                <w:rFonts w:ascii="Arial" w:cs="Arial" w:eastAsia="Arial" w:hAnsi="Arial"/>
                <w:sz w:val="18"/>
                <w:szCs w:val="18"/>
                <w:color w:val="auto"/>
                <w:w w:val="91"/>
              </w:rPr>
              <w:t>(601.2)</w:t>
            </w:r>
          </w:p>
        </w:tc>
      </w:tr>
      <w:tr>
        <w:trPr>
          <w:trHeight w:val="236"/>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1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center"/>
              <w:ind w:left="412"/>
              <w:spacing w:after="0"/>
              <w:rPr>
                <w:sz w:val="20"/>
                <w:szCs w:val="20"/>
                <w:color w:val="auto"/>
              </w:rPr>
            </w:pPr>
            <w:r>
              <w:rPr>
                <w:rFonts w:ascii="Arial" w:cs="Arial" w:eastAsia="Arial" w:hAnsi="Arial"/>
                <w:sz w:val="18"/>
                <w:szCs w:val="18"/>
                <w:color w:val="auto"/>
                <w:w w:val="88"/>
              </w:rPr>
              <w:t>607.1</w:t>
            </w: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3"/>
              </w:rPr>
              <w:t>231.7</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16" w:lineRule="exact"/>
        <w:rPr>
          <w:sz w:val="20"/>
          <w:szCs w:val="20"/>
          <w:color w:val="auto"/>
        </w:rPr>
      </w:pPr>
    </w:p>
    <w:p>
      <w:pPr>
        <w:ind w:right="400"/>
        <w:spacing w:after="0" w:line="244" w:lineRule="auto"/>
        <w:rPr>
          <w:sz w:val="20"/>
          <w:szCs w:val="20"/>
          <w:color w:val="auto"/>
        </w:rPr>
      </w:pPr>
      <w:r>
        <w:rPr>
          <w:rFonts w:ascii="Arial" w:cs="Arial" w:eastAsia="Arial" w:hAnsi="Arial"/>
          <w:sz w:val="20"/>
          <w:szCs w:val="20"/>
          <w:color w:val="auto"/>
        </w:rPr>
        <w:t>Evergy's cash flows from operating activities decreased $297.9 million year to date June 30, 2021, compared to the same period in 2020, primarily driven by:</w:t>
      </w:r>
    </w:p>
    <w:p>
      <w:pPr>
        <w:spacing w:after="0" w:line="83"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9"/>
          <w:szCs w:val="19"/>
          <w:color w:val="auto"/>
        </w:rPr>
      </w:pPr>
      <w:r>
        <w:rPr>
          <w:rFonts w:ascii="Arial" w:cs="Arial" w:eastAsia="Arial" w:hAnsi="Arial"/>
          <w:sz w:val="19"/>
          <w:szCs w:val="19"/>
          <w:color w:val="auto"/>
        </w:rPr>
        <w:t>$371.6 million of cash payments for net fuel and purchased power costs during the February 2021 winter weather event; and</w:t>
      </w:r>
    </w:p>
    <w:p>
      <w:pPr>
        <w:spacing w:after="0" w:line="119" w:lineRule="exact"/>
        <w:rPr>
          <w:rFonts w:ascii="Arial" w:cs="Arial" w:eastAsia="Arial" w:hAnsi="Arial"/>
          <w:sz w:val="19"/>
          <w:szCs w:val="19"/>
          <w:color w:val="auto"/>
        </w:rPr>
      </w:pPr>
    </w:p>
    <w:p>
      <w:pPr>
        <w:ind w:left="660" w:right="720" w:hanging="328"/>
        <w:spacing w:after="0" w:line="25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$95.5 million increase in cash payments in 2021 due to the timing of payments made to taxing authorities for property tax payments as well as various suppliers and other service providers for goods and services purchased in the ordinary course of business; partially offset by</w:t>
      </w:r>
    </w:p>
    <w:p>
      <w:pPr>
        <w:spacing w:after="0" w:line="77" w:lineRule="exact"/>
        <w:rPr>
          <w:rFonts w:ascii="Arial" w:cs="Arial" w:eastAsia="Arial" w:hAnsi="Arial"/>
          <w:sz w:val="20"/>
          <w:szCs w:val="20"/>
          <w:color w:val="auto"/>
        </w:rPr>
      </w:pPr>
    </w:p>
    <w:p>
      <w:pPr>
        <w:ind w:left="660" w:right="300" w:hanging="328"/>
        <w:spacing w:after="0" w:line="260" w:lineRule="auto"/>
        <w:tabs>
          <w:tab w:leader="none" w:pos="648" w:val="left"/>
        </w:tabs>
        <w:numPr>
          <w:ilvl w:val="0"/>
          <w:numId w:val="24"/>
        </w:numPr>
        <w:rPr>
          <w:rFonts w:ascii="Arial" w:cs="Arial" w:eastAsia="Arial" w:hAnsi="Arial"/>
          <w:sz w:val="20"/>
          <w:szCs w:val="20"/>
          <w:color w:val="auto"/>
        </w:rPr>
      </w:pPr>
      <w:r>
        <w:rPr>
          <w:rFonts w:ascii="Arial" w:cs="Arial" w:eastAsia="Arial" w:hAnsi="Arial"/>
          <w:sz w:val="20"/>
          <w:szCs w:val="20"/>
          <w:color w:val="auto"/>
        </w:rPr>
        <w:t>$89.1 million of cash receipts related to non-regulated energy marketing margins earned during the February 2021 winter weather event;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ind w:left="660" w:right="340" w:hanging="328"/>
        <w:spacing w:after="0" w:line="385" w:lineRule="auto"/>
        <w:tabs>
          <w:tab w:leader="none" w:pos="648"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$76.2 million increase in cash receipts for retail electric sales in 2021 primarily driven by favorable weather and an increase in weather-normalized commercial and industrial demand, partially offset by a decrease in weather-normalized residential demand.</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used in Investing Activities</w:t>
      </w:r>
    </w:p>
    <w:p>
      <w:pPr>
        <w:spacing w:after="0" w:line="16"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Evergy's cash flows used in investing activities increased $317.0 million year to date June 30, 2021, compared to the same period in 2020, primarily driven by:</w:t>
      </w:r>
    </w:p>
    <w:p>
      <w:pPr>
        <w:spacing w:after="0" w:line="83" w:lineRule="exact"/>
        <w:rPr>
          <w:sz w:val="20"/>
          <w:szCs w:val="20"/>
          <w:color w:val="auto"/>
        </w:rPr>
      </w:pPr>
    </w:p>
    <w:p>
      <w:pPr>
        <w:ind w:left="660" w:hanging="328"/>
        <w:spacing w:after="0" w:line="246"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$255.5 million increase in additions to property, plant and equipment due to increases at Evergy Kansas Central, Evergy Metro and Evergy Missouri West of $110.7 million, $59.5 million and $84.0 million, respectively, primarily due to increased spending for a variety of capital projects including transmission and distribution projects related to grid resiliency and other infrastructure improvements; and</w:t>
      </w:r>
    </w:p>
    <w:p>
      <w:pPr>
        <w:spacing w:after="0" w:line="83"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decrease of $57.1 million in proceeds from COLI investments, primarily from Evergy Kansas Central, due to a higher number of policy settlements in 2020.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Financing Activities</w:t>
      </w:r>
    </w:p>
    <w:p>
      <w:pPr>
        <w:spacing w:after="0" w:line="16" w:lineRule="exact"/>
        <w:rPr>
          <w:sz w:val="20"/>
          <w:szCs w:val="20"/>
          <w:color w:val="auto"/>
        </w:rPr>
      </w:pPr>
    </w:p>
    <w:p>
      <w:pPr>
        <w:ind w:right="360"/>
        <w:spacing w:after="0" w:line="244" w:lineRule="auto"/>
        <w:rPr>
          <w:sz w:val="20"/>
          <w:szCs w:val="20"/>
          <w:color w:val="auto"/>
        </w:rPr>
      </w:pPr>
      <w:r>
        <w:rPr>
          <w:rFonts w:ascii="Arial" w:cs="Arial" w:eastAsia="Arial" w:hAnsi="Arial"/>
          <w:sz w:val="20"/>
          <w:szCs w:val="20"/>
          <w:color w:val="auto"/>
        </w:rPr>
        <w:t>Evergy's cash flows from financing activities increased $375.4 million year to date June 30, 2021, compared to the same period in 2020, primarily driven by:</w:t>
      </w:r>
    </w:p>
    <w:p>
      <w:pPr>
        <w:spacing w:after="0" w:line="83"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$692.9 million increase in short-term debt borrowings primarily driven by:</w:t>
      </w:r>
    </w:p>
    <w:p>
      <w:pPr>
        <w:spacing w:after="0" w:line="107" w:lineRule="exact"/>
        <w:rPr>
          <w:rFonts w:ascii="Arial" w:cs="Arial" w:eastAsia="Arial" w:hAnsi="Arial"/>
          <w:sz w:val="20"/>
          <w:szCs w:val="20"/>
          <w:color w:val="auto"/>
        </w:rPr>
      </w:pPr>
    </w:p>
    <w:p>
      <w:pPr>
        <w:ind w:left="1300" w:right="100" w:hanging="320"/>
        <w:spacing w:after="0" w:line="260" w:lineRule="auto"/>
        <w:tabs>
          <w:tab w:leader="none" w:pos="1289" w:val="left"/>
        </w:tabs>
        <w:numPr>
          <w:ilvl w:val="1"/>
          <w:numId w:val="27"/>
        </w:numPr>
        <w:rPr>
          <w:rFonts w:ascii="Arial" w:cs="Arial" w:eastAsia="Arial" w:hAnsi="Arial"/>
          <w:sz w:val="20"/>
          <w:szCs w:val="20"/>
          <w:color w:val="auto"/>
        </w:rPr>
      </w:pPr>
      <w:r>
        <w:rPr>
          <w:rFonts w:ascii="Arial" w:cs="Arial" w:eastAsia="Arial" w:hAnsi="Arial"/>
          <w:sz w:val="20"/>
          <w:szCs w:val="20"/>
          <w:color w:val="auto"/>
        </w:rPr>
        <w:t>a $278.2 million increase at Evergy Kansas Central primarily due to higher cash capital expenditures in 2021 and increased fuel and purchased power costs associated with the February 2021 winter weather event;</w:t>
      </w:r>
    </w:p>
    <w:p>
      <w:pPr>
        <w:spacing w:after="0" w:line="68" w:lineRule="exact"/>
        <w:rPr>
          <w:rFonts w:ascii="Arial" w:cs="Arial" w:eastAsia="Arial" w:hAnsi="Arial"/>
          <w:sz w:val="20"/>
          <w:szCs w:val="20"/>
          <w:color w:val="auto"/>
        </w:rPr>
      </w:pPr>
    </w:p>
    <w:p>
      <w:pPr>
        <w:ind w:left="1300" w:hanging="320"/>
        <w:spacing w:after="0"/>
        <w:tabs>
          <w:tab w:leader="none" w:pos="1300" w:val="left"/>
        </w:tabs>
        <w:numPr>
          <w:ilvl w:val="1"/>
          <w:numId w:val="27"/>
        </w:numPr>
        <w:rPr>
          <w:rFonts w:ascii="Arial" w:cs="Arial" w:eastAsia="Arial" w:hAnsi="Arial"/>
          <w:sz w:val="20"/>
          <w:szCs w:val="20"/>
          <w:color w:val="auto"/>
        </w:rPr>
      </w:pPr>
      <w:r>
        <w:rPr>
          <w:rFonts w:ascii="Arial" w:cs="Arial" w:eastAsia="Arial" w:hAnsi="Arial"/>
          <w:sz w:val="20"/>
          <w:szCs w:val="20"/>
          <w:color w:val="auto"/>
        </w:rPr>
        <w:t>a $136.0 million increase at Evergy, Inc. primarily due to lower dividends from subsidiaries in 2021; and</w:t>
      </w:r>
    </w:p>
    <w:p>
      <w:pPr>
        <w:spacing w:after="0" w:line="107" w:lineRule="exact"/>
        <w:rPr>
          <w:rFonts w:ascii="Arial" w:cs="Arial" w:eastAsia="Arial" w:hAnsi="Arial"/>
          <w:sz w:val="20"/>
          <w:szCs w:val="20"/>
          <w:color w:val="auto"/>
        </w:rPr>
      </w:pPr>
    </w:p>
    <w:p>
      <w:pPr>
        <w:ind w:left="1300" w:right="160" w:hanging="320"/>
        <w:spacing w:after="0" w:line="246" w:lineRule="auto"/>
        <w:tabs>
          <w:tab w:leader="none" w:pos="1289" w:val="left"/>
        </w:tabs>
        <w:numPr>
          <w:ilvl w:val="1"/>
          <w:numId w:val="27"/>
        </w:numPr>
        <w:rPr>
          <w:rFonts w:ascii="Arial" w:cs="Arial" w:eastAsia="Arial" w:hAnsi="Arial"/>
          <w:sz w:val="20"/>
          <w:szCs w:val="20"/>
          <w:color w:val="auto"/>
        </w:rPr>
      </w:pPr>
      <w:r>
        <w:rPr>
          <w:rFonts w:ascii="Arial" w:cs="Arial" w:eastAsia="Arial" w:hAnsi="Arial"/>
          <w:sz w:val="20"/>
          <w:szCs w:val="20"/>
          <w:color w:val="auto"/>
        </w:rPr>
        <w:t>a $109.4 million increase at Evergy Missouri West primarily due to higher cash capital expenditures in 2021 and increased fuel and purchased power costs associated with the February 2021 winter weather event; partially offset by the issuance of $500.0 million of Series A, B, and C Senior Notes in April 2021, of which a portion was used to repay outstanding commercial paper balances;</w:t>
      </w:r>
    </w:p>
    <w:p>
      <w:pPr>
        <w:spacing w:after="0" w:line="83" w:lineRule="exact"/>
        <w:rPr>
          <w:rFonts w:ascii="Arial" w:cs="Arial" w:eastAsia="Arial" w:hAnsi="Arial"/>
          <w:sz w:val="20"/>
          <w:szCs w:val="20"/>
          <w:color w:val="auto"/>
        </w:rPr>
      </w:pPr>
    </w:p>
    <w:p>
      <w:pPr>
        <w:ind w:left="660" w:right="66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$112.5 million of Evergy common stock issued in April 2021 pursuant to a securities purchase agreement with an affiliate of Bluescape; and</w:t>
      </w:r>
    </w:p>
    <w:p>
      <w:pPr>
        <w:spacing w:after="0" w:line="68" w:lineRule="exact"/>
        <w:rPr>
          <w:rFonts w:ascii="Arial" w:cs="Arial" w:eastAsia="Arial" w:hAnsi="Arial"/>
          <w:sz w:val="20"/>
          <w:szCs w:val="20"/>
          <w:color w:val="auto"/>
        </w:rPr>
      </w:pPr>
    </w:p>
    <w:p>
      <w:pPr>
        <w:ind w:left="660" w:right="240" w:hanging="328"/>
        <w:spacing w:after="0" w:line="260" w:lineRule="auto"/>
        <w:tabs>
          <w:tab w:leader="none" w:pos="648"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$51.0 million decrease in the repayment of borrowings against cash surrender value of corporate-owned life insurance primarily due to a higher number of policy settlements in 2020; partially offset by</w:t>
      </w:r>
    </w:p>
    <w:p>
      <w:pPr>
        <w:spacing w:after="0" w:line="68" w:lineRule="exact"/>
        <w:rPr>
          <w:rFonts w:ascii="Arial" w:cs="Arial" w:eastAsia="Arial" w:hAnsi="Arial"/>
          <w:sz w:val="20"/>
          <w:szCs w:val="20"/>
          <w:color w:val="auto"/>
        </w:rPr>
      </w:pPr>
    </w:p>
    <w:p>
      <w:pPr>
        <w:jc w:val="both"/>
        <w:ind w:left="660" w:right="60" w:hanging="328"/>
        <w:spacing w:after="0" w:line="291" w:lineRule="auto"/>
        <w:tabs>
          <w:tab w:leader="none" w:pos="6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$391.8 million decrease in proceeds from long-term debt, net due to Evergy Kansas Central's issuance of $500.0 million of 3.45% first mortgage bonds (FMBs) in April 2020 and Evergy Metro's issuance of $400.0 million of 2.25% Mortgage Bonds in May 2020; partially offset by Evergy Missouri West's issuance of $500.0 million of Series A, B and C Senior Notes in April 2021; and</w:t>
      </w:r>
    </w:p>
    <w:p>
      <w:pPr>
        <w:spacing w:after="0" w:line="43" w:lineRule="exact"/>
        <w:rPr>
          <w:rFonts w:ascii="Arial" w:cs="Arial" w:eastAsia="Arial" w:hAnsi="Arial"/>
          <w:sz w:val="18"/>
          <w:szCs w:val="18"/>
          <w:color w:val="auto"/>
        </w:rPr>
      </w:pPr>
    </w:p>
    <w:p>
      <w:pPr>
        <w:ind w:left="660" w:right="120" w:hanging="328"/>
        <w:spacing w:after="0" w:line="287" w:lineRule="auto"/>
        <w:tabs>
          <w:tab w:leader="none" w:pos="648"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$100.0 million increase in retirements of long-term debt, net due to Evergy's repayment of $350.0 of 4.85% Senior Notes in April 2021; partially offset by Evergy Kansas Central's repayment of $250.0 million of 5.10% FMBs in May 2020.</w:t>
      </w:r>
    </w:p>
    <w:p>
      <w:pPr>
        <w:spacing w:after="0" w:line="200" w:lineRule="exact"/>
        <w:rPr>
          <w:sz w:val="20"/>
          <w:szCs w:val="20"/>
          <w:color w:val="auto"/>
        </w:rPr>
      </w:pP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3" w:name="page64"/>
    <w:bookmarkEnd w:id="63"/>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EVERGY KANSAS CENTRAL, INC.</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below results of operations and related discussion for Evergy Kansas Central is presented in a reduced disclosure format in accordance with General Instruction (H)(2)(a) to Form 10-Q.</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comparative results of operations.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6"/>
              </w:rPr>
              <w:t>Change</w:t>
            </w:r>
          </w:p>
        </w:tc>
        <w:tc>
          <w:tcPr>
            <w:tcW w:w="3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0"/>
        </w:trPr>
        <w:tc>
          <w:tcPr>
            <w:tcW w:w="7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211"/>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1,499.6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368.7</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400.5</w:t>
            </w:r>
          </w:p>
        </w:tc>
        <w:tc>
          <w:tcPr>
            <w:tcW w:w="30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199.2</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11.5</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261.0</w:t>
            </w:r>
          </w:p>
        </w:tc>
        <w:tc>
          <w:tcPr>
            <w:tcW w:w="30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238.9</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231.8</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r>
      <w:tr>
        <w:trPr>
          <w:trHeight w:val="229"/>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102.3</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4.6</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r>
      <w:tr>
        <w:trPr>
          <w:trHeight w:val="223"/>
        </w:trPr>
        <w:tc>
          <w:tcPr>
            <w:tcW w:w="7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360.8</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125.1</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(103.6)</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260.7</w:t>
            </w:r>
          </w:p>
        </w:tc>
        <w:tc>
          <w:tcPr>
            <w:tcW w:w="30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243.1</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0.3</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7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Evergy Kansas Central, Inc.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254.7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242.8</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Utility Gross Margin and MWh Sales</w:t>
      </w:r>
    </w:p>
    <w:p>
      <w:pPr>
        <w:spacing w:after="0" w:line="2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The following table summarizes Evergy Kansas Central's utility gross margin and MWhs sold and provides a reconciliation of utility gross margin to income from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Revenues and Expenses</w:t>
            </w:r>
          </w:p>
        </w:tc>
        <w:tc>
          <w:tcPr>
            <w:tcW w:w="6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3"/>
              </w:rPr>
              <w:t>Change</w:t>
            </w: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4"/>
              </w:rPr>
              <w:t>2020</w:t>
            </w:r>
          </w:p>
        </w:tc>
        <w:tc>
          <w:tcPr>
            <w:tcW w:w="13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6"/>
                <w:szCs w:val="16"/>
                <w:color w:val="auto"/>
              </w:rPr>
              <w:t>(millions)</w:t>
            </w: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Arial" w:cs="Arial" w:eastAsia="Arial" w:hAnsi="Arial"/>
                <w:sz w:val="16"/>
                <w:szCs w:val="16"/>
                <w:color w:val="auto"/>
                <w:w w:val="89"/>
              </w:rPr>
              <w:t>(thousands)</w:t>
            </w:r>
          </w:p>
        </w:tc>
        <w:tc>
          <w:tcPr>
            <w:tcW w:w="960" w:type="dxa"/>
            <w:vAlign w:val="bottom"/>
          </w:tcPr>
          <w:p>
            <w:pPr>
              <w:spacing w:after="0"/>
              <w:rPr>
                <w:sz w:val="19"/>
                <w:szCs w:val="19"/>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10.4</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3,000</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318.8</w:t>
            </w: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13.0</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305.8</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3,291</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93</w:t>
            </w:r>
          </w:p>
        </w:tc>
        <w:tc>
          <w:tcPr>
            <w:tcW w:w="960" w:type="dxa"/>
            <w:vAlign w:val="bottom"/>
          </w:tcPr>
          <w:p>
            <w:pPr>
              <w:jc w:val="right"/>
              <w:spacing w:after="0"/>
              <w:rPr>
                <w:sz w:val="20"/>
                <w:szCs w:val="20"/>
                <w:color w:val="auto"/>
              </w:rPr>
            </w:pPr>
            <w:r>
              <w:rPr>
                <w:rFonts w:ascii="Arial" w:cs="Arial" w:eastAsia="Arial" w:hAnsi="Arial"/>
                <w:sz w:val="18"/>
                <w:szCs w:val="18"/>
                <w:color w:val="auto"/>
              </w:rPr>
              <w:t>3,198</w:t>
            </w: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188.0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9.1</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2,638</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177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r>
      <w:tr>
        <w:trPr>
          <w:trHeight w:val="230"/>
        </w:trPr>
        <w:tc>
          <w:tcPr>
            <w:tcW w:w="39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(0.5)</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3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20</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890.2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32.0</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8,949</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280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325.9</w:t>
            </w: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226.5</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99.4</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5,337</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1,545</w:t>
            </w:r>
          </w:p>
        </w:tc>
        <w:tc>
          <w:tcPr>
            <w:tcW w:w="960" w:type="dxa"/>
            <w:vAlign w:val="bottom"/>
          </w:tcPr>
          <w:p>
            <w:pPr>
              <w:jc w:val="right"/>
              <w:spacing w:after="0"/>
              <w:rPr>
                <w:sz w:val="20"/>
                <w:szCs w:val="20"/>
                <w:color w:val="auto"/>
              </w:rPr>
            </w:pPr>
            <w:r>
              <w:rPr>
                <w:rFonts w:ascii="Arial" w:cs="Arial" w:eastAsia="Arial" w:hAnsi="Arial"/>
                <w:sz w:val="18"/>
                <w:szCs w:val="18"/>
                <w:color w:val="auto"/>
              </w:rPr>
              <w:t>3,792</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159.6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123.9</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92.9</w:t>
            </w:r>
          </w:p>
        </w:tc>
        <w:tc>
          <w:tcPr>
            <w:tcW w:w="4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1,499.6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368.7</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1,130.9</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14,286</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1,825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(400.5)</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(199.2)</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(143.2)</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(11.5)</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392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955.9</w:t>
            </w:r>
          </w:p>
        </w:tc>
        <w:tc>
          <w:tcPr>
            <w:tcW w:w="28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b w:val="1"/>
                <w:bCs w:val="1"/>
                <w:color w:val="auto"/>
              </w:rPr>
              <w:t>158.0</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797.9</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(261.0)</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(22.1)</w:t>
            </w:r>
          </w:p>
        </w:tc>
        <w:tc>
          <w:tcPr>
            <w:tcW w:w="4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(231.8)</w:t>
            </w:r>
          </w:p>
        </w:tc>
        <w:tc>
          <w:tcPr>
            <w:tcW w:w="280" w:type="dxa"/>
            <w:vAlign w:val="bottom"/>
          </w:tcPr>
          <w:p>
            <w:pPr>
              <w:spacing w:after="0"/>
              <w:rPr>
                <w:sz w:val="19"/>
                <w:szCs w:val="19"/>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(6.2)</w:t>
            </w: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(225.6)</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(102.3)</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(4.6)</w:t>
            </w: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360.8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125.1</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235.7</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bl>
    <w:p>
      <w:pPr>
        <w:spacing w:after="0" w:line="71" w:lineRule="exact"/>
        <w:rPr>
          <w:sz w:val="20"/>
          <w:szCs w:val="20"/>
          <w:color w:val="auto"/>
        </w:rPr>
      </w:pPr>
    </w:p>
    <w:p>
      <w:pPr>
        <w:ind w:left="160" w:hanging="152"/>
        <w:spacing w:after="0"/>
        <w:tabs>
          <w:tab w:leader="none" w:pos="16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Utility gross margin is a non-GAAP financial measure. See explanation of utility gross margin under Evergy's Results of Operations.</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47"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4" w:name="page65"/>
    <w:bookmarkEnd w:id="6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right="480"/>
        <w:spacing w:after="0" w:line="260" w:lineRule="auto"/>
        <w:rPr>
          <w:sz w:val="20"/>
          <w:szCs w:val="20"/>
          <w:color w:val="auto"/>
        </w:rPr>
      </w:pPr>
      <w:r>
        <w:rPr>
          <w:rFonts w:ascii="Arial" w:cs="Arial" w:eastAsia="Arial" w:hAnsi="Arial"/>
          <w:sz w:val="20"/>
          <w:szCs w:val="20"/>
          <w:color w:val="auto"/>
        </w:rPr>
        <w:t>Evergy Kansas Central's utility gross margin increased $158.0 million year to date June 30, 2021, compared to the same period in 2020, primarily driven by:</w:t>
      </w:r>
    </w:p>
    <w:p>
      <w:pPr>
        <w:spacing w:after="0" w:line="69"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$95.0 million of non-regulated energy marketing margins recognized during the February 2021 winter weather event;</w:t>
      </w:r>
    </w:p>
    <w:p>
      <w:pPr>
        <w:spacing w:after="0" w:line="107" w:lineRule="exact"/>
        <w:rPr>
          <w:rFonts w:ascii="Arial" w:cs="Arial" w:eastAsia="Arial" w:hAnsi="Arial"/>
          <w:sz w:val="20"/>
          <w:szCs w:val="20"/>
          <w:color w:val="auto"/>
        </w:rPr>
      </w:pPr>
    </w:p>
    <w:p>
      <w:pPr>
        <w:ind w:left="660" w:right="100" w:hanging="328"/>
        <w:spacing w:after="0" w:line="25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$33.9 million increase due to other impacts from the February 2021 winter weather event driven by higher utility gross margin at Evergy Kansas Central's non-regulated 8% ownership share of JEC due to higher wholesale sales prices and MWhs sold in February 2021;</w:t>
      </w:r>
    </w:p>
    <w:p>
      <w:pPr>
        <w:spacing w:after="0" w:line="77" w:lineRule="exact"/>
        <w:rPr>
          <w:rFonts w:ascii="Arial" w:cs="Arial" w:eastAsia="Arial" w:hAnsi="Arial"/>
          <w:sz w:val="20"/>
          <w:szCs w:val="20"/>
          <w:color w:val="auto"/>
        </w:rPr>
      </w:pPr>
    </w:p>
    <w:p>
      <w:pPr>
        <w:ind w:left="660" w:right="340" w:hanging="328"/>
        <w:spacing w:after="0" w:line="26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$17.3 million increase in transmission revenue primarily due to updated transmission costs reflected in Evergy Kansas Central's FERC TFR effective in January 2021;</w:t>
      </w:r>
    </w:p>
    <w:p>
      <w:pPr>
        <w:spacing w:after="0" w:line="68" w:lineRule="exact"/>
        <w:rPr>
          <w:rFonts w:ascii="Arial" w:cs="Arial" w:eastAsia="Arial" w:hAnsi="Arial"/>
          <w:sz w:val="20"/>
          <w:szCs w:val="20"/>
          <w:color w:val="auto"/>
        </w:rPr>
      </w:pPr>
    </w:p>
    <w:p>
      <w:pPr>
        <w:ind w:left="660" w:right="340" w:hanging="328"/>
        <w:spacing w:after="0" w:line="26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$9.1 million increase primarily due to higher retail sales driven by an increase in weather-normalized commercial and industrial demand partially offset by a decrease in weather-normalized residential demand;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$2.6 million increase related to Evergy Kansas Central's TDC rider in 2021; partially offset by</w:t>
      </w:r>
    </w:p>
    <w:p>
      <w:pPr>
        <w:spacing w:after="0" w:line="107" w:lineRule="exact"/>
        <w:rPr>
          <w:rFonts w:ascii="Arial" w:cs="Arial" w:eastAsia="Arial" w:hAnsi="Arial"/>
          <w:sz w:val="20"/>
          <w:szCs w:val="20"/>
          <w:color w:val="auto"/>
        </w:rPr>
      </w:pPr>
    </w:p>
    <w:p>
      <w:pPr>
        <w:ind w:left="660" w:right="200" w:hanging="328"/>
        <w:spacing w:after="0" w:line="260" w:lineRule="auto"/>
        <w:tabs>
          <w:tab w:leader="none" w:pos="648"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$10.1 million decrease in revenues due to rate reductions beginning January 1, 2021 in Kansas to reflect the exemption of Evergy Kansas Central from Kansas corporate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Operating and Maintenance</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Evergy Kansas Central's operating and maintenance expense increased $22.1 million year to date June 30, 2021, compared to the same period in 2020, primarily driven by:</w:t>
      </w:r>
    </w:p>
    <w:p>
      <w:pPr>
        <w:spacing w:after="0" w:line="83" w:lineRule="exact"/>
        <w:rPr>
          <w:sz w:val="20"/>
          <w:szCs w:val="20"/>
          <w:color w:val="auto"/>
        </w:rPr>
      </w:pPr>
    </w:p>
    <w:p>
      <w:pPr>
        <w:ind w:left="660" w:right="40" w:hanging="328"/>
        <w:spacing w:after="0" w:line="25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$14.4 million increase in various administrative and general operating and maintenance expenses primarily driven by an increase in costs billed for common use assets from Evergy Metro in 2021 primarily related to software assets placed into service in the third quarter of 2020;</w:t>
      </w:r>
    </w:p>
    <w:p>
      <w:pPr>
        <w:spacing w:after="0" w:line="77" w:lineRule="exact"/>
        <w:rPr>
          <w:rFonts w:ascii="Arial" w:cs="Arial" w:eastAsia="Arial" w:hAnsi="Arial"/>
          <w:sz w:val="20"/>
          <w:szCs w:val="20"/>
          <w:color w:val="auto"/>
        </w:rPr>
      </w:pPr>
    </w:p>
    <w:p>
      <w:pPr>
        <w:ind w:left="660" w:right="34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an $8.4 million increase in plant operating and maintenance expense at fossil-fuel generating units primarily due to a $9.2 million increase from a major maintenance outage at JEC in 2021;</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$4.0 million of costs related to non-regulated energy marketing margins recognized during the February 2021 winter weather event;</w:t>
      </w:r>
    </w:p>
    <w:p>
      <w:pPr>
        <w:spacing w:after="0" w:line="130" w:lineRule="exact"/>
        <w:rPr>
          <w:rFonts w:ascii="Arial" w:cs="Arial" w:eastAsia="Arial" w:hAnsi="Arial"/>
          <w:sz w:val="18"/>
          <w:szCs w:val="18"/>
          <w:color w:val="auto"/>
        </w:rPr>
      </w:pPr>
    </w:p>
    <w:p>
      <w:pPr>
        <w:ind w:left="660" w:right="32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$3.7 million of costs associated with executive transition in 2021, including inducement bonuses, severance agreements and other transition expenses; and</w:t>
      </w:r>
    </w:p>
    <w:p>
      <w:pPr>
        <w:spacing w:after="0" w:line="68" w:lineRule="exact"/>
        <w:rPr>
          <w:rFonts w:ascii="Arial" w:cs="Arial" w:eastAsia="Arial" w:hAnsi="Arial"/>
          <w:sz w:val="20"/>
          <w:szCs w:val="20"/>
          <w:color w:val="auto"/>
        </w:rPr>
      </w:pPr>
    </w:p>
    <w:p>
      <w:pPr>
        <w:ind w:left="660" w:right="600" w:hanging="328"/>
        <w:spacing w:after="0" w:line="287" w:lineRule="auto"/>
        <w:tabs>
          <w:tab w:leader="none" w:pos="648" w:val="left"/>
        </w:tabs>
        <w:numPr>
          <w:ilvl w:val="0"/>
          <w:numId w:val="30"/>
        </w:numPr>
        <w:rPr>
          <w:rFonts w:ascii="Arial" w:cs="Arial" w:eastAsia="Arial" w:hAnsi="Arial"/>
          <w:sz w:val="19"/>
          <w:szCs w:val="19"/>
          <w:color w:val="auto"/>
        </w:rPr>
      </w:pPr>
      <w:r>
        <w:rPr>
          <w:rFonts w:ascii="Arial" w:cs="Arial" w:eastAsia="Arial" w:hAnsi="Arial"/>
          <w:sz w:val="19"/>
          <w:szCs w:val="19"/>
          <w:color w:val="auto"/>
        </w:rPr>
        <w:t>a $1.4 million increase in property insurance expense due to a lower annual refund of nuclear insurance premiums received by Evergy Kansas Central in 2021 related to its ownership interest in Wolf Creek; partially offset by</w:t>
      </w:r>
    </w:p>
    <w:p>
      <w:pPr>
        <w:spacing w:after="0" w:line="44" w:lineRule="exact"/>
        <w:rPr>
          <w:rFonts w:ascii="Arial" w:cs="Arial" w:eastAsia="Arial" w:hAnsi="Arial"/>
          <w:sz w:val="19"/>
          <w:szCs w:val="19"/>
          <w:color w:val="auto"/>
        </w:rPr>
      </w:pPr>
    </w:p>
    <w:p>
      <w:pPr>
        <w:ind w:left="660" w:right="80" w:hanging="328"/>
        <w:spacing w:after="0" w:line="369" w:lineRule="auto"/>
        <w:tabs>
          <w:tab w:leader="none" w:pos="648"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 $11.9 million decrease in voluntary severance expenses due to an $8.6 million decrease related to Evergy voluntary exit programs in 2020 and a $3.3 million decrease in voluntary severance expenses related to Wolf Creek voluntary exit programs in 2020; and</w:t>
      </w:r>
    </w:p>
    <w:p>
      <w:pPr>
        <w:spacing w:after="0" w:line="1" w:lineRule="exact"/>
        <w:rPr>
          <w:rFonts w:ascii="Arial" w:cs="Arial" w:eastAsia="Arial" w:hAnsi="Arial"/>
          <w:sz w:val="16"/>
          <w:szCs w:val="16"/>
          <w:color w:val="auto"/>
        </w:rPr>
      </w:pPr>
    </w:p>
    <w:p>
      <w:pPr>
        <w:ind w:left="660" w:right="60" w:hanging="328"/>
        <w:spacing w:after="0" w:line="260"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$2.5 million decrease in credit loss expense primarily due to increases made to the allowance for credit losses in 2020 related to the economic slowdown resulting from the COVID-19 pandemic and a lower level of write-offs in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Taxes Other Than Income Tax</w:t>
      </w:r>
    </w:p>
    <w:p>
      <w:pPr>
        <w:spacing w:after="0" w:line="2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Evergy Kansas Central's taxes other than income tax increased $4.6 million year to date June 30, 2021, compared to the same period in 2020; driven by an increase in property taxes in Kansas primarily due to higher assessed property tax values.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Other Income (Expense), Net</w:t>
      </w:r>
    </w:p>
    <w:p>
      <w:pPr>
        <w:spacing w:after="0" w:line="22" w:lineRule="exact"/>
        <w:rPr>
          <w:sz w:val="20"/>
          <w:szCs w:val="20"/>
          <w:color w:val="auto"/>
        </w:rPr>
      </w:pPr>
    </w:p>
    <w:p>
      <w:pPr>
        <w:ind w:right="740"/>
        <w:spacing w:after="0" w:line="244" w:lineRule="auto"/>
        <w:rPr>
          <w:sz w:val="20"/>
          <w:szCs w:val="20"/>
          <w:color w:val="auto"/>
        </w:rPr>
      </w:pPr>
      <w:r>
        <w:rPr>
          <w:rFonts w:ascii="Arial" w:cs="Arial" w:eastAsia="Arial" w:hAnsi="Arial"/>
          <w:sz w:val="20"/>
          <w:szCs w:val="20"/>
          <w:color w:val="auto"/>
        </w:rPr>
        <w:t>Evergy Kansas Central's other expense, net decreased $7.4 million year to date June 30, 2021, compared to the same period in 2020, primarily driven by:</w:t>
      </w:r>
    </w:p>
    <w:p>
      <w:pPr>
        <w:spacing w:after="0" w:line="83" w:lineRule="exact"/>
        <w:rPr>
          <w:sz w:val="20"/>
          <w:szCs w:val="20"/>
          <w:color w:val="auto"/>
        </w:rPr>
      </w:pPr>
    </w:p>
    <w:p>
      <w:pPr>
        <w:ind w:left="660" w:hanging="328"/>
        <w:spacing w:after="0" w:line="260" w:lineRule="auto"/>
        <w:tabs>
          <w:tab w:leader="none" w:pos="648"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$4.8 million decrease due to higher equity AFUDC primarily due to lower short-term debt and higher construction work in progress balances in 2021;</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$2.2 million decrease due to recording higher COLI benefits in 2021;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31"/>
        </w:numPr>
        <w:rPr>
          <w:rFonts w:ascii="Arial" w:cs="Arial" w:eastAsia="Arial" w:hAnsi="Arial"/>
          <w:sz w:val="20"/>
          <w:szCs w:val="20"/>
          <w:color w:val="auto"/>
        </w:rPr>
      </w:pPr>
      <w:r>
        <w:rPr>
          <w:rFonts w:ascii="Arial" w:cs="Arial" w:eastAsia="Arial" w:hAnsi="Arial"/>
          <w:sz w:val="20"/>
          <w:szCs w:val="20"/>
          <w:color w:val="auto"/>
        </w:rPr>
        <w:t>$1.4 million of other income recorded in 2021 related to a contract termination fee.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Interest Expense</w:t>
      </w:r>
    </w:p>
    <w:p>
      <w:pPr>
        <w:spacing w:after="0" w:line="2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Evergy Kansas Central's interest expense decreased $7.3 million year to date June 30, 2021, compared to the same period in 2020, primarily driven by:</w:t>
      </w:r>
    </w:p>
    <w:p>
      <w:pPr>
        <w:spacing w:after="0" w:line="83" w:lineRule="exact"/>
        <w:rPr>
          <w:sz w:val="20"/>
          <w:szCs w:val="20"/>
          <w:color w:val="auto"/>
        </w:rPr>
      </w:pPr>
    </w:p>
    <w:p>
      <w:pPr>
        <w:ind w:left="660" w:right="100" w:hanging="328"/>
        <w:spacing w:after="0" w:line="25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$2.2 million net decrease due to the repayment of Evergy Kansas Central's $250.0 million of 5.10% FMBs in May 2020, which decreased interest expense by $6.9 million, partially offset by a $4.7 million increase due to the issuance of Evergy Kansas Central's $500.0 million of 3.45% FMBs in April 2020; and</w:t>
      </w:r>
    </w:p>
    <w:p>
      <w:pPr>
        <w:spacing w:after="0" w:line="77" w:lineRule="exact"/>
        <w:rPr>
          <w:rFonts w:ascii="Arial" w:cs="Arial" w:eastAsia="Arial" w:hAnsi="Arial"/>
          <w:sz w:val="20"/>
          <w:szCs w:val="20"/>
          <w:color w:val="auto"/>
        </w:rPr>
      </w:pPr>
    </w:p>
    <w:p>
      <w:pPr>
        <w:ind w:left="660" w:right="20" w:hanging="328"/>
        <w:spacing w:after="0" w:line="26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$4.6 million decrease in interest on short-term borrowings primarily due to lower commercial paper balances and weighted-average interest rates on borrowings in 2021.</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Income Tax Expense</w:t>
      </w:r>
    </w:p>
    <w:p>
      <w:pPr>
        <w:spacing w:after="0" w:line="22" w:lineRule="exact"/>
        <w:rPr>
          <w:sz w:val="20"/>
          <w:szCs w:val="20"/>
          <w:color w:val="auto"/>
        </w:rPr>
      </w:pPr>
    </w:p>
    <w:p>
      <w:pPr>
        <w:ind w:right="420"/>
        <w:spacing w:after="0" w:line="244" w:lineRule="auto"/>
        <w:rPr>
          <w:sz w:val="20"/>
          <w:szCs w:val="20"/>
          <w:color w:val="auto"/>
        </w:rPr>
      </w:pPr>
      <w:r>
        <w:rPr>
          <w:rFonts w:ascii="Arial" w:cs="Arial" w:eastAsia="Arial" w:hAnsi="Arial"/>
          <w:sz w:val="20"/>
          <w:szCs w:val="20"/>
          <w:color w:val="auto"/>
        </w:rPr>
        <w:t>Evergy Kansas Central's income tax expense decreased $103.6 million year to date June 30, 2021, compared to the same period in 2020, primarily driven by:</w:t>
      </w:r>
    </w:p>
    <w:p>
      <w:pPr>
        <w:spacing w:after="0" w:line="83" w:lineRule="exact"/>
        <w:rPr>
          <w:sz w:val="20"/>
          <w:szCs w:val="20"/>
          <w:color w:val="auto"/>
        </w:rPr>
      </w:pPr>
    </w:p>
    <w:p>
      <w:pPr>
        <w:ind w:left="660" w:right="140" w:hanging="328"/>
        <w:spacing w:after="0" w:line="260"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$109.0 million decrease related to the revaluation of deferred income tax assets and liabilities in the second quarter of 2020 due to the change in the Kansas corporate income tax rate;</w:t>
      </w:r>
    </w:p>
    <w:p>
      <w:pPr>
        <w:spacing w:after="0" w:line="68" w:lineRule="exact"/>
        <w:rPr>
          <w:rFonts w:ascii="Arial" w:cs="Arial" w:eastAsia="Arial" w:hAnsi="Arial"/>
          <w:sz w:val="20"/>
          <w:szCs w:val="20"/>
          <w:color w:val="auto"/>
        </w:rPr>
      </w:pPr>
    </w:p>
    <w:p>
      <w:pPr>
        <w:ind w:left="660" w:right="180" w:hanging="328"/>
        <w:spacing w:after="0" w:line="260" w:lineRule="auto"/>
        <w:tabs>
          <w:tab w:leader="none" w:pos="64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$13.4 million decrease as a result of the state of Kansas exempting certain public utilities, including Evergy Kansas Central, from Kansas corporate income tax beginning in January 2021;</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$10.5 million decrease due to flow-through items primarily driven by higher amortization of excess deferred income taxes; and</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$5.8 million decrease due to higher wind and other income tax credits in 2021; partially offset by</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$37.0 million increase due to higher Evergy Kansas Central pre-tax income in 2021.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6" w:name="page67"/>
    <w:bookmarkEnd w:id="66"/>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EVERGY METRO,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The below results of operations and related discussion for Evergy Metro is presented in a reduced disclosure format in accordance with General Instruction (H)(2)(a) to Form 10-Q.</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Metro's comparative results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87"/>
              </w:rPr>
              <w:t>Change</w:t>
            </w:r>
          </w:p>
        </w:tc>
        <w:tc>
          <w:tcPr>
            <w:tcW w:w="32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0"/>
        </w:trPr>
        <w:tc>
          <w:tcPr>
            <w:tcW w:w="8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91"/>
              <w:spacing w:after="0"/>
              <w:rPr>
                <w:sz w:val="20"/>
                <w:szCs w:val="20"/>
                <w:color w:val="auto"/>
              </w:rPr>
            </w:pPr>
            <w:r>
              <w:rPr>
                <w:rFonts w:ascii="Arial" w:cs="Arial" w:eastAsia="Arial" w:hAnsi="Arial"/>
                <w:sz w:val="16"/>
                <w:szCs w:val="16"/>
                <w:color w:val="auto"/>
                <w:w w:val="99"/>
              </w:rPr>
              <w:t>(millions)</w:t>
            </w: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954.9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155.1</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356.1</w:t>
            </w:r>
          </w:p>
        </w:tc>
        <w:tc>
          <w:tcPr>
            <w:tcW w:w="240" w:type="dxa"/>
            <w:vAlign w:val="bottom"/>
          </w:tcPr>
          <w:p>
            <w:pPr>
              <w:spacing w:after="0"/>
              <w:rPr>
                <w:sz w:val="19"/>
                <w:szCs w:val="19"/>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162.3</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(29.3)</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156.8</w:t>
            </w:r>
          </w:p>
        </w:tc>
        <w:tc>
          <w:tcPr>
            <w:tcW w:w="2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income tax</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64.6</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3"/>
        </w:trPr>
        <w:tc>
          <w:tcPr>
            <w:tcW w:w="802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55.4</w:t>
            </w:r>
          </w:p>
        </w:tc>
        <w:tc>
          <w:tcPr>
            <w:tcW w:w="24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30"/>
        </w:trPr>
        <w:tc>
          <w:tcPr>
            <w:tcW w:w="8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37.2</w:t>
            </w: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80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Utility Gross Margin and MWh Sales</w:t>
      </w:r>
    </w:p>
    <w:p>
      <w:pPr>
        <w:spacing w:after="0" w:line="22"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The following table summarizes Evergy Metro's utility gross margin and MWhs sold and provides a reconciliation of utility gross margin to income from operations.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520" w:type="dxa"/>
            <w:vAlign w:val="bottom"/>
            <w:tcBorders>
              <w:top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6"/>
              </w:rPr>
              <w:t>Revenues and Expenses</w:t>
            </w:r>
          </w:p>
        </w:tc>
        <w:tc>
          <w:tcPr>
            <w:tcW w:w="7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MWhs Sold</w:t>
            </w:r>
          </w:p>
        </w:tc>
        <w:tc>
          <w:tcPr>
            <w:tcW w:w="960" w:type="dxa"/>
            <w:vAlign w:val="bottom"/>
            <w:tcBorders>
              <w:top w:val="single" w:sz="8" w:color="auto"/>
            </w:tcBorders>
          </w:tcPr>
          <w:p>
            <w:pPr>
              <w:spacing w:after="0"/>
              <w:rPr>
                <w:sz w:val="21"/>
                <w:szCs w:val="21"/>
                <w:color w:val="auto"/>
              </w:rPr>
            </w:pPr>
          </w:p>
        </w:tc>
      </w:tr>
      <w:tr>
        <w:trPr>
          <w:trHeight w:val="234"/>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to Date June 30</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0"/>
              </w:rPr>
              <w:t>Change</w:t>
            </w:r>
          </w:p>
        </w:tc>
        <w:tc>
          <w:tcPr>
            <w:tcW w:w="3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13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40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ind w:right="171"/>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jc w:val="center"/>
              <w:ind w:right="71"/>
              <w:spacing w:after="0"/>
              <w:rPr>
                <w:sz w:val="20"/>
                <w:szCs w:val="20"/>
                <w:color w:val="auto"/>
              </w:rPr>
            </w:pPr>
            <w:r>
              <w:rPr>
                <w:rFonts w:ascii="Arial" w:cs="Arial" w:eastAsia="Arial" w:hAnsi="Arial"/>
                <w:sz w:val="16"/>
                <w:szCs w:val="16"/>
                <w:color w:val="auto"/>
                <w:w w:val="89"/>
              </w:rPr>
              <w:t>(thousands)</w:t>
            </w: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296.1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(34.9)</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2,638</w:t>
            </w:r>
          </w:p>
        </w:tc>
        <w:tc>
          <w:tcPr>
            <w:tcW w:w="140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49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320.6</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(24.2)</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344.8</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3,523</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132</w:t>
            </w:r>
          </w:p>
        </w:tc>
        <w:tc>
          <w:tcPr>
            <w:tcW w:w="960" w:type="dxa"/>
            <w:vAlign w:val="bottom"/>
          </w:tcPr>
          <w:p>
            <w:pPr>
              <w:jc w:val="right"/>
              <w:spacing w:after="0"/>
              <w:rPr>
                <w:sz w:val="20"/>
                <w:szCs w:val="20"/>
                <w:color w:val="auto"/>
              </w:rPr>
            </w:pPr>
            <w:r>
              <w:rPr>
                <w:rFonts w:ascii="Arial" w:cs="Arial" w:eastAsia="Arial" w:hAnsi="Arial"/>
                <w:sz w:val="18"/>
                <w:szCs w:val="18"/>
                <w:color w:val="auto"/>
              </w:rPr>
              <w:t>3,391</w:t>
            </w: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809</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Other retail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9"/>
                <w:szCs w:val="19"/>
                <w:color w:val="auto"/>
              </w:rPr>
            </w:pPr>
          </w:p>
        </w:tc>
        <w:tc>
          <w:tcPr>
            <w:tcW w:w="980" w:type="dxa"/>
            <w:vAlign w:val="bottom"/>
          </w:tcPr>
          <w:p>
            <w:pPr>
              <w:jc w:val="right"/>
              <w:ind w:right="51"/>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36</w:t>
            </w:r>
          </w:p>
        </w:tc>
        <w:tc>
          <w:tcPr>
            <w:tcW w:w="1400" w:type="dxa"/>
            <w:vAlign w:val="bottom"/>
          </w:tcPr>
          <w:p>
            <w:pPr>
              <w:jc w:val="right"/>
              <w:ind w:right="251"/>
              <w:spacing w:after="0"/>
              <w:rPr>
                <w:sz w:val="20"/>
                <w:szCs w:val="20"/>
                <w:color w:val="auto"/>
              </w:rPr>
            </w:pPr>
            <w:r>
              <w:rPr>
                <w:rFonts w:ascii="Arial" w:cs="Arial" w:eastAsia="Arial" w:hAnsi="Arial"/>
                <w:sz w:val="18"/>
                <w:szCs w:val="18"/>
                <w:color w:val="auto"/>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39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677.6</w:t>
            </w: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(67.4)</w:t>
            </w:r>
          </w:p>
        </w:tc>
        <w:tc>
          <w:tcPr>
            <w:tcW w:w="3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7,006</w:t>
            </w:r>
          </w:p>
        </w:tc>
        <w:tc>
          <w:tcPr>
            <w:tcW w:w="140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170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6,836</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22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213.3</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206.3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1,743</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(920)</w:t>
            </w:r>
          </w:p>
        </w:tc>
        <w:tc>
          <w:tcPr>
            <w:tcW w:w="960" w:type="dxa"/>
            <w:vAlign w:val="bottom"/>
          </w:tcPr>
          <w:p>
            <w:pPr>
              <w:jc w:val="right"/>
              <w:spacing w:after="0"/>
              <w:rPr>
                <w:sz w:val="20"/>
                <w:szCs w:val="20"/>
                <w:color w:val="auto"/>
              </w:rPr>
            </w:pPr>
            <w:r>
              <w:rPr>
                <w:rFonts w:ascii="Arial" w:cs="Arial" w:eastAsia="Arial" w:hAnsi="Arial"/>
                <w:sz w:val="18"/>
                <w:szCs w:val="18"/>
                <w:color w:val="auto"/>
              </w:rPr>
              <w:t>2,663</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55.5</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14.6</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N/A</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23"/>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revenues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954.9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155.1</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8,749</w:t>
            </w:r>
          </w:p>
        </w:tc>
        <w:tc>
          <w:tcPr>
            <w:tcW w:w="1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w:t>
            </w:r>
          </w:p>
        </w:tc>
      </w:tr>
      <w:tr>
        <w:trPr>
          <w:trHeight w:val="229"/>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Fuel and purchased power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(356.1)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(162.3)</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23"/>
        </w:trPr>
        <w:tc>
          <w:tcPr>
            <w:tcW w:w="39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Utility gross margin </w:t>
            </w:r>
            <w:r>
              <w:rPr>
                <w:rFonts w:ascii="Arial" w:cs="Arial" w:eastAsia="Arial" w:hAnsi="Arial"/>
                <w:sz w:val="23"/>
                <w:szCs w:val="23"/>
                <w:b w:val="1"/>
                <w:bCs w:val="1"/>
                <w:color w:val="auto"/>
                <w:vertAlign w:val="superscript"/>
              </w:rPr>
              <w:t>(a)</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598.8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(7.2)</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(175.1)</w:t>
            </w:r>
          </w:p>
        </w:tc>
        <w:tc>
          <w:tcPr>
            <w:tcW w:w="26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Arial" w:cs="Arial" w:eastAsia="Arial" w:hAnsi="Arial"/>
                <w:sz w:val="18"/>
                <w:szCs w:val="18"/>
                <w:color w:val="auto"/>
              </w:rPr>
              <w:t>29.3</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(204.4)</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(156.8)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(64.6)</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(3.4)</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r>
      <w:tr>
        <w:trPr>
          <w:trHeight w:val="230"/>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26.1</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2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r>
    </w:tbl>
    <w:p>
      <w:pPr>
        <w:spacing w:after="0" w:line="71"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Utility gross margin is a non-GAAP financial measure. See explanation of utility gross margin under Evergy's Results of Operations.</w:t>
      </w:r>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Evergy Metro's utility gross margin decreased $7.2 million year to date June 30, 2021, compared to the same period in 2020, primarily driven by:</w:t>
      </w:r>
    </w:p>
    <w:p>
      <w:pPr>
        <w:spacing w:after="0" w:line="69" w:lineRule="exact"/>
        <w:rPr>
          <w:sz w:val="20"/>
          <w:szCs w:val="20"/>
          <w:color w:val="auto"/>
        </w:rPr>
      </w:pPr>
    </w:p>
    <w:p>
      <w:pPr>
        <w:ind w:left="660" w:right="200" w:hanging="328"/>
        <w:spacing w:after="0" w:line="260" w:lineRule="auto"/>
        <w:tabs>
          <w:tab w:leader="none" w:pos="6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an $11.4 million decrease due to impacts from the February 2021 winter weather event primarily driven by jurisdictional allocation differences currently present between Evergy Metro's fuel recovery mechanisms 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7" w:name="page68"/>
    <w:bookmarkEnd w:id="67"/>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Missouri and Kansas regarding its refund to customers for the net increase in wholesale revenues in February 2021; and</w:t>
      </w:r>
    </w:p>
    <w:p>
      <w:pPr>
        <w:spacing w:after="0" w:line="119" w:lineRule="exact"/>
        <w:rPr>
          <w:sz w:val="20"/>
          <w:szCs w:val="20"/>
          <w:color w:val="auto"/>
        </w:rPr>
      </w:pPr>
    </w:p>
    <w:p>
      <w:pPr>
        <w:ind w:left="660" w:right="40" w:hanging="328"/>
        <w:spacing w:after="0" w:line="260" w:lineRule="auto"/>
        <w:tabs>
          <w:tab w:leader="none" w:pos="648"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$4.1 million decrease in revenues due to a rate reduction beginning January 1, 2021 in Kansas to reflect Evergy Metro's exemption from Kansas corporate income taxes; partially offset by</w:t>
      </w:r>
    </w:p>
    <w:p>
      <w:pPr>
        <w:spacing w:after="0" w:line="68" w:lineRule="exact"/>
        <w:rPr>
          <w:rFonts w:ascii="Arial" w:cs="Arial" w:eastAsia="Arial" w:hAnsi="Arial"/>
          <w:sz w:val="20"/>
          <w:szCs w:val="20"/>
          <w:color w:val="auto"/>
        </w:rPr>
      </w:pPr>
    </w:p>
    <w:p>
      <w:pPr>
        <w:ind w:left="660" w:right="220" w:hanging="328"/>
        <w:spacing w:after="0" w:line="260" w:lineRule="auto"/>
        <w:tabs>
          <w:tab w:leader="none" w:pos="648"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 $8.3 million increase primarily due to higher retail sales driven by favorable weather (heating degree days increased by 4% and cooling degree days increased by 10%).</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Operating and Maintenance</w:t>
      </w:r>
    </w:p>
    <w:p>
      <w:pPr>
        <w:spacing w:after="0" w:line="22" w:lineRule="exact"/>
        <w:rPr>
          <w:sz w:val="20"/>
          <w:szCs w:val="20"/>
          <w:color w:val="auto"/>
        </w:rPr>
      </w:pPr>
    </w:p>
    <w:p>
      <w:pPr>
        <w:ind w:right="440"/>
        <w:spacing w:after="0" w:line="244" w:lineRule="auto"/>
        <w:rPr>
          <w:sz w:val="20"/>
          <w:szCs w:val="20"/>
          <w:color w:val="auto"/>
        </w:rPr>
      </w:pPr>
      <w:r>
        <w:rPr>
          <w:rFonts w:ascii="Arial" w:cs="Arial" w:eastAsia="Arial" w:hAnsi="Arial"/>
          <w:sz w:val="20"/>
          <w:szCs w:val="20"/>
          <w:color w:val="auto"/>
        </w:rPr>
        <w:t>Evergy Metro's operating and maintenance expense decreased $29.3 million year to date June 30, 2021, compared to the same period in 2020, primarily driven by:</w:t>
      </w:r>
    </w:p>
    <w:p>
      <w:pPr>
        <w:spacing w:after="0" w:line="83" w:lineRule="exact"/>
        <w:rPr>
          <w:sz w:val="20"/>
          <w:szCs w:val="20"/>
          <w:color w:val="auto"/>
        </w:rPr>
      </w:pPr>
    </w:p>
    <w:p>
      <w:pPr>
        <w:ind w:left="660" w:right="120" w:hanging="328"/>
        <w:spacing w:after="0" w:line="316"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$9.1 million decrease in voluntary severance expenses due to a $5.8 million decrease related to Evergy voluntary exit programs in 2020 and a $3.3 million decrease in voluntary severance expenses related to Wolf Creek voluntary exit programs in 2020;</w:t>
      </w:r>
    </w:p>
    <w:p>
      <w:pPr>
        <w:spacing w:after="0" w:line="21" w:lineRule="exact"/>
        <w:rPr>
          <w:rFonts w:ascii="Arial" w:cs="Arial" w:eastAsia="Arial" w:hAnsi="Arial"/>
          <w:sz w:val="18"/>
          <w:szCs w:val="18"/>
          <w:color w:val="auto"/>
        </w:rPr>
      </w:pPr>
    </w:p>
    <w:p>
      <w:pPr>
        <w:ind w:left="660" w:right="40" w:hanging="328"/>
        <w:spacing w:after="0" w:line="25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$7.8 million decrease in various administrative and general operating and maintenance expenses primarily driven by an increase in costs billed for common use assets to Evergy Kansas Central in 2021 primarily related to software assets placed into service in the third quarter of 2020;</w:t>
      </w:r>
    </w:p>
    <w:p>
      <w:pPr>
        <w:spacing w:after="0" w:line="77" w:lineRule="exact"/>
        <w:rPr>
          <w:rFonts w:ascii="Arial" w:cs="Arial" w:eastAsia="Arial" w:hAnsi="Arial"/>
          <w:sz w:val="20"/>
          <w:szCs w:val="20"/>
          <w:color w:val="auto"/>
        </w:rPr>
      </w:pPr>
    </w:p>
    <w:p>
      <w:pPr>
        <w:ind w:left="660" w:hanging="328"/>
        <w:spacing w:after="0" w:line="287" w:lineRule="auto"/>
        <w:tabs>
          <w:tab w:leader="none" w:pos="648"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$4.4 million decrease in credit loss expense primarily due to increases made to the allowance for credit losses in 2020 related to the economic slowdown resulting from the COVID-19 pandemic and a lower level of write-offs in 2021; and</w:t>
      </w:r>
    </w:p>
    <w:p>
      <w:pPr>
        <w:spacing w:after="0" w:line="44" w:lineRule="exact"/>
        <w:rPr>
          <w:rFonts w:ascii="Arial" w:cs="Arial" w:eastAsia="Arial" w:hAnsi="Arial"/>
          <w:sz w:val="19"/>
          <w:szCs w:val="19"/>
          <w:color w:val="auto"/>
        </w:rPr>
      </w:pPr>
    </w:p>
    <w:p>
      <w:pPr>
        <w:ind w:left="660" w:right="180" w:hanging="328"/>
        <w:spacing w:after="0" w:line="25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$1.7 million decrease in various transmission and distribution operating and maintenance expenses primarily due to lower contractor costs primarily driven by a higher mix of transmission capital projects in 2021 and a $0.7 million decrease in vegetation management costs in 2021; partially offset by</w:t>
      </w:r>
    </w:p>
    <w:p>
      <w:pPr>
        <w:spacing w:after="0" w:line="77" w:lineRule="exact"/>
        <w:rPr>
          <w:rFonts w:ascii="Arial" w:cs="Arial" w:eastAsia="Arial" w:hAnsi="Arial"/>
          <w:sz w:val="20"/>
          <w:szCs w:val="20"/>
          <w:color w:val="auto"/>
        </w:rPr>
      </w:pPr>
    </w:p>
    <w:p>
      <w:pPr>
        <w:ind w:left="660" w:right="260" w:hanging="328"/>
        <w:spacing w:after="0" w:line="26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$2.4 million of costs associated with executive transition in 2021, including inducement bonuses, severance agreements and other transition expenses; and</w:t>
      </w:r>
    </w:p>
    <w:p>
      <w:pPr>
        <w:spacing w:after="0" w:line="68" w:lineRule="exact"/>
        <w:rPr>
          <w:rFonts w:ascii="Arial" w:cs="Arial" w:eastAsia="Arial" w:hAnsi="Arial"/>
          <w:sz w:val="20"/>
          <w:szCs w:val="20"/>
          <w:color w:val="auto"/>
        </w:rPr>
      </w:pPr>
    </w:p>
    <w:p>
      <w:pPr>
        <w:ind w:left="660" w:right="140" w:hanging="328"/>
        <w:spacing w:after="0" w:line="260" w:lineRule="auto"/>
        <w:tabs>
          <w:tab w:leader="none" w:pos="64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$1.3 million increase in property insurance expense due to a lower annual refund of nuclear insurance premiums received in 2021 by Evergy Metro related to its ownership interest in Wolf Creek.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Other Expense, Net</w:t>
      </w:r>
    </w:p>
    <w:p>
      <w:pPr>
        <w:spacing w:after="0" w:line="22" w:lineRule="exact"/>
        <w:rPr>
          <w:sz w:val="20"/>
          <w:szCs w:val="20"/>
          <w:color w:val="auto"/>
        </w:rPr>
      </w:pPr>
    </w:p>
    <w:p>
      <w:pPr>
        <w:ind w:right="80"/>
        <w:spacing w:after="0" w:line="297" w:lineRule="auto"/>
        <w:rPr>
          <w:sz w:val="20"/>
          <w:szCs w:val="20"/>
          <w:color w:val="auto"/>
        </w:rPr>
      </w:pPr>
      <w:r>
        <w:rPr>
          <w:rFonts w:ascii="Arial" w:cs="Arial" w:eastAsia="Arial" w:hAnsi="Arial"/>
          <w:sz w:val="18"/>
          <w:szCs w:val="18"/>
          <w:color w:val="auto"/>
        </w:rPr>
        <w:t>Evergy Metro's other expense, net decreased $3.3 million year to date June 30, 2021, compared to the same period in 2020, driven by a $4.7 million increase in equity AFUDC primarily due to lower short-term debt and higher construction work in progress balances in 2021.</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Interest Expense</w:t>
      </w:r>
    </w:p>
    <w:p>
      <w:pPr>
        <w:spacing w:after="0" w:line="22"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Evergy Metro's interest expense decreased $0.9 million year to date June 30, 2021, compared to the same period in 2020, primarily driven by a $0.7 million increase in debt AFUDC primarily due to higher construction work in progress balances in 2021.</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Income Tax Expense</w:t>
      </w:r>
    </w:p>
    <w:p>
      <w:pPr>
        <w:spacing w:after="0" w:line="22" w:lineRule="exact"/>
        <w:rPr>
          <w:sz w:val="20"/>
          <w:szCs w:val="20"/>
          <w:color w:val="auto"/>
        </w:rPr>
      </w:pPr>
    </w:p>
    <w:p>
      <w:pPr>
        <w:ind w:right="440"/>
        <w:spacing w:after="0" w:line="244" w:lineRule="auto"/>
        <w:rPr>
          <w:sz w:val="20"/>
          <w:szCs w:val="20"/>
          <w:color w:val="auto"/>
        </w:rPr>
      </w:pPr>
      <w:r>
        <w:rPr>
          <w:rFonts w:ascii="Arial" w:cs="Arial" w:eastAsia="Arial" w:hAnsi="Arial"/>
          <w:sz w:val="20"/>
          <w:szCs w:val="20"/>
          <w:color w:val="auto"/>
        </w:rPr>
        <w:t>Evergy Metro's income tax expense increased $37.2 million year to date June 30, 2021, compared to the same period in 2020, primarily driven by:</w:t>
      </w:r>
    </w:p>
    <w:p>
      <w:pPr>
        <w:spacing w:after="0" w:line="83" w:lineRule="exact"/>
        <w:rPr>
          <w:sz w:val="20"/>
          <w:szCs w:val="20"/>
          <w:color w:val="auto"/>
        </w:rPr>
      </w:pPr>
    </w:p>
    <w:p>
      <w:pPr>
        <w:ind w:left="660" w:right="240" w:hanging="328"/>
        <w:spacing w:after="0" w:line="26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$32.2 million increase related to the revaluation of deferred income tax assets and liabilities in the second quarter of 2020 due to the change in the Kansas corporate income tax rate; and</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$9.6 million increase due to higher Evergy Metro pre-tax income in 2021; partially offset by</w:t>
      </w:r>
    </w:p>
    <w:p>
      <w:pPr>
        <w:spacing w:after="0" w:line="107" w:lineRule="exact"/>
        <w:rPr>
          <w:rFonts w:ascii="Arial" w:cs="Arial" w:eastAsia="Arial" w:hAnsi="Arial"/>
          <w:sz w:val="20"/>
          <w:szCs w:val="20"/>
          <w:color w:val="auto"/>
        </w:rPr>
      </w:pPr>
    </w:p>
    <w:p>
      <w:pPr>
        <w:ind w:left="660" w:right="340" w:hanging="328"/>
        <w:spacing w:after="0" w:line="260" w:lineRule="auto"/>
        <w:tabs>
          <w:tab w:leader="none" w:pos="648"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$5.7 million decrease as a result of the state of Kansas exempting certain public utilities, including Evergy Metro, from Kansas corporate income tax beginning in 2021.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8" w:name="page69"/>
    <w:bookmarkEnd w:id="68"/>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22"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In the ordinary course of business, Evergy faces risks that are either non-financial or non-quantifiable. Such risks principally include business, legal, operational and credit risks and are discussed elsewhere in this report as well as in the Evergy Companies' combined 2020 Form 10-K and therefore are not represented here.</w:t>
      </w:r>
    </w:p>
    <w:p>
      <w:pPr>
        <w:spacing w:after="0" w:line="186" w:lineRule="exact"/>
        <w:rPr>
          <w:sz w:val="20"/>
          <w:szCs w:val="20"/>
          <w:color w:val="auto"/>
        </w:rPr>
      </w:pPr>
    </w:p>
    <w:p>
      <w:pPr>
        <w:jc w:val="both"/>
        <w:ind w:right="180"/>
        <w:spacing w:after="0" w:line="291" w:lineRule="auto"/>
        <w:rPr>
          <w:sz w:val="20"/>
          <w:szCs w:val="20"/>
          <w:color w:val="auto"/>
        </w:rPr>
      </w:pPr>
      <w:r>
        <w:rPr>
          <w:rFonts w:ascii="Arial" w:cs="Arial" w:eastAsia="Arial" w:hAnsi="Arial"/>
          <w:sz w:val="18"/>
          <w:szCs w:val="18"/>
          <w:color w:val="auto"/>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2020 Form 10-K.</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80"/>
        <w:spacing w:after="0"/>
        <w:rPr>
          <w:sz w:val="20"/>
          <w:szCs w:val="20"/>
          <w:color w:val="auto"/>
        </w:rPr>
      </w:pPr>
      <w:r>
        <w:rPr>
          <w:rFonts w:ascii="Arial" w:cs="Arial" w:eastAsia="Arial" w:hAnsi="Arial"/>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There has been no change in Evergy’s internal control over financial reporting (as defined in Rules 13a-15(f) and 15d-15(f) of the Exchange Act) that occurred during the quarterly period ended June 30, 2021, that has materially affected, or is reasonably likely to materially affect, its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There has been no change in Evergy Kansas Central’s internal control over financial reporting (as defined in Rules 13a-15(f) and 15d-15(f) of the Exchange Act) that occurred during the quarterly period ended June 30, 2021, that has materially affected, or is reasonably likely to materially affect, its internal control over financial reporting.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There has been no change in Evergy Metro’s internal control over financial reporting (as defined in Rules 13a-15(f) and 15d-15(f) of the Exchange Act) that occurred during the quarterly period ended June 30, 2021, that has materially affected, or is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2" w:right="779" w:bottom="1440" w:gutter="0" w:footer="0" w:header="0"/>
        </w:sectPr>
      </w:pPr>
    </w:p>
    <w:bookmarkStart w:id="70" w:name="page71"/>
    <w:bookmarkEnd w:id="70"/>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Proceedings</w:t>
      </w:r>
    </w:p>
    <w:p>
      <w:pPr>
        <w:spacing w:after="0" w:line="22" w:lineRule="exact"/>
        <w:rPr>
          <w:sz w:val="20"/>
          <w:szCs w:val="20"/>
          <w:color w:val="auto"/>
        </w:rPr>
      </w:pPr>
    </w:p>
    <w:p>
      <w:pPr>
        <w:jc w:val="both"/>
        <w:ind w:right="200"/>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The Evergy Companies are parties to various lawsuits and regulatory proceedings in the ordinary course of their respective businesses. For information regarding material lawsuits and proceedings, see Notes </w:t>
      </w:r>
      <w:hyperlink w:anchor="page33">
        <w:r>
          <w:rPr>
            <w:rFonts w:ascii="Arial" w:cs="Arial" w:eastAsia="Arial" w:hAnsi="Arial"/>
            <w:sz w:val="20"/>
            <w:szCs w:val="20"/>
            <w:color w:val="auto"/>
          </w:rPr>
          <w:t xml:space="preserve">4 </w:t>
        </w:r>
      </w:hyperlink>
      <w:r>
        <w:rPr>
          <w:rFonts w:ascii="Arial" w:cs="Arial" w:eastAsia="Arial" w:hAnsi="Arial"/>
          <w:sz w:val="20"/>
          <w:szCs w:val="20"/>
          <w:color w:val="auto"/>
        </w:rPr>
        <w:t>and 10 to the consolidated financial statements. Such information is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22"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2020 Form 10-K for each of Evergy, Evergy Kansas Central and Evergy Metro, as well as Quarterly Reports on Form 10-Q and Current Reports on Form 8-K filed by Evergy, Evergy Kansas Central and Evergy Metro. There have been no material changes with regards to those risk factors.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w:t>
      </w:r>
    </w:p>
    <w:p>
      <w:pPr>
        <w:spacing w:after="0" w:line="22"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The following table provides information regarding purchases by Evergy of its equity securities that are registered pursuant to Section 12 of the Exchange Act during the 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480" w:type="dxa"/>
            <w:vAlign w:val="bottom"/>
            <w:tcBorders>
              <w:top w:val="single" w:sz="8" w:color="auto"/>
            </w:tcBorders>
          </w:tcPr>
          <w:p>
            <w:pPr>
              <w:spacing w:after="0"/>
              <w:rPr>
                <w:sz w:val="14"/>
                <w:szCs w:val="14"/>
                <w:color w:val="auto"/>
              </w:rPr>
            </w:pPr>
          </w:p>
        </w:tc>
        <w:tc>
          <w:tcPr>
            <w:tcW w:w="32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w w:val="92"/>
              </w:rPr>
              <w:t>Total Number of</w:t>
            </w:r>
          </w:p>
        </w:tc>
        <w:tc>
          <w:tcPr>
            <w:tcW w:w="22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2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3260" w:type="dxa"/>
            <w:vAlign w:val="bottom"/>
            <w:vMerge w:val="restart"/>
          </w:tcPr>
          <w:p>
            <w:pPr>
              <w:jc w:val="center"/>
              <w:ind w:left="1170"/>
              <w:spacing w:after="0"/>
              <w:rPr>
                <w:sz w:val="20"/>
                <w:szCs w:val="20"/>
                <w:color w:val="auto"/>
              </w:rPr>
            </w:pPr>
            <w:r>
              <w:rPr>
                <w:rFonts w:ascii="Arial" w:cs="Arial" w:eastAsia="Arial" w:hAnsi="Arial"/>
                <w:sz w:val="18"/>
                <w:szCs w:val="18"/>
                <w:b w:val="1"/>
                <w:bCs w:val="1"/>
                <w:color w:val="auto"/>
                <w:w w:val="92"/>
              </w:rPr>
              <w:t>Total Number of</w:t>
            </w:r>
          </w:p>
        </w:tc>
        <w:tc>
          <w:tcPr>
            <w:tcW w:w="154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8"/>
              </w:rPr>
              <w:t>Average Price</w:t>
            </w:r>
          </w:p>
        </w:tc>
        <w:tc>
          <w:tcPr>
            <w:tcW w:w="16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Purchased as</w:t>
            </w:r>
          </w:p>
        </w:tc>
        <w:tc>
          <w:tcPr>
            <w:tcW w:w="2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32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6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3"/>
              </w:rPr>
              <w:t>Part of Publicly</w:t>
            </w:r>
          </w:p>
        </w:tc>
        <w:tc>
          <w:tcPr>
            <w:tcW w:w="2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that May Yet Be</w:t>
            </w:r>
          </w:p>
        </w:tc>
        <w:tc>
          <w:tcPr>
            <w:tcW w:w="0" w:type="dxa"/>
            <w:vAlign w:val="bottom"/>
          </w:tcPr>
          <w:p>
            <w:pPr>
              <w:spacing w:after="0"/>
              <w:rPr>
                <w:sz w:val="1"/>
                <w:szCs w:val="1"/>
                <w:color w:val="auto"/>
              </w:rPr>
            </w:pPr>
          </w:p>
        </w:tc>
      </w:tr>
      <w:tr>
        <w:trPr>
          <w:trHeight w:val="175"/>
        </w:trPr>
        <w:tc>
          <w:tcPr>
            <w:tcW w:w="24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Month</w:t>
            </w:r>
          </w:p>
        </w:tc>
        <w:tc>
          <w:tcPr>
            <w:tcW w:w="3260" w:type="dxa"/>
            <w:vAlign w:val="bottom"/>
          </w:tcPr>
          <w:p>
            <w:pPr>
              <w:jc w:val="center"/>
              <w:ind w:left="1170"/>
              <w:spacing w:after="0" w:line="176" w:lineRule="exact"/>
              <w:rPr>
                <w:sz w:val="20"/>
                <w:szCs w:val="20"/>
                <w:color w:val="auto"/>
              </w:rPr>
            </w:pPr>
            <w:r>
              <w:rPr>
                <w:rFonts w:ascii="Arial" w:cs="Arial" w:eastAsia="Arial" w:hAnsi="Arial"/>
                <w:sz w:val="18"/>
                <w:szCs w:val="18"/>
                <w:b w:val="1"/>
                <w:bCs w:val="1"/>
                <w:color w:val="auto"/>
                <w:w w:val="90"/>
              </w:rPr>
              <w:t>Shares (or Units)</w:t>
            </w:r>
          </w:p>
        </w:tc>
        <w:tc>
          <w:tcPr>
            <w:tcW w:w="154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90"/>
              </w:rPr>
              <w:t>Paid per Share</w:t>
            </w:r>
          </w:p>
        </w:tc>
        <w:tc>
          <w:tcPr>
            <w:tcW w:w="168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8"/>
              </w:rPr>
              <w:t>Announced Plans</w:t>
            </w:r>
          </w:p>
        </w:tc>
        <w:tc>
          <w:tcPr>
            <w:tcW w:w="22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Under the Plans</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auto"/>
            </w:tcBorders>
            <w:vMerge w:val="continue"/>
          </w:tcPr>
          <w:p>
            <w:pPr>
              <w:spacing w:after="0"/>
              <w:rPr>
                <w:sz w:val="19"/>
                <w:szCs w:val="19"/>
                <w:color w:val="auto"/>
              </w:rPr>
            </w:pPr>
          </w:p>
        </w:tc>
        <w:tc>
          <w:tcPr>
            <w:tcW w:w="3260" w:type="dxa"/>
            <w:vAlign w:val="bottom"/>
            <w:tcBorders>
              <w:bottom w:val="single" w:sz="8" w:color="auto"/>
            </w:tcBorders>
          </w:tcPr>
          <w:p>
            <w:pPr>
              <w:jc w:val="center"/>
              <w:ind w:left="1170"/>
              <w:spacing w:after="0" w:line="230" w:lineRule="exact"/>
              <w:rPr>
                <w:sz w:val="20"/>
                <w:szCs w:val="20"/>
                <w:color w:val="auto"/>
              </w:rPr>
            </w:pPr>
            <w:r>
              <w:rPr>
                <w:rFonts w:ascii="Arial" w:cs="Arial" w:eastAsia="Arial" w:hAnsi="Arial"/>
                <w:sz w:val="18"/>
                <w:szCs w:val="18"/>
                <w:b w:val="1"/>
                <w:bCs w:val="1"/>
                <w:color w:val="auto"/>
                <w:w w:val="86"/>
              </w:rPr>
              <w:t>Purchased</w:t>
            </w:r>
            <w:r>
              <w:rPr>
                <w:rFonts w:ascii="Arial" w:cs="Arial" w:eastAsia="Arial" w:hAnsi="Arial"/>
                <w:sz w:val="23"/>
                <w:szCs w:val="23"/>
                <w:b w:val="1"/>
                <w:bCs w:val="1"/>
                <w:color w:val="auto"/>
                <w:w w:val="86"/>
                <w:vertAlign w:val="superscript"/>
              </w:rPr>
              <w:t>(a)</w:t>
            </w:r>
          </w:p>
        </w:tc>
        <w:tc>
          <w:tcPr>
            <w:tcW w:w="15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7"/>
              </w:rPr>
              <w:t>(or Unit)</w:t>
            </w:r>
          </w:p>
        </w:tc>
        <w:tc>
          <w:tcPr>
            <w:tcW w:w="16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or Programs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1 - 30</w:t>
            </w:r>
          </w:p>
        </w:tc>
        <w:tc>
          <w:tcPr>
            <w:tcW w:w="3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Arial" w:cs="Arial" w:eastAsia="Arial" w:hAnsi="Arial"/>
                <w:sz w:val="18"/>
                <w:szCs w:val="18"/>
                <w:color w:val="auto"/>
              </w:rPr>
              <w:t>May 1 - 31</w:t>
            </w:r>
          </w:p>
        </w:tc>
        <w:tc>
          <w:tcPr>
            <w:tcW w:w="326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$62.12</w:t>
            </w:r>
          </w:p>
        </w:tc>
        <w:tc>
          <w:tcPr>
            <w:tcW w:w="1680" w:type="dxa"/>
            <w:vAlign w:val="bottom"/>
          </w:tcPr>
          <w:p>
            <w:pPr>
              <w:ind w:left="1400"/>
              <w:spacing w:after="0"/>
              <w:rPr>
                <w:sz w:val="20"/>
                <w:szCs w:val="20"/>
                <w:color w:val="auto"/>
              </w:rPr>
            </w:pPr>
            <w:r>
              <w:rPr>
                <w:rFonts w:ascii="Arial" w:cs="Arial" w:eastAsia="Arial" w:hAnsi="Arial"/>
                <w:sz w:val="18"/>
                <w:szCs w:val="18"/>
                <w:color w:val="auto"/>
              </w:rPr>
              <w:t>—</w:t>
            </w:r>
          </w:p>
        </w:tc>
        <w:tc>
          <w:tcPr>
            <w:tcW w:w="2280" w:type="dxa"/>
            <w:vAlign w:val="bottom"/>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1 - 30</w:t>
            </w:r>
          </w:p>
        </w:tc>
        <w:tc>
          <w:tcPr>
            <w:tcW w:w="3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9,385</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$62.15</w:t>
            </w:r>
          </w:p>
        </w:tc>
        <w:tc>
          <w:tcPr>
            <w:tcW w:w="1680" w:type="dxa"/>
            <w:vAlign w:val="bottom"/>
            <w:tcBorders>
              <w:bottom w:val="single" w:sz="8" w:color="auto"/>
            </w:tcBorders>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3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10,626</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$62.15</w:t>
            </w:r>
          </w:p>
        </w:tc>
        <w:tc>
          <w:tcPr>
            <w:tcW w:w="168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auto"/>
            </w:tcBorders>
          </w:tcPr>
          <w:p>
            <w:pPr>
              <w:ind w:left="2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Represents shares Evergy purchased for withholding taxes related to the vesting of restricted stock units.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Available Information</w:t>
      </w:r>
    </w:p>
    <w:p>
      <w:pPr>
        <w:spacing w:after="0" w:line="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www.evergy.com. Such reports are accessible at no charge and are made available as soon as reasonably practical after such material is filed with or furnished to the SEC.</w:t>
      </w:r>
    </w:p>
    <w:p>
      <w:pPr>
        <w:spacing w:after="0" w:line="182"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Investors should note that the Evergy Companies announce material financial information in SEC filings, press releases and public conference calls. In accordance with SEC guidelines, the Evergy Companies also use the Investor Relations section of their website, www.evergy.com, to communicate with investors. It is possible that the financial and other information posted there could be deemed to be material information. The information on the Evergy Companies' website is not part of this document.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gridSpan w:val="4"/>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4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94"/>
        </w:trPr>
        <w:tc>
          <w:tcPr>
            <w:tcW w:w="1820" w:type="dxa"/>
            <w:vAlign w:val="bottom"/>
            <w:gridSpan w:val="5"/>
          </w:tcPr>
          <w:p>
            <w:pPr>
              <w:spacing w:after="0"/>
              <w:rPr>
                <w:sz w:val="20"/>
                <w:szCs w:val="20"/>
                <w:color w:val="auto"/>
              </w:rPr>
            </w:pPr>
            <w:r>
              <w:rPr>
                <w:rFonts w:ascii="Arial" w:cs="Arial" w:eastAsia="Arial" w:hAnsi="Arial"/>
                <w:sz w:val="20"/>
                <w:szCs w:val="20"/>
                <w:b w:val="1"/>
                <w:bCs w:val="1"/>
                <w:color w:val="auto"/>
              </w:rPr>
              <w:t>ITEM 6. EXHIBITS</w:t>
            </w: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6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20"/>
                <w:szCs w:val="20"/>
                <w:color w:val="auto"/>
                <w:w w:val="96"/>
              </w:rPr>
              <w:t>Exhibit</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8"/>
            <w:vMerge w:val="restart"/>
          </w:tcPr>
          <w:p>
            <w:pPr>
              <w:ind w:left="100"/>
              <w:spacing w:after="0"/>
              <w:rPr>
                <w:sz w:val="20"/>
                <w:szCs w:val="20"/>
                <w:color w:val="auto"/>
              </w:rPr>
            </w:pPr>
            <w:r>
              <w:rPr>
                <w:rFonts w:ascii="Arial" w:cs="Arial" w:eastAsia="Arial" w:hAnsi="Arial"/>
                <w:sz w:val="20"/>
                <w:szCs w:val="20"/>
                <w:color w:val="auto"/>
              </w:rPr>
              <w:t>Description of Document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860" w:type="dxa"/>
            <w:vAlign w:val="bottom"/>
            <w:gridSpan w:val="2"/>
          </w:tcPr>
          <w:p>
            <w:pPr>
              <w:jc w:val="center"/>
              <w:ind w:right="220"/>
              <w:spacing w:after="0" w:line="203" w:lineRule="exact"/>
              <w:rPr>
                <w:sz w:val="20"/>
                <w:szCs w:val="20"/>
                <w:color w:val="auto"/>
              </w:rPr>
            </w:pPr>
            <w:r>
              <w:rPr>
                <w:rFonts w:ascii="Arial" w:cs="Arial" w:eastAsia="Arial" w:hAnsi="Arial"/>
                <w:sz w:val="20"/>
                <w:szCs w:val="20"/>
                <w:color w:val="auto"/>
                <w:w w:val="89"/>
              </w:rPr>
              <w:t>Number</w:t>
            </w: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gridSpan w:val="1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4.1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2"/>
          </w:tcPr>
          <w:p>
            <w:pPr>
              <w:spacing w:after="0"/>
              <w:rPr>
                <w:rFonts w:ascii="Arial" w:cs="Arial" w:eastAsia="Arial" w:hAnsi="Arial"/>
                <w:sz w:val="20"/>
                <w:szCs w:val="20"/>
                <w:color w:val="0000FF"/>
                <w:w w:val="95"/>
              </w:rPr>
            </w:pPr>
            <w:hyperlink r:id="rId90">
              <w:r>
                <w:rPr>
                  <w:rFonts w:ascii="Arial" w:cs="Arial" w:eastAsia="Arial" w:hAnsi="Arial"/>
                  <w:sz w:val="20"/>
                  <w:szCs w:val="20"/>
                  <w:color w:val="0000FF"/>
                  <w:w w:val="95"/>
                </w:rPr>
                <w:t>Note Purchase Agreement, dated April 20, 2021, among Evergy Missouri West,</w:t>
              </w:r>
            </w:hyperlink>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320" w:type="dxa"/>
            <w:vAlign w:val="bottom"/>
            <w:tcBorders>
              <w:top w:val="single" w:sz="8" w:color="0000FF"/>
            </w:tcBorders>
            <w:gridSpan w:val="14"/>
          </w:tcPr>
          <w:p>
            <w:pPr>
              <w:spacing w:after="0" w:line="176" w:lineRule="exact"/>
              <w:rPr>
                <w:rFonts w:ascii="Arial" w:cs="Arial" w:eastAsia="Arial" w:hAnsi="Arial"/>
                <w:sz w:val="20"/>
                <w:szCs w:val="20"/>
                <w:color w:val="0000FF"/>
                <w:w w:val="89"/>
              </w:rPr>
            </w:pPr>
            <w:hyperlink r:id="rId90">
              <w:r>
                <w:rPr>
                  <w:rFonts w:ascii="Arial" w:cs="Arial" w:eastAsia="Arial" w:hAnsi="Arial"/>
                  <w:sz w:val="20"/>
                  <w:szCs w:val="20"/>
                  <w:color w:val="0000FF"/>
                  <w:w w:val="89"/>
                </w:rPr>
                <w:t>Evergy and the purchasers party thereto (Exhibit 4.1 to Evergy's Current Report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6"/>
          </w:tcPr>
          <w:p>
            <w:pPr>
              <w:spacing w:after="0" w:line="176" w:lineRule="exact"/>
              <w:rPr>
                <w:rFonts w:ascii="Arial" w:cs="Arial" w:eastAsia="Arial" w:hAnsi="Arial"/>
                <w:sz w:val="20"/>
                <w:szCs w:val="20"/>
                <w:color w:val="0000FF"/>
              </w:rPr>
            </w:pPr>
            <w:hyperlink r:id="rId90">
              <w:r>
                <w:rPr>
                  <w:rFonts w:ascii="Arial" w:cs="Arial" w:eastAsia="Arial" w:hAnsi="Arial"/>
                  <w:sz w:val="20"/>
                  <w:szCs w:val="20"/>
                  <w:color w:val="0000FF"/>
                </w:rPr>
                <w:t>on</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780" w:type="dxa"/>
            <w:vAlign w:val="bottom"/>
            <w:tcBorders>
              <w:top w:val="single" w:sz="8" w:color="0000FF"/>
              <w:bottom w:val="single" w:sz="8" w:color="0000FF"/>
            </w:tcBorders>
            <w:gridSpan w:val="6"/>
          </w:tcPr>
          <w:p>
            <w:pPr>
              <w:spacing w:after="0" w:line="169" w:lineRule="exact"/>
              <w:rPr>
                <w:rFonts w:ascii="Arial" w:cs="Arial" w:eastAsia="Arial" w:hAnsi="Arial"/>
                <w:sz w:val="19"/>
                <w:szCs w:val="19"/>
                <w:color w:val="0000FF"/>
                <w:w w:val="98"/>
              </w:rPr>
            </w:pPr>
            <w:hyperlink r:id="rId90">
              <w:r>
                <w:rPr>
                  <w:rFonts w:ascii="Arial" w:cs="Arial" w:eastAsia="Arial" w:hAnsi="Arial"/>
                  <w:sz w:val="19"/>
                  <w:szCs w:val="19"/>
                  <w:color w:val="0000FF"/>
                  <w:w w:val="98"/>
                </w:rPr>
                <w:t>Form 8-K filed on April 20, 2021).</w:t>
              </w:r>
            </w:hyperlink>
          </w:p>
        </w:tc>
        <w:tc>
          <w:tcPr>
            <w:tcW w:w="3780" w:type="dxa"/>
            <w:vAlign w:val="bottom"/>
            <w:tcBorders>
              <w:top w:val="single" w:sz="8" w:color="0000FF"/>
            </w:tcBorders>
            <w:gridSpan w:val="13"/>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2"/>
          </w:tcPr>
          <w:p>
            <w:pPr>
              <w:spacing w:after="0"/>
              <w:rPr>
                <w:rFonts w:ascii="Arial" w:cs="Arial" w:eastAsia="Arial" w:hAnsi="Arial"/>
                <w:sz w:val="20"/>
                <w:szCs w:val="20"/>
                <w:color w:val="0000FF"/>
                <w:w w:val="92"/>
              </w:rPr>
            </w:pPr>
            <w:hyperlink r:id="rId91">
              <w:r>
                <w:rPr>
                  <w:rFonts w:ascii="Arial" w:cs="Arial" w:eastAsia="Arial" w:hAnsi="Arial"/>
                  <w:sz w:val="20"/>
                  <w:szCs w:val="20"/>
                  <w:color w:val="0000FF"/>
                  <w:w w:val="92"/>
                </w:rPr>
                <w:t>Registration Rights Agreement, dated April 14, 2021, by and between Evergy, Inc.</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540" w:type="dxa"/>
            <w:vAlign w:val="bottom"/>
            <w:tcBorders>
              <w:top w:val="single" w:sz="8" w:color="0000FF"/>
            </w:tcBorders>
            <w:gridSpan w:val="18"/>
          </w:tcPr>
          <w:p>
            <w:pPr>
              <w:spacing w:after="0" w:line="169" w:lineRule="exact"/>
              <w:rPr>
                <w:rFonts w:ascii="Arial" w:cs="Arial" w:eastAsia="Arial" w:hAnsi="Arial"/>
                <w:sz w:val="19"/>
                <w:szCs w:val="19"/>
                <w:color w:val="0000FF"/>
              </w:rPr>
            </w:pPr>
            <w:hyperlink r:id="rId91">
              <w:r>
                <w:rPr>
                  <w:rFonts w:ascii="Arial" w:cs="Arial" w:eastAsia="Arial" w:hAnsi="Arial"/>
                  <w:sz w:val="19"/>
                  <w:szCs w:val="19"/>
                  <w:color w:val="0000FF"/>
                </w:rPr>
                <w:t>and BEP Special Situations V LLC (Exhibit 10.1 to Form 8-K filed on April 14,</w:t>
              </w:r>
            </w:hyperlink>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Borders>
              <w:top w:val="single" w:sz="8" w:color="0000FF"/>
              <w:bottom w:val="single" w:sz="8" w:color="0000FF"/>
            </w:tcBorders>
          </w:tcPr>
          <w:p>
            <w:pPr>
              <w:spacing w:after="0" w:line="169" w:lineRule="exact"/>
              <w:rPr>
                <w:rFonts w:ascii="Arial" w:cs="Arial" w:eastAsia="Arial" w:hAnsi="Arial"/>
                <w:sz w:val="19"/>
                <w:szCs w:val="19"/>
                <w:color w:val="0000FF"/>
                <w:w w:val="92"/>
              </w:rPr>
            </w:pPr>
            <w:hyperlink r:id="rId91">
              <w:r>
                <w:rPr>
                  <w:rFonts w:ascii="Arial" w:cs="Arial" w:eastAsia="Arial" w:hAnsi="Arial"/>
                  <w:sz w:val="19"/>
                  <w:szCs w:val="19"/>
                  <w:color w:val="0000FF"/>
                  <w:w w:val="92"/>
                </w:rPr>
                <w:t>2021).</w:t>
              </w:r>
            </w:hyperlink>
          </w:p>
        </w:tc>
        <w:tc>
          <w:tcPr>
            <w:tcW w:w="14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2"/>
          </w:tcPr>
          <w:p>
            <w:pPr>
              <w:spacing w:after="0"/>
              <w:rPr>
                <w:rFonts w:ascii="Arial" w:cs="Arial" w:eastAsia="Arial" w:hAnsi="Arial"/>
                <w:sz w:val="20"/>
                <w:szCs w:val="20"/>
                <w:color w:val="0000FF"/>
                <w:w w:val="94"/>
              </w:rPr>
            </w:pPr>
            <w:hyperlink r:id="rId92">
              <w:r>
                <w:rPr>
                  <w:rFonts w:ascii="Arial" w:cs="Arial" w:eastAsia="Arial" w:hAnsi="Arial"/>
                  <w:sz w:val="20"/>
                  <w:szCs w:val="20"/>
                  <w:color w:val="0000FF"/>
                  <w:w w:val="94"/>
                </w:rPr>
                <w:t>Warrant No. 1 issued by Evergy, Inc. on April 14, 2021 (Exhibit 10.2 to Form 8-K</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Borders>
              <w:top w:val="single" w:sz="8" w:color="0000FF"/>
              <w:bottom w:val="single" w:sz="8" w:color="0000FF"/>
            </w:tcBorders>
            <w:gridSpan w:val="2"/>
          </w:tcPr>
          <w:p>
            <w:pPr>
              <w:spacing w:after="0" w:line="169" w:lineRule="exact"/>
              <w:rPr>
                <w:rFonts w:ascii="Arial" w:cs="Arial" w:eastAsia="Arial" w:hAnsi="Arial"/>
                <w:sz w:val="19"/>
                <w:szCs w:val="19"/>
                <w:color w:val="0000FF"/>
                <w:w w:val="98"/>
              </w:rPr>
            </w:pPr>
            <w:hyperlink r:id="rId92">
              <w:r>
                <w:rPr>
                  <w:rFonts w:ascii="Arial" w:cs="Arial" w:eastAsia="Arial" w:hAnsi="Arial"/>
                  <w:sz w:val="19"/>
                  <w:szCs w:val="19"/>
                  <w:color w:val="0000FF"/>
                  <w:w w:val="98"/>
                </w:rPr>
                <w:t>filed on April 14, 2021).</w:t>
              </w:r>
            </w:hyperlink>
          </w:p>
        </w:tc>
        <w:tc>
          <w:tcPr>
            <w:tcW w:w="4560" w:type="dxa"/>
            <w:vAlign w:val="bottom"/>
            <w:tcBorders>
              <w:top w:val="single" w:sz="8" w:color="0000FF"/>
            </w:tcBorders>
            <w:gridSpan w:val="15"/>
          </w:tcPr>
          <w:p>
            <w:pPr>
              <w:spacing w:after="0"/>
              <w:rPr>
                <w:sz w:val="14"/>
                <w:szCs w:val="14"/>
                <w:color w:val="auto"/>
              </w:rPr>
            </w:pP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2"/>
          </w:tcPr>
          <w:p>
            <w:pPr>
              <w:spacing w:after="0"/>
              <w:rPr>
                <w:rFonts w:ascii="Arial" w:cs="Arial" w:eastAsia="Arial" w:hAnsi="Arial"/>
                <w:sz w:val="20"/>
                <w:szCs w:val="20"/>
                <w:color w:val="0000FF"/>
                <w:w w:val="90"/>
              </w:rPr>
            </w:pPr>
            <w:hyperlink r:id="rId93">
              <w:r>
                <w:rPr>
                  <w:rFonts w:ascii="Arial" w:cs="Arial" w:eastAsia="Arial" w:hAnsi="Arial"/>
                  <w:sz w:val="20"/>
                  <w:szCs w:val="20"/>
                  <w:color w:val="0000FF"/>
                  <w:w w:val="90"/>
                </w:rPr>
                <w:t>Guaranty Agreement, dated April 20, 2021, issued by Evergy in favor of the holders</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60" w:type="dxa"/>
            <w:vAlign w:val="bottom"/>
            <w:tcBorders>
              <w:top w:val="single" w:sz="8" w:color="0000FF"/>
            </w:tcBorders>
            <w:gridSpan w:val="20"/>
          </w:tcPr>
          <w:p>
            <w:pPr>
              <w:spacing w:after="0" w:line="169" w:lineRule="exact"/>
              <w:rPr>
                <w:rFonts w:ascii="Arial" w:cs="Arial" w:eastAsia="Arial" w:hAnsi="Arial"/>
                <w:sz w:val="19"/>
                <w:szCs w:val="19"/>
                <w:color w:val="0000FF"/>
              </w:rPr>
            </w:pPr>
            <w:hyperlink r:id="rId93">
              <w:r>
                <w:rPr>
                  <w:rFonts w:ascii="Arial" w:cs="Arial" w:eastAsia="Arial" w:hAnsi="Arial"/>
                  <w:sz w:val="19"/>
                  <w:szCs w:val="19"/>
                  <w:color w:val="0000FF"/>
                </w:rPr>
                <w:t>of Evergy Missouri West, Inc.'s 2.86% Series A Senior Notes due 2031, 3.01%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700" w:type="dxa"/>
            <w:vAlign w:val="bottom"/>
            <w:gridSpan w:val="22"/>
          </w:tcPr>
          <w:p>
            <w:pPr>
              <w:spacing w:after="0" w:line="169" w:lineRule="exact"/>
              <w:rPr>
                <w:rFonts w:ascii="Arial" w:cs="Arial" w:eastAsia="Arial" w:hAnsi="Arial"/>
                <w:sz w:val="19"/>
                <w:szCs w:val="19"/>
                <w:color w:val="0000FF"/>
                <w:w w:val="93"/>
              </w:rPr>
            </w:pPr>
            <w:hyperlink r:id="rId93">
              <w:r>
                <w:rPr>
                  <w:rFonts w:ascii="Arial" w:cs="Arial" w:eastAsia="Arial" w:hAnsi="Arial"/>
                  <w:sz w:val="19"/>
                  <w:szCs w:val="19"/>
                  <w:color w:val="0000FF"/>
                  <w:w w:val="93"/>
                </w:rPr>
                <w:t>Series B Senior Notes due 2033 and 3.21% Series C Senior Notes due 2033 (Exhibit</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80" w:type="dxa"/>
            <w:vAlign w:val="bottom"/>
            <w:tcBorders>
              <w:top w:val="single" w:sz="8" w:color="0000FF"/>
            </w:tcBorders>
            <w:gridSpan w:val="21"/>
          </w:tcPr>
          <w:p>
            <w:pPr>
              <w:spacing w:after="0" w:line="169" w:lineRule="exact"/>
              <w:rPr>
                <w:rFonts w:ascii="Arial" w:cs="Arial" w:eastAsia="Arial" w:hAnsi="Arial"/>
                <w:sz w:val="19"/>
                <w:szCs w:val="19"/>
                <w:color w:val="0000FF"/>
              </w:rPr>
            </w:pPr>
            <w:hyperlink r:id="rId93">
              <w:r>
                <w:rPr>
                  <w:rFonts w:ascii="Arial" w:cs="Arial" w:eastAsia="Arial" w:hAnsi="Arial"/>
                  <w:sz w:val="19"/>
                  <w:szCs w:val="19"/>
                  <w:color w:val="0000FF"/>
                </w:rPr>
                <w:t>10.</w:t>
              </w:r>
              <w:r>
                <w:rPr>
                  <w:rFonts w:ascii="Arial" w:cs="Arial" w:eastAsia="Arial" w:hAnsi="Arial"/>
                  <w:sz w:val="19"/>
                  <w:szCs w:val="19"/>
                  <w:u w:val="single" w:color="auto"/>
                  <w:color w:val="0000FF"/>
                </w:rPr>
                <w:t>1</w:t>
              </w:r>
              <w:r>
                <w:rPr>
                  <w:rFonts w:ascii="Arial" w:cs="Arial" w:eastAsia="Arial" w:hAnsi="Arial"/>
                  <w:sz w:val="19"/>
                  <w:szCs w:val="19"/>
                  <w:color w:val="0000FF"/>
                </w:rPr>
                <w:t xml:space="preserve"> to Evergy's Current Report on Form 8-K filed on April 20, 2021).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2"/>
          </w:tcPr>
          <w:p>
            <w:pPr>
              <w:spacing w:after="0"/>
              <w:rPr>
                <w:rFonts w:ascii="Arial" w:cs="Arial" w:eastAsia="Arial" w:hAnsi="Arial"/>
                <w:sz w:val="20"/>
                <w:szCs w:val="20"/>
                <w:color w:val="0000FF"/>
                <w:w w:val="90"/>
              </w:rPr>
            </w:pPr>
            <w:hyperlink r:id="rId94">
              <w:r>
                <w:rPr>
                  <w:rFonts w:ascii="Arial" w:cs="Arial" w:eastAsia="Arial" w:hAnsi="Arial"/>
                  <w:sz w:val="20"/>
                  <w:szCs w:val="20"/>
                  <w:color w:val="0000FF"/>
                  <w:w w:val="90"/>
                </w:rPr>
                <w:t>Guaranty Agreement, dated April 20, 2021, issued by Evergy in favor of the holders</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60" w:type="dxa"/>
            <w:vAlign w:val="bottom"/>
            <w:tcBorders>
              <w:top w:val="single" w:sz="8" w:color="0000FF"/>
            </w:tcBorders>
            <w:gridSpan w:val="20"/>
          </w:tcPr>
          <w:p>
            <w:pPr>
              <w:spacing w:after="0" w:line="169" w:lineRule="exact"/>
              <w:rPr>
                <w:rFonts w:ascii="Arial" w:cs="Arial" w:eastAsia="Arial" w:hAnsi="Arial"/>
                <w:sz w:val="19"/>
                <w:szCs w:val="19"/>
                <w:color w:val="0000FF"/>
                <w:w w:val="99"/>
              </w:rPr>
            </w:pPr>
            <w:hyperlink r:id="rId94">
              <w:r>
                <w:rPr>
                  <w:rFonts w:ascii="Arial" w:cs="Arial" w:eastAsia="Arial" w:hAnsi="Arial"/>
                  <w:sz w:val="19"/>
                  <w:szCs w:val="19"/>
                  <w:color w:val="0000FF"/>
                  <w:w w:val="99"/>
                </w:rPr>
                <w:t>of Evergy Missouri West, Inc.'s 3.49% Senior Notes, Series A, due 2025, 4.06%</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3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94">
              <w:r>
                <w:rPr>
                  <w:rFonts w:ascii="Arial" w:cs="Arial" w:eastAsia="Arial" w:hAnsi="Arial"/>
                  <w:sz w:val="18"/>
                  <w:szCs w:val="18"/>
                  <w:color w:val="0000FF"/>
                </w:rPr>
                <w:t>Senior Notes, Series B, due 2033 and 4.74% Senior Notes, Series C, due 2043</w:t>
              </w:r>
            </w:hyperlink>
          </w:p>
        </w:tc>
        <w:tc>
          <w:tcPr>
            <w:tcW w:w="3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180" w:type="dxa"/>
            <w:vAlign w:val="bottom"/>
            <w:tcBorders>
              <w:top w:val="single" w:sz="8" w:color="0000FF"/>
            </w:tcBorders>
            <w:gridSpan w:val="12"/>
          </w:tcPr>
          <w:p>
            <w:pPr>
              <w:spacing w:after="0" w:line="176" w:lineRule="exact"/>
              <w:rPr>
                <w:rFonts w:ascii="Arial" w:cs="Arial" w:eastAsia="Arial" w:hAnsi="Arial"/>
                <w:sz w:val="20"/>
                <w:szCs w:val="20"/>
                <w:color w:val="0000FF"/>
                <w:w w:val="91"/>
              </w:rPr>
            </w:pPr>
            <w:hyperlink r:id="rId94">
              <w:r>
                <w:rPr>
                  <w:rFonts w:ascii="Arial" w:cs="Arial" w:eastAsia="Arial" w:hAnsi="Arial"/>
                  <w:sz w:val="20"/>
                  <w:szCs w:val="20"/>
                  <w:color w:val="0000FF"/>
                  <w:w w:val="91"/>
                </w:rPr>
                <w:t>(Exhibit 10.2 to Evergy's Current Report on Form 8-K filed on April 20, 2021)</w:t>
              </w:r>
            </w:hyperlink>
          </w:p>
        </w:tc>
        <w:tc>
          <w:tcPr>
            <w:tcW w:w="520" w:type="dxa"/>
            <w:vAlign w:val="bottom"/>
            <w:gridSpan w:val="10"/>
          </w:tcPr>
          <w:p>
            <w:pPr>
              <w:jc w:val="right"/>
              <w:ind w:right="420"/>
              <w:spacing w:after="0" w:line="176" w:lineRule="exact"/>
              <w:rPr>
                <w:rFonts w:ascii="Arial" w:cs="Arial" w:eastAsia="Arial" w:hAnsi="Arial"/>
                <w:sz w:val="20"/>
                <w:szCs w:val="20"/>
                <w:color w:val="0000FF"/>
              </w:rPr>
            </w:pPr>
            <w:hyperlink r:id="rId94">
              <w:r>
                <w:rPr>
                  <w:rFonts w:ascii="Arial" w:cs="Arial" w:eastAsia="Arial" w:hAnsi="Arial"/>
                  <w:sz w:val="20"/>
                  <w:szCs w:val="20"/>
                  <w:color w:val="0000FF"/>
                </w:rPr>
                <w:t>.</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10.5</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2"/>
          </w:tcPr>
          <w:p>
            <w:pPr>
              <w:spacing w:after="0"/>
              <w:rPr>
                <w:rFonts w:ascii="Arial" w:cs="Arial" w:eastAsia="Arial" w:hAnsi="Arial"/>
                <w:sz w:val="20"/>
                <w:szCs w:val="20"/>
                <w:color w:val="0000FF"/>
                <w:w w:val="90"/>
              </w:rPr>
            </w:pPr>
            <w:hyperlink r:id="rId95">
              <w:r>
                <w:rPr>
                  <w:rFonts w:ascii="Arial" w:cs="Arial" w:eastAsia="Arial" w:hAnsi="Arial"/>
                  <w:sz w:val="20"/>
                  <w:szCs w:val="20"/>
                  <w:color w:val="0000FF"/>
                  <w:w w:val="90"/>
                </w:rPr>
                <w:t>Guaranty Agreement, dated April 20, 2021, issued by Evergy in favor of the holders</w:t>
              </w:r>
            </w:hyperlink>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60" w:type="dxa"/>
            <w:vAlign w:val="bottom"/>
            <w:tcBorders>
              <w:top w:val="single" w:sz="8" w:color="0000FF"/>
            </w:tcBorders>
            <w:gridSpan w:val="20"/>
          </w:tcPr>
          <w:p>
            <w:pPr>
              <w:spacing w:after="0" w:line="169" w:lineRule="exact"/>
              <w:rPr>
                <w:rFonts w:ascii="Arial" w:cs="Arial" w:eastAsia="Arial" w:hAnsi="Arial"/>
                <w:sz w:val="19"/>
                <w:szCs w:val="19"/>
                <w:color w:val="0000FF"/>
              </w:rPr>
            </w:pPr>
            <w:hyperlink r:id="rId95">
              <w:r>
                <w:rPr>
                  <w:rFonts w:ascii="Arial" w:cs="Arial" w:eastAsia="Arial" w:hAnsi="Arial"/>
                  <w:sz w:val="19"/>
                  <w:szCs w:val="19"/>
                  <w:color w:val="0000FF"/>
                </w:rPr>
                <w:t>of Evergy Missouri West, Inc.'s 3.74% Senior Notes due 2022 (Exhibit 10.3 to</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0" w:type="dxa"/>
            <w:vAlign w:val="bottom"/>
            <w:tcBorders>
              <w:top w:val="single" w:sz="8" w:color="0000FF"/>
              <w:bottom w:val="single" w:sz="8" w:color="0000FF"/>
            </w:tcBorders>
            <w:gridSpan w:val="9"/>
          </w:tcPr>
          <w:p>
            <w:pPr>
              <w:spacing w:after="0" w:line="169" w:lineRule="exact"/>
              <w:rPr>
                <w:rFonts w:ascii="Arial" w:cs="Arial" w:eastAsia="Arial" w:hAnsi="Arial"/>
                <w:sz w:val="19"/>
                <w:szCs w:val="19"/>
                <w:color w:val="0000FF"/>
                <w:w w:val="96"/>
              </w:rPr>
            </w:pPr>
            <w:hyperlink r:id="rId95">
              <w:r>
                <w:rPr>
                  <w:rFonts w:ascii="Arial" w:cs="Arial" w:eastAsia="Arial" w:hAnsi="Arial"/>
                  <w:sz w:val="19"/>
                  <w:szCs w:val="19"/>
                  <w:color w:val="0000FF"/>
                  <w:w w:val="96"/>
                </w:rPr>
                <w:t>Evergy's Current Report on Form 8-K filed on April 20, 2021).</w:t>
              </w:r>
            </w:hyperlink>
          </w:p>
        </w:tc>
        <w:tc>
          <w:tcPr>
            <w:tcW w:w="1240" w:type="dxa"/>
            <w:vAlign w:val="bottom"/>
            <w:tcBorders>
              <w:top w:val="single" w:sz="8" w:color="0000FF"/>
            </w:tcBorders>
            <w:gridSpan w:val="4"/>
          </w:tcPr>
          <w:p>
            <w:pPr>
              <w:spacing w:after="0"/>
              <w:rPr>
                <w:sz w:val="14"/>
                <w:szCs w:val="14"/>
                <w:color w:val="auto"/>
              </w:rPr>
            </w:pPr>
          </w:p>
        </w:tc>
        <w:tc>
          <w:tcPr>
            <w:tcW w:w="46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bottom w:val="single" w:sz="8" w:color="0000FF"/>
            </w:tcBorders>
            <w:gridSpan w:val="8"/>
          </w:tcPr>
          <w:p>
            <w:pPr>
              <w:spacing w:after="0"/>
              <w:rPr>
                <w:rFonts w:ascii="Arial" w:cs="Arial" w:eastAsia="Arial" w:hAnsi="Arial"/>
                <w:sz w:val="20"/>
                <w:szCs w:val="20"/>
                <w:color w:val="0000FF"/>
                <w:w w:val="91"/>
              </w:rPr>
            </w:pPr>
            <w:hyperlink w:anchor="page76">
              <w:r>
                <w:rPr>
                  <w:rFonts w:ascii="Arial" w:cs="Arial" w:eastAsia="Arial" w:hAnsi="Arial"/>
                  <w:sz w:val="20"/>
                  <w:szCs w:val="20"/>
                  <w:color w:val="0000FF"/>
                  <w:w w:val="91"/>
                </w:rPr>
                <w:t>Rule 13a-14(a)/15d-14(a) Certification of David A. Campbell.</w:t>
              </w:r>
            </w:hyperlink>
          </w:p>
        </w:tc>
        <w:tc>
          <w:tcPr>
            <w:tcW w:w="17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31.2</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22"/>
          </w:tcPr>
          <w:p>
            <w:pPr>
              <w:spacing w:after="0"/>
              <w:rPr>
                <w:rFonts w:ascii="Arial" w:cs="Arial" w:eastAsia="Arial" w:hAnsi="Arial"/>
                <w:sz w:val="20"/>
                <w:szCs w:val="20"/>
                <w:color w:val="0000FF"/>
              </w:rPr>
            </w:pPr>
            <w:hyperlink w:anchor="page77">
              <w:r>
                <w:rPr>
                  <w:rFonts w:ascii="Arial" w:cs="Arial" w:eastAsia="Arial" w:hAnsi="Arial"/>
                  <w:sz w:val="20"/>
                  <w:szCs w:val="20"/>
                  <w:color w:val="0000FF"/>
                </w:rPr>
                <w:t>Rule 13a-14(a)/15d-14(a) Certification of Kirkland B. Andrews.</w:t>
              </w:r>
            </w:hyperlink>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31.3</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8"/>
          </w:tcPr>
          <w:p>
            <w:pPr>
              <w:spacing w:after="0"/>
              <w:rPr>
                <w:rFonts w:ascii="Arial" w:cs="Arial" w:eastAsia="Arial" w:hAnsi="Arial"/>
                <w:sz w:val="20"/>
                <w:szCs w:val="20"/>
                <w:color w:val="0000FF"/>
                <w:w w:val="91"/>
              </w:rPr>
            </w:pPr>
            <w:hyperlink w:anchor="page78">
              <w:r>
                <w:rPr>
                  <w:rFonts w:ascii="Arial" w:cs="Arial" w:eastAsia="Arial" w:hAnsi="Arial"/>
                  <w:sz w:val="20"/>
                  <w:szCs w:val="20"/>
                  <w:color w:val="0000FF"/>
                  <w:w w:val="91"/>
                </w:rPr>
                <w:t>Rule 13a-14(a)/15d-14(a) Certification of David A. Campbell.</w:t>
              </w:r>
            </w:hyperlink>
          </w:p>
        </w:tc>
        <w:tc>
          <w:tcPr>
            <w:tcW w:w="140" w:type="dxa"/>
            <w:vAlign w:val="bottom"/>
            <w:tcBorders>
              <w:top w:val="single" w:sz="8" w:color="0000FF"/>
            </w:tcBorders>
            <w:gridSpan w:val="2"/>
          </w:tcPr>
          <w:p>
            <w:pPr>
              <w:spacing w:after="0"/>
              <w:rPr>
                <w:sz w:val="24"/>
                <w:szCs w:val="24"/>
                <w:color w:val="auto"/>
              </w:rPr>
            </w:pPr>
          </w:p>
        </w:tc>
        <w:tc>
          <w:tcPr>
            <w:tcW w:w="1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22"/>
          </w:tcPr>
          <w:p>
            <w:pPr>
              <w:spacing w:after="0"/>
              <w:rPr>
                <w:rFonts w:ascii="Arial" w:cs="Arial" w:eastAsia="Arial" w:hAnsi="Arial"/>
                <w:sz w:val="20"/>
                <w:szCs w:val="20"/>
                <w:color w:val="0000FF"/>
              </w:rPr>
            </w:pPr>
            <w:hyperlink w:anchor="page79">
              <w:r>
                <w:rPr>
                  <w:rFonts w:ascii="Arial" w:cs="Arial" w:eastAsia="Arial" w:hAnsi="Arial"/>
                  <w:sz w:val="20"/>
                  <w:szCs w:val="20"/>
                  <w:color w:val="0000FF"/>
                </w:rPr>
                <w:t>Rule 13a-14(a)/15d-14(a) Certification of Kirkland B. Andrews.</w:t>
              </w:r>
            </w:hyperlink>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40" w:type="dxa"/>
            <w:vAlign w:val="bottom"/>
            <w:tcBorders>
              <w:top w:val="single" w:sz="8" w:color="0000FF"/>
              <w:bottom w:val="single" w:sz="8" w:color="0000FF"/>
            </w:tcBorders>
            <w:gridSpan w:val="8"/>
          </w:tcPr>
          <w:p>
            <w:pPr>
              <w:spacing w:after="0"/>
              <w:rPr>
                <w:rFonts w:ascii="Arial" w:cs="Arial" w:eastAsia="Arial" w:hAnsi="Arial"/>
                <w:sz w:val="20"/>
                <w:szCs w:val="20"/>
                <w:color w:val="0000FF"/>
                <w:w w:val="91"/>
              </w:rPr>
            </w:pPr>
            <w:hyperlink w:anchor="page80">
              <w:r>
                <w:rPr>
                  <w:rFonts w:ascii="Arial" w:cs="Arial" w:eastAsia="Arial" w:hAnsi="Arial"/>
                  <w:sz w:val="20"/>
                  <w:szCs w:val="20"/>
                  <w:color w:val="0000FF"/>
                  <w:w w:val="91"/>
                </w:rPr>
                <w:t>Rule 13a-14(a)/15d-14(a) Certification of David A. Campbell.</w:t>
              </w:r>
            </w:hyperlink>
          </w:p>
        </w:tc>
        <w:tc>
          <w:tcPr>
            <w:tcW w:w="140" w:type="dxa"/>
            <w:vAlign w:val="bottom"/>
            <w:tcBorders>
              <w:top w:val="single" w:sz="8" w:color="0000FF"/>
            </w:tcBorders>
            <w:gridSpan w:val="2"/>
          </w:tcPr>
          <w:p>
            <w:pPr>
              <w:spacing w:after="0"/>
              <w:rPr>
                <w:sz w:val="24"/>
                <w:szCs w:val="24"/>
                <w:color w:val="auto"/>
              </w:rPr>
            </w:pPr>
          </w:p>
        </w:tc>
        <w:tc>
          <w:tcPr>
            <w:tcW w:w="1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31.6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22"/>
          </w:tcPr>
          <w:p>
            <w:pPr>
              <w:spacing w:after="0"/>
              <w:rPr>
                <w:rFonts w:ascii="Arial" w:cs="Arial" w:eastAsia="Arial" w:hAnsi="Arial"/>
                <w:sz w:val="20"/>
                <w:szCs w:val="20"/>
                <w:color w:val="0000FF"/>
              </w:rPr>
            </w:pPr>
            <w:hyperlink w:anchor="page81">
              <w:r>
                <w:rPr>
                  <w:rFonts w:ascii="Arial" w:cs="Arial" w:eastAsia="Arial" w:hAnsi="Arial"/>
                  <w:sz w:val="20"/>
                  <w:szCs w:val="20"/>
                  <w:color w:val="0000FF"/>
                </w:rPr>
                <w:t>Rule 13a-14(a)/15d-14(a) Certification of Kirkland B. Andrews.</w:t>
              </w:r>
            </w:hyperlink>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32.1</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top w:val="single" w:sz="8" w:color="0000FF"/>
              <w:bottom w:val="single" w:sz="8" w:color="0000FF"/>
            </w:tcBorders>
            <w:gridSpan w:val="4"/>
          </w:tcPr>
          <w:p>
            <w:pPr>
              <w:spacing w:after="0"/>
              <w:rPr>
                <w:rFonts w:ascii="Arial" w:cs="Arial" w:eastAsia="Arial" w:hAnsi="Arial"/>
                <w:sz w:val="20"/>
                <w:szCs w:val="20"/>
                <w:color w:val="0000FF"/>
                <w:w w:val="91"/>
              </w:rPr>
            </w:pPr>
            <w:hyperlink w:anchor="page82">
              <w:r>
                <w:rPr>
                  <w:rFonts w:ascii="Arial" w:cs="Arial" w:eastAsia="Arial" w:hAnsi="Arial"/>
                  <w:sz w:val="20"/>
                  <w:szCs w:val="20"/>
                  <w:color w:val="0000FF"/>
                  <w:w w:val="91"/>
                </w:rPr>
                <w:t>Section 1350 Certifications.</w:t>
              </w:r>
            </w:hyperlink>
          </w:p>
        </w:tc>
        <w:tc>
          <w:tcPr>
            <w:tcW w:w="2840" w:type="dxa"/>
            <w:vAlign w:val="bottom"/>
            <w:tcBorders>
              <w:top w:val="single" w:sz="8" w:color="0000FF"/>
            </w:tcBorders>
            <w:gridSpan w:val="6"/>
          </w:tcPr>
          <w:p>
            <w:pPr>
              <w:spacing w:after="0"/>
              <w:rPr>
                <w:sz w:val="24"/>
                <w:szCs w:val="24"/>
                <w:color w:val="auto"/>
              </w:rPr>
            </w:pPr>
          </w:p>
        </w:tc>
        <w:tc>
          <w:tcPr>
            <w:tcW w:w="16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32.2</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40" w:type="dxa"/>
            <w:vAlign w:val="bottom"/>
            <w:tcBorders>
              <w:bottom w:val="single" w:sz="8" w:color="0000FF"/>
            </w:tcBorders>
            <w:gridSpan w:val="4"/>
          </w:tcPr>
          <w:p>
            <w:pPr>
              <w:spacing w:after="0"/>
              <w:rPr>
                <w:rFonts w:ascii="Arial" w:cs="Arial" w:eastAsia="Arial" w:hAnsi="Arial"/>
                <w:sz w:val="20"/>
                <w:szCs w:val="20"/>
                <w:color w:val="0000FF"/>
                <w:w w:val="91"/>
              </w:rPr>
            </w:pPr>
            <w:hyperlink w:anchor="page83">
              <w:r>
                <w:rPr>
                  <w:rFonts w:ascii="Arial" w:cs="Arial" w:eastAsia="Arial" w:hAnsi="Arial"/>
                  <w:sz w:val="20"/>
                  <w:szCs w:val="20"/>
                  <w:color w:val="0000FF"/>
                  <w:w w:val="91"/>
                </w:rPr>
                <w:t>Section 1350 Certifications.</w:t>
              </w:r>
            </w:hyperlink>
          </w:p>
        </w:tc>
        <w:tc>
          <w:tcPr>
            <w:tcW w:w="44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00" w:type="dxa"/>
            <w:vAlign w:val="bottom"/>
            <w:gridSpan w:val="2"/>
          </w:tcPr>
          <w:p>
            <w:pPr>
              <w:ind w:left="20"/>
              <w:spacing w:after="0"/>
              <w:rPr>
                <w:sz w:val="20"/>
                <w:szCs w:val="20"/>
                <w:color w:val="auto"/>
              </w:rPr>
            </w:pPr>
            <w:r>
              <w:rPr>
                <w:rFonts w:ascii="Arial" w:cs="Arial" w:eastAsia="Arial" w:hAnsi="Arial"/>
                <w:sz w:val="20"/>
                <w:szCs w:val="20"/>
                <w:color w:val="auto"/>
              </w:rPr>
              <w:t>32.3</w:t>
            </w:r>
          </w:p>
        </w:tc>
        <w:tc>
          <w:tcPr>
            <w:tcW w:w="220" w:type="dxa"/>
            <w:vAlign w:val="bottom"/>
          </w:tcPr>
          <w:p>
            <w:pPr>
              <w:spacing w:after="0"/>
              <w:rPr>
                <w:sz w:val="24"/>
                <w:szCs w:val="24"/>
                <w:color w:val="auto"/>
              </w:rPr>
            </w:pP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gridSpan w:val="3"/>
          </w:tcPr>
          <w:p>
            <w:pPr>
              <w:spacing w:after="0"/>
              <w:rPr>
                <w:rFonts w:ascii="Arial" w:cs="Arial" w:eastAsia="Arial" w:hAnsi="Arial"/>
                <w:sz w:val="20"/>
                <w:szCs w:val="20"/>
                <w:color w:val="0000FF"/>
                <w:w w:val="90"/>
              </w:rPr>
            </w:pPr>
            <w:hyperlink w:anchor="page84">
              <w:r>
                <w:rPr>
                  <w:rFonts w:ascii="Arial" w:cs="Arial" w:eastAsia="Arial" w:hAnsi="Arial"/>
                  <w:sz w:val="20"/>
                  <w:szCs w:val="20"/>
                  <w:color w:val="0000FF"/>
                  <w:w w:val="90"/>
                </w:rPr>
                <w:t>Section 1350 Certifications.</w:t>
              </w:r>
            </w:hyperlink>
          </w:p>
        </w:tc>
        <w:tc>
          <w:tcPr>
            <w:tcW w:w="44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101.INS</w:t>
            </w:r>
          </w:p>
        </w:tc>
        <w:tc>
          <w:tcPr>
            <w:tcW w:w="700" w:type="dxa"/>
            <w:vAlign w:val="bottom"/>
            <w:gridSpan w:val="2"/>
          </w:tcPr>
          <w:p>
            <w:pPr>
              <w:jc w:val="center"/>
              <w:spacing w:after="0"/>
              <w:rPr>
                <w:sz w:val="20"/>
                <w:szCs w:val="20"/>
                <w:color w:val="auto"/>
              </w:rPr>
            </w:pPr>
            <w:r>
              <w:rPr>
                <w:rFonts w:ascii="Arial" w:cs="Arial" w:eastAsia="Arial" w:hAnsi="Arial"/>
                <w:sz w:val="20"/>
                <w:szCs w:val="20"/>
                <w:color w:val="auto"/>
              </w:rPr>
              <w:t>***</w:t>
            </w:r>
          </w:p>
        </w:tc>
        <w:tc>
          <w:tcPr>
            <w:tcW w:w="6700" w:type="dxa"/>
            <w:vAlign w:val="bottom"/>
            <w:gridSpan w:val="22"/>
          </w:tcPr>
          <w:p>
            <w:pPr>
              <w:spacing w:after="0"/>
              <w:rPr>
                <w:sz w:val="20"/>
                <w:szCs w:val="20"/>
                <w:color w:val="auto"/>
              </w:rPr>
            </w:pPr>
            <w:r>
              <w:rPr>
                <w:rFonts w:ascii="Arial" w:cs="Arial" w:eastAsia="Arial" w:hAnsi="Arial"/>
                <w:sz w:val="20"/>
                <w:szCs w:val="20"/>
                <w:color w:val="auto"/>
              </w:rPr>
              <w:t>XBRL Instance Document.</w:t>
            </w:r>
          </w:p>
        </w:tc>
        <w:tc>
          <w:tcPr>
            <w:tcW w:w="0" w:type="dxa"/>
            <w:vAlign w:val="bottom"/>
          </w:tcPr>
          <w:p>
            <w:pPr>
              <w:spacing w:after="0"/>
              <w:rPr>
                <w:sz w:val="1"/>
                <w:szCs w:val="1"/>
                <w:color w:val="auto"/>
              </w:rPr>
            </w:pPr>
          </w:p>
        </w:tc>
      </w:tr>
      <w:tr>
        <w:trPr>
          <w:trHeight w:val="337"/>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101.SCH</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22"/>
          </w:tcPr>
          <w:p>
            <w:pPr>
              <w:spacing w:after="0"/>
              <w:rPr>
                <w:sz w:val="20"/>
                <w:szCs w:val="20"/>
                <w:color w:val="auto"/>
              </w:rPr>
            </w:pPr>
            <w:r>
              <w:rPr>
                <w:rFonts w:ascii="Arial" w:cs="Arial" w:eastAsia="Arial" w:hAnsi="Arial"/>
                <w:sz w:val="20"/>
                <w:szCs w:val="20"/>
                <w:color w:val="auto"/>
              </w:rPr>
              <w:t>Inline XBRL Taxonomy Extension Schema Document.</w:t>
            </w:r>
          </w:p>
        </w:tc>
        <w:tc>
          <w:tcPr>
            <w:tcW w:w="0" w:type="dxa"/>
            <w:vAlign w:val="bottom"/>
          </w:tcPr>
          <w:p>
            <w:pPr>
              <w:spacing w:after="0"/>
              <w:rPr>
                <w:sz w:val="1"/>
                <w:szCs w:val="1"/>
                <w:color w:val="auto"/>
              </w:rPr>
            </w:pPr>
          </w:p>
        </w:tc>
      </w:tr>
      <w:tr>
        <w:trPr>
          <w:trHeight w:val="716"/>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101.CAL</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22"/>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0" w:type="dxa"/>
            <w:vAlign w:val="bottom"/>
          </w:tcPr>
          <w:p>
            <w:pPr>
              <w:spacing w:after="0"/>
              <w:rPr>
                <w:sz w:val="1"/>
                <w:szCs w:val="1"/>
                <w:color w:val="auto"/>
              </w:rPr>
            </w:pPr>
          </w:p>
        </w:tc>
      </w:tr>
      <w:tr>
        <w:trPr>
          <w:trHeight w:val="715"/>
        </w:trPr>
        <w:tc>
          <w:tcPr>
            <w:tcW w:w="1120" w:type="dxa"/>
            <w:vAlign w:val="bottom"/>
            <w:gridSpan w:val="3"/>
          </w:tcPr>
          <w:p>
            <w:pPr>
              <w:ind w:left="20"/>
              <w:spacing w:after="0"/>
              <w:rPr>
                <w:sz w:val="20"/>
                <w:szCs w:val="20"/>
                <w:color w:val="auto"/>
              </w:rPr>
            </w:pPr>
            <w:r>
              <w:rPr>
                <w:rFonts w:ascii="Arial" w:cs="Arial" w:eastAsia="Arial" w:hAnsi="Arial"/>
                <w:sz w:val="20"/>
                <w:szCs w:val="20"/>
                <w:color w:val="auto"/>
              </w:rPr>
              <w:t>101.DEF</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00" w:type="dxa"/>
            <w:vAlign w:val="bottom"/>
            <w:gridSpan w:val="22"/>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80"/>
        <w:spacing w:after="0"/>
        <w:rPr>
          <w:sz w:val="20"/>
          <w:szCs w:val="20"/>
          <w:color w:val="auto"/>
        </w:rPr>
      </w:pPr>
      <w:r>
        <w:rPr>
          <w:rFonts w:ascii="Arial" w:cs="Arial" w:eastAsia="Arial" w:hAnsi="Arial"/>
          <w:sz w:val="20"/>
          <w:szCs w:val="20"/>
          <w:u w:val="single" w:color="auto"/>
          <w:color w:val="auto"/>
        </w:rPr>
        <w:t>Registrant</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86" w:lineRule="exact"/>
        <w:rPr>
          <w:sz w:val="20"/>
          <w:szCs w:val="20"/>
          <w:color w:val="auto"/>
        </w:rPr>
      </w:pPr>
    </w:p>
    <w:p>
      <w:pPr>
        <w:ind w:right="720"/>
        <w:spacing w:after="0" w:line="391" w:lineRule="auto"/>
        <w:rPr>
          <w:sz w:val="20"/>
          <w:szCs w:val="20"/>
          <w:color w:val="auto"/>
        </w:rPr>
      </w:pPr>
      <w:r>
        <w:rPr>
          <w:rFonts w:ascii="Arial" w:cs="Arial" w:eastAsia="Arial" w:hAnsi="Arial"/>
          <w:sz w:val="18"/>
          <w:szCs w:val="18"/>
          <w:color w:val="auto"/>
        </w:rPr>
        <w:t>Evergy Evergy Evergy Metro Evergy Metro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n/a</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jc w:val="both"/>
        <w:spacing w:after="0" w:line="232" w:lineRule="auto"/>
        <w:rPr>
          <w:sz w:val="20"/>
          <w:szCs w:val="20"/>
          <w:color w:val="auto"/>
        </w:rPr>
      </w:pPr>
      <w:r>
        <w:rPr>
          <w:rFonts w:ascii="Arial" w:cs="Arial" w:eastAsia="Arial" w:hAnsi="Arial"/>
          <w:sz w:val="19"/>
          <w:szCs w:val="19"/>
          <w:color w:val="auto"/>
        </w:rPr>
        <w:t>Evergy Kansas Central Evergy Metro</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jc w:val="both"/>
        <w:spacing w:after="0" w:line="232" w:lineRule="auto"/>
        <w:rPr>
          <w:sz w:val="20"/>
          <w:szCs w:val="20"/>
          <w:color w:val="auto"/>
        </w:rPr>
      </w:pPr>
      <w:r>
        <w:rPr>
          <w:rFonts w:ascii="Arial" w:cs="Arial" w:eastAsia="Arial" w:hAnsi="Arial"/>
          <w:sz w:val="19"/>
          <w:szCs w:val="19"/>
          <w:color w:val="auto"/>
        </w:rPr>
        <w:t>Evergy Kansas Central Evergy Metro</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jc w:val="both"/>
        <w:spacing w:after="0" w:line="232" w:lineRule="auto"/>
        <w:rPr>
          <w:sz w:val="20"/>
          <w:szCs w:val="20"/>
          <w:color w:val="auto"/>
        </w:rPr>
      </w:pPr>
      <w:r>
        <w:rPr>
          <w:rFonts w:ascii="Arial" w:cs="Arial" w:eastAsia="Arial" w:hAnsi="Arial"/>
          <w:sz w:val="19"/>
          <w:szCs w:val="19"/>
          <w:color w:val="auto"/>
        </w:rPr>
        <w:t>Evergy Kansas Central Evergy Metro</w:t>
      </w:r>
    </w:p>
    <w:p>
      <w:pPr>
        <w:sectPr>
          <w:pgSz w:w="11900" w:h="16838" w:orient="portrait"/>
          <w:cols w:equalWidth="0" w:num="2">
            <w:col w:w="8500" w:space="340"/>
            <w:col w:w="1820"/>
          </w:cols>
          <w:pgMar w:left="320" w:top="99" w:right="9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1420" w:type="dxa"/>
            <w:vAlign w:val="bottom"/>
            <w:tcBorders>
              <w:bottom w:val="single" w:sz="8" w:color="0000FF"/>
            </w:tcBorders>
          </w:tcPr>
          <w:p>
            <w:pPr>
              <w:spacing w:after="0"/>
              <w:rPr>
                <w:rFonts w:ascii="Arial" w:cs="Arial" w:eastAsia="Arial" w:hAnsi="Arial"/>
                <w:sz w:val="20"/>
                <w:szCs w:val="20"/>
                <w:color w:val="0000FF"/>
                <w:w w:val="88"/>
              </w:rPr>
            </w:pPr>
            <w:hyperlink w:anchor="page2">
              <w:r>
                <w:rPr>
                  <w:rFonts w:ascii="Arial" w:cs="Arial" w:eastAsia="Arial" w:hAnsi="Arial"/>
                  <w:sz w:val="20"/>
                  <w:szCs w:val="20"/>
                  <w:color w:val="0000FF"/>
                  <w:w w:val="88"/>
                </w:rPr>
                <w:t>Table of Contents</w:t>
              </w:r>
            </w:hyperlink>
          </w:p>
        </w:tc>
        <w:tc>
          <w:tcPr>
            <w:tcW w:w="20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871"/>
        </w:trPr>
        <w:tc>
          <w:tcPr>
            <w:tcW w:w="1620" w:type="dxa"/>
            <w:vAlign w:val="bottom"/>
            <w:gridSpan w:val="2"/>
          </w:tcPr>
          <w:p>
            <w:pPr>
              <w:ind w:left="20"/>
              <w:spacing w:after="0"/>
              <w:rPr>
                <w:sz w:val="20"/>
                <w:szCs w:val="20"/>
                <w:color w:val="auto"/>
              </w:rPr>
            </w:pPr>
            <w:r>
              <w:rPr>
                <w:rFonts w:ascii="Arial" w:cs="Arial" w:eastAsia="Arial" w:hAnsi="Arial"/>
                <w:sz w:val="20"/>
                <w:szCs w:val="20"/>
                <w:color w:val="auto"/>
              </w:rPr>
              <w:t>101.LAB</w:t>
            </w:r>
          </w:p>
        </w:tc>
        <w:tc>
          <w:tcPr>
            <w:tcW w:w="6920" w:type="dxa"/>
            <w:vAlign w:val="bottom"/>
          </w:tcPr>
          <w:p>
            <w:pPr>
              <w:ind w:left="200"/>
              <w:spacing w:after="0"/>
              <w:rPr>
                <w:sz w:val="20"/>
                <w:szCs w:val="20"/>
                <w:color w:val="auto"/>
              </w:rPr>
            </w:pPr>
            <w:r>
              <w:rPr>
                <w:rFonts w:ascii="Arial" w:cs="Arial" w:eastAsia="Arial" w:hAnsi="Arial"/>
                <w:sz w:val="20"/>
                <w:szCs w:val="20"/>
                <w:color w:val="auto"/>
              </w:rPr>
              <w:t>Inline XBRL Taxonomy Extension Labels Linkbase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76"/>
        </w:trPr>
        <w:tc>
          <w:tcPr>
            <w:tcW w:w="1620" w:type="dxa"/>
            <w:vAlign w:val="bottom"/>
            <w:gridSpan w:val="2"/>
          </w:tcPr>
          <w:p>
            <w:pPr>
              <w:ind w:left="20"/>
              <w:spacing w:after="0"/>
              <w:rPr>
                <w:sz w:val="20"/>
                <w:szCs w:val="20"/>
                <w:color w:val="auto"/>
              </w:rPr>
            </w:pPr>
            <w:r>
              <w:rPr>
                <w:rFonts w:ascii="Arial" w:cs="Arial" w:eastAsia="Arial" w:hAnsi="Arial"/>
                <w:sz w:val="20"/>
                <w:szCs w:val="20"/>
                <w:color w:val="auto"/>
              </w:rPr>
              <w:t>101.PRE</w:t>
            </w:r>
          </w:p>
        </w:tc>
        <w:tc>
          <w:tcPr>
            <w:tcW w:w="6920" w:type="dxa"/>
            <w:vAlign w:val="bottom"/>
          </w:tcPr>
          <w:p>
            <w:pPr>
              <w:ind w:left="200"/>
              <w:spacing w:after="0"/>
              <w:rPr>
                <w:sz w:val="20"/>
                <w:szCs w:val="20"/>
                <w:color w:val="auto"/>
              </w:rPr>
            </w:pPr>
            <w:r>
              <w:rPr>
                <w:rFonts w:ascii="Arial" w:cs="Arial" w:eastAsia="Arial" w:hAnsi="Arial"/>
                <w:sz w:val="20"/>
                <w:szCs w:val="20"/>
                <w:color w:val="auto"/>
              </w:rPr>
              <w:t>Inline XBRL Taxonomy Extension Presentation Linkbase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r>
        <w:trPr>
          <w:trHeight w:val="276"/>
        </w:trPr>
        <w:tc>
          <w:tcPr>
            <w:tcW w:w="1420" w:type="dxa"/>
            <w:vAlign w:val="bottom"/>
          </w:tcPr>
          <w:p>
            <w:pPr>
              <w:ind w:left="20"/>
              <w:spacing w:after="0"/>
              <w:rPr>
                <w:sz w:val="20"/>
                <w:szCs w:val="20"/>
                <w:color w:val="auto"/>
              </w:rPr>
            </w:pPr>
            <w:r>
              <w:rPr>
                <w:rFonts w:ascii="Arial" w:cs="Arial" w:eastAsia="Arial" w:hAnsi="Arial"/>
                <w:sz w:val="20"/>
                <w:szCs w:val="20"/>
                <w:color w:val="auto"/>
              </w:rPr>
              <w:t>104</w:t>
            </w:r>
          </w:p>
        </w:tc>
        <w:tc>
          <w:tcPr>
            <w:tcW w:w="200" w:type="dxa"/>
            <w:vAlign w:val="bottom"/>
          </w:tcPr>
          <w:p>
            <w:pPr>
              <w:spacing w:after="0"/>
              <w:rPr>
                <w:sz w:val="24"/>
                <w:szCs w:val="24"/>
                <w:color w:val="auto"/>
              </w:rPr>
            </w:pPr>
          </w:p>
        </w:tc>
        <w:tc>
          <w:tcPr>
            <w:tcW w:w="6920" w:type="dxa"/>
            <w:vAlign w:val="bottom"/>
          </w:tcPr>
          <w:p>
            <w:pPr>
              <w:ind w:left="200"/>
              <w:spacing w:after="0"/>
              <w:rPr>
                <w:sz w:val="20"/>
                <w:szCs w:val="20"/>
                <w:color w:val="auto"/>
              </w:rPr>
            </w:pPr>
            <w:r>
              <w:rPr>
                <w:rFonts w:ascii="Arial" w:cs="Arial" w:eastAsia="Arial" w:hAnsi="Arial"/>
                <w:sz w:val="20"/>
                <w:szCs w:val="20"/>
                <w:color w:val="auto"/>
                <w:w w:val="95"/>
              </w:rPr>
              <w:t>Cover Page Interactive Data File (embedded within the Inline XBRL document).</w:t>
            </w:r>
          </w:p>
        </w:tc>
        <w:tc>
          <w:tcPr>
            <w:tcW w:w="2120" w:type="dxa"/>
            <w:vAlign w:val="bottom"/>
          </w:tcPr>
          <w:p>
            <w:pPr>
              <w:ind w:left="300"/>
              <w:spacing w:after="0"/>
              <w:rPr>
                <w:sz w:val="20"/>
                <w:szCs w:val="20"/>
                <w:color w:val="auto"/>
              </w:rPr>
            </w:pPr>
            <w:r>
              <w:rPr>
                <w:rFonts w:ascii="Arial" w:cs="Arial" w:eastAsia="Arial" w:hAnsi="Arial"/>
                <w:sz w:val="20"/>
                <w:szCs w:val="20"/>
                <w:color w:val="auto"/>
              </w:rPr>
              <w:t>Evergy</w:t>
            </w:r>
          </w:p>
        </w:tc>
      </w:tr>
      <w:tr>
        <w:trPr>
          <w:trHeight w:val="189"/>
        </w:trPr>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2120" w:type="dxa"/>
            <w:vAlign w:val="bottom"/>
          </w:tcPr>
          <w:p>
            <w:pPr>
              <w:ind w:left="300"/>
              <w:spacing w:after="0" w:line="189" w:lineRule="exact"/>
              <w:rPr>
                <w:sz w:val="20"/>
                <w:szCs w:val="20"/>
                <w:color w:val="auto"/>
              </w:rPr>
            </w:pPr>
            <w:r>
              <w:rPr>
                <w:rFonts w:ascii="Arial" w:cs="Arial" w:eastAsia="Arial" w:hAnsi="Arial"/>
                <w:sz w:val="20"/>
                <w:szCs w:val="20"/>
                <w:color w:val="auto"/>
                <w:w w:val="87"/>
              </w:rPr>
              <w:t>Evergy Kansas Central</w:t>
            </w:r>
          </w:p>
        </w:tc>
      </w:tr>
      <w:tr>
        <w:trPr>
          <w:trHeight w:val="250"/>
        </w:trPr>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120" w:type="dxa"/>
            <w:vAlign w:val="bottom"/>
          </w:tcPr>
          <w:p>
            <w:pPr>
              <w:ind w:left="300"/>
              <w:spacing w:after="0"/>
              <w:rPr>
                <w:sz w:val="20"/>
                <w:szCs w:val="20"/>
                <w:color w:val="auto"/>
              </w:rPr>
            </w:pPr>
            <w:r>
              <w:rPr>
                <w:rFonts w:ascii="Arial" w:cs="Arial" w:eastAsia="Arial" w:hAnsi="Arial"/>
                <w:sz w:val="20"/>
                <w:szCs w:val="20"/>
                <w:color w:val="auto"/>
              </w:rPr>
              <w:t>Evergy Metro</w:t>
            </w:r>
          </w:p>
        </w:tc>
      </w:tr>
    </w:tbl>
    <w:p>
      <w:pPr>
        <w:spacing w:after="0" w:line="165" w:lineRule="exact"/>
        <w:rPr>
          <w:sz w:val="20"/>
          <w:szCs w:val="20"/>
          <w:color w:val="auto"/>
        </w:rPr>
      </w:pPr>
    </w:p>
    <w:p>
      <w:pPr>
        <w:ind w:right="60" w:firstLine="8"/>
        <w:spacing w:after="0" w:line="250" w:lineRule="auto"/>
        <w:tabs>
          <w:tab w:leader="none" w:pos="148" w:val="left"/>
        </w:tabs>
        <w:numPr>
          <w:ilvl w:val="0"/>
          <w:numId w:val="40"/>
        </w:numPr>
        <w:rPr>
          <w:rFonts w:ascii="Arial" w:cs="Arial" w:eastAsia="Arial" w:hAnsi="Arial"/>
          <w:sz w:val="20"/>
          <w:szCs w:val="20"/>
          <w:color w:val="auto"/>
        </w:rPr>
      </w:pPr>
      <w:r>
        <w:rPr>
          <w:rFonts w:ascii="Arial" w:cs="Arial" w:eastAsia="Arial" w:hAnsi="Arial"/>
          <w:sz w:val="20"/>
          <w:szCs w:val="20"/>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18" w:lineRule="exact"/>
        <w:rPr>
          <w:sz w:val="20"/>
          <w:szCs w:val="20"/>
          <w:color w:val="auto"/>
        </w:rPr>
      </w:pPr>
    </w:p>
    <w:p>
      <w:pPr>
        <w:jc w:val="both"/>
        <w:ind w:firstLine="8"/>
        <w:spacing w:after="0" w:line="250" w:lineRule="auto"/>
        <w:tabs>
          <w:tab w:leader="none" w:pos="247" w:val="left"/>
        </w:tabs>
        <w:numPr>
          <w:ilvl w:val="0"/>
          <w:numId w:val="41"/>
        </w:numPr>
        <w:rPr>
          <w:rFonts w:ascii="Arial" w:cs="Arial" w:eastAsia="Arial" w:hAnsi="Arial"/>
          <w:sz w:val="20"/>
          <w:szCs w:val="20"/>
          <w:color w:val="auto"/>
        </w:rPr>
      </w:pPr>
      <w:r>
        <w:rPr>
          <w:rFonts w:ascii="Arial" w:cs="Arial" w:eastAsia="Arial" w:hAnsi="Arial"/>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18" w:lineRule="exact"/>
        <w:rPr>
          <w:rFonts w:ascii="Arial" w:cs="Arial" w:eastAsia="Arial" w:hAnsi="Arial"/>
          <w:sz w:val="20"/>
          <w:szCs w:val="20"/>
          <w:color w:val="auto"/>
        </w:rPr>
      </w:pPr>
    </w:p>
    <w:p>
      <w:pPr>
        <w:ind w:right="560" w:firstLine="8"/>
        <w:spacing w:after="0" w:line="260" w:lineRule="auto"/>
        <w:tabs>
          <w:tab w:leader="none" w:pos="346" w:val="left"/>
        </w:tabs>
        <w:numPr>
          <w:ilvl w:val="0"/>
          <w:numId w:val="42"/>
        </w:numPr>
        <w:rPr>
          <w:rFonts w:ascii="Arial" w:cs="Arial" w:eastAsia="Arial" w:hAnsi="Arial"/>
          <w:sz w:val="20"/>
          <w:szCs w:val="20"/>
          <w:color w:val="auto"/>
        </w:rPr>
      </w:pPr>
      <w:r>
        <w:rPr>
          <w:rFonts w:ascii="Arial" w:cs="Arial" w:eastAsia="Arial" w:hAnsi="Arial"/>
          <w:sz w:val="20"/>
          <w:szCs w:val="20"/>
          <w:color w:val="auto"/>
        </w:rPr>
        <w:t>The instance document does not appear in the interactive data file because its XBRL tags are embedded within the inline XBRL document.</w:t>
      </w:r>
    </w:p>
    <w:p>
      <w:pPr>
        <w:spacing w:after="0" w:line="9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Copies of any of the exhibits filed with the SEC in connection with this document may be obtained from Evergy, Evergy Kansas Central or Evergy Metro, as applicable, upon written request.</w:t>
      </w:r>
    </w:p>
    <w:p>
      <w:pPr>
        <w:spacing w:after="0" w:line="109" w:lineRule="exact"/>
        <w:rPr>
          <w:sz w:val="20"/>
          <w:szCs w:val="20"/>
          <w:color w:val="auto"/>
        </w:rPr>
      </w:pPr>
    </w:p>
    <w:p>
      <w:pPr>
        <w:ind w:right="420"/>
        <w:spacing w:after="0" w:line="316" w:lineRule="auto"/>
        <w:rPr>
          <w:sz w:val="20"/>
          <w:szCs w:val="20"/>
          <w:color w:val="auto"/>
        </w:rPr>
      </w:pPr>
      <w:r>
        <w:rPr>
          <w:rFonts w:ascii="Arial" w:cs="Arial" w:eastAsia="Arial" w:hAnsi="Arial"/>
          <w:sz w:val="18"/>
          <w:szCs w:val="18"/>
          <w:color w:val="auto"/>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9" w:right="539" w:bottom="1440" w:gutter="0" w:footer="0" w:header="0"/>
        </w:sectPr>
      </w:pPr>
    </w:p>
    <w:bookmarkStart w:id="74" w:name="page75"/>
    <w:bookmarkEnd w:id="74"/>
    <w:p>
      <w:pPr>
        <w:spacing w:after="0"/>
        <w:rPr>
          <w:rFonts w:ascii="Arial" w:cs="Arial" w:eastAsia="Arial" w:hAnsi="Arial"/>
          <w:sz w:val="20"/>
          <w:szCs w:val="20"/>
          <w:u w:val="single" w:color="auto"/>
          <w:color w:val="0000FF"/>
        </w:rPr>
      </w:pPr>
      <w:hyperlink w:anchor="page2">
        <w:r>
          <w:rPr>
            <w:rFonts w:ascii="Arial" w:cs="Arial" w:eastAsia="Arial" w:hAnsi="Arial"/>
            <w:sz w:val="20"/>
            <w:szCs w:val="20"/>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Evergy, Inc., Evergy Kansas Central, Inc. and Evergy Metro, Inc. have duly caused this report to be signed on their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b w:val="1"/>
                <w:bCs w:val="1"/>
                <w:color w:val="auto"/>
              </w:rPr>
              <w:t>EVERGY, INC.</w:t>
            </w:r>
          </w:p>
        </w:tc>
      </w:tr>
      <w:tr>
        <w:trPr>
          <w:trHeight w:val="442"/>
        </w:trPr>
        <w:tc>
          <w:tcPr>
            <w:tcW w:w="700" w:type="dxa"/>
            <w:vAlign w:val="bottom"/>
          </w:tcPr>
          <w:p>
            <w:pPr>
              <w:spacing w:after="0"/>
              <w:rPr>
                <w:sz w:val="20"/>
                <w:szCs w:val="20"/>
                <w:color w:val="auto"/>
              </w:rPr>
            </w:pPr>
            <w:r>
              <w:rPr>
                <w:rFonts w:ascii="Arial" w:cs="Arial" w:eastAsia="Arial" w:hAnsi="Arial"/>
                <w:sz w:val="20"/>
                <w:szCs w:val="20"/>
                <w:color w:val="auto"/>
              </w:rPr>
              <w:t>Dated:</w:t>
            </w:r>
          </w:p>
        </w:tc>
        <w:tc>
          <w:tcPr>
            <w:tcW w:w="2360" w:type="dxa"/>
            <w:vAlign w:val="bottom"/>
          </w:tcPr>
          <w:p>
            <w:pPr>
              <w:ind w:left="180"/>
              <w:spacing w:after="0"/>
              <w:rPr>
                <w:sz w:val="20"/>
                <w:szCs w:val="20"/>
                <w:color w:val="auto"/>
              </w:rPr>
            </w:pPr>
            <w:r>
              <w:rPr>
                <w:rFonts w:ascii="Arial" w:cs="Arial" w:eastAsia="Arial" w:hAnsi="Arial"/>
                <w:sz w:val="20"/>
                <w:szCs w:val="20"/>
                <w:color w:val="auto"/>
              </w:rPr>
              <w:t>August 4, 2021</w:t>
            </w: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rPr>
              <w:t>By: /s/ Kirkland B. Andrews</w:t>
            </w:r>
          </w:p>
        </w:tc>
      </w:tr>
      <w:tr>
        <w:trPr>
          <w:trHeight w:val="20"/>
        </w:trPr>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60"/>
        </w:trPr>
        <w:tc>
          <w:tcPr>
            <w:tcW w:w="7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rPr>
              <w:t>(Kirkland B. Andrews)</w:t>
            </w:r>
          </w:p>
        </w:tc>
      </w:tr>
      <w:tr>
        <w:trPr>
          <w:trHeight w:val="250"/>
        </w:trPr>
        <w:tc>
          <w:tcPr>
            <w:tcW w:w="7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320" w:type="dxa"/>
            <w:vAlign w:val="bottom"/>
            <w:gridSpan w:val="3"/>
          </w:tcPr>
          <w:p>
            <w:pPr>
              <w:ind w:left="980"/>
              <w:spacing w:after="0"/>
              <w:rPr>
                <w:sz w:val="20"/>
                <w:szCs w:val="20"/>
                <w:color w:val="auto"/>
              </w:rPr>
            </w:pPr>
            <w:r>
              <w:rPr>
                <w:rFonts w:ascii="Arial" w:cs="Arial" w:eastAsia="Arial" w:hAnsi="Arial"/>
                <w:sz w:val="20"/>
                <w:szCs w:val="20"/>
                <w:color w:val="auto"/>
                <w:w w:val="90"/>
              </w:rPr>
              <w:t>(Executive Vice President and Chief Financial Officer)</w:t>
            </w:r>
          </w:p>
        </w:tc>
      </w:tr>
    </w:tbl>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100" w:type="dxa"/>
            <w:vAlign w:val="bottom"/>
          </w:tcPr>
          <w:p>
            <w:pPr>
              <w:spacing w:after="0"/>
              <w:rPr>
                <w:sz w:val="22"/>
                <w:szCs w:val="22"/>
                <w:color w:val="auto"/>
              </w:rPr>
            </w:pPr>
          </w:p>
        </w:tc>
        <w:tc>
          <w:tcPr>
            <w:tcW w:w="5320" w:type="dxa"/>
            <w:vAlign w:val="bottom"/>
            <w:gridSpan w:val="3"/>
          </w:tcPr>
          <w:p>
            <w:pPr>
              <w:ind w:left="960"/>
              <w:spacing w:after="0"/>
              <w:rPr>
                <w:sz w:val="20"/>
                <w:szCs w:val="20"/>
                <w:color w:val="auto"/>
              </w:rPr>
            </w:pPr>
            <w:r>
              <w:rPr>
                <w:rFonts w:ascii="Arial" w:cs="Arial" w:eastAsia="Arial" w:hAnsi="Arial"/>
                <w:sz w:val="20"/>
                <w:szCs w:val="20"/>
                <w:b w:val="1"/>
                <w:bCs w:val="1"/>
                <w:color w:val="auto"/>
              </w:rPr>
              <w:t>EVERGY KANSAS CENTRAL, INC.</w:t>
            </w:r>
          </w:p>
        </w:tc>
      </w:tr>
      <w:tr>
        <w:trPr>
          <w:trHeight w:val="442"/>
        </w:trPr>
        <w:tc>
          <w:tcPr>
            <w:tcW w:w="3100" w:type="dxa"/>
            <w:vAlign w:val="bottom"/>
          </w:tcPr>
          <w:p>
            <w:pPr>
              <w:spacing w:after="0"/>
              <w:rPr>
                <w:sz w:val="20"/>
                <w:szCs w:val="20"/>
                <w:color w:val="auto"/>
              </w:rPr>
            </w:pPr>
            <w:r>
              <w:rPr>
                <w:rFonts w:ascii="Arial" w:cs="Arial" w:eastAsia="Arial" w:hAnsi="Arial"/>
                <w:sz w:val="20"/>
                <w:szCs w:val="20"/>
                <w:color w:val="auto"/>
                <w:w w:val="90"/>
              </w:rPr>
              <w:t>Dated:August 4, 2021</w:t>
            </w:r>
          </w:p>
        </w:tc>
        <w:tc>
          <w:tcPr>
            <w:tcW w:w="5320" w:type="dxa"/>
            <w:vAlign w:val="bottom"/>
            <w:gridSpan w:val="3"/>
          </w:tcPr>
          <w:p>
            <w:pPr>
              <w:ind w:left="960"/>
              <w:spacing w:after="0"/>
              <w:rPr>
                <w:sz w:val="20"/>
                <w:szCs w:val="20"/>
                <w:color w:val="auto"/>
              </w:rPr>
            </w:pPr>
            <w:r>
              <w:rPr>
                <w:rFonts w:ascii="Arial" w:cs="Arial" w:eastAsia="Arial" w:hAnsi="Arial"/>
                <w:sz w:val="20"/>
                <w:szCs w:val="20"/>
                <w:color w:val="auto"/>
              </w:rPr>
              <w:t>By: /s/ Kirkland B. Andrews</w:t>
            </w:r>
          </w:p>
        </w:tc>
      </w:tr>
      <w:tr>
        <w:trPr>
          <w:trHeight w:val="20"/>
        </w:trPr>
        <w:tc>
          <w:tcPr>
            <w:tcW w:w="3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60"/>
        </w:trPr>
        <w:tc>
          <w:tcPr>
            <w:tcW w:w="3100" w:type="dxa"/>
            <w:vAlign w:val="bottom"/>
          </w:tcPr>
          <w:p>
            <w:pPr>
              <w:spacing w:after="0"/>
              <w:rPr>
                <w:sz w:val="22"/>
                <w:szCs w:val="22"/>
                <w:color w:val="auto"/>
              </w:rPr>
            </w:pPr>
          </w:p>
        </w:tc>
        <w:tc>
          <w:tcPr>
            <w:tcW w:w="5320" w:type="dxa"/>
            <w:vAlign w:val="bottom"/>
            <w:gridSpan w:val="3"/>
          </w:tcPr>
          <w:p>
            <w:pPr>
              <w:ind w:left="960"/>
              <w:spacing w:after="0"/>
              <w:rPr>
                <w:sz w:val="20"/>
                <w:szCs w:val="20"/>
                <w:color w:val="auto"/>
              </w:rPr>
            </w:pPr>
            <w:r>
              <w:rPr>
                <w:rFonts w:ascii="Arial" w:cs="Arial" w:eastAsia="Arial" w:hAnsi="Arial"/>
                <w:sz w:val="20"/>
                <w:szCs w:val="20"/>
                <w:color w:val="auto"/>
              </w:rPr>
              <w:t>(Kirkland B. Andrews)</w:t>
            </w:r>
          </w:p>
        </w:tc>
      </w:tr>
      <w:tr>
        <w:trPr>
          <w:trHeight w:val="250"/>
        </w:trPr>
        <w:tc>
          <w:tcPr>
            <w:tcW w:w="3100" w:type="dxa"/>
            <w:vAlign w:val="bottom"/>
          </w:tcPr>
          <w:p>
            <w:pPr>
              <w:spacing w:after="0"/>
              <w:rPr>
                <w:sz w:val="21"/>
                <w:szCs w:val="21"/>
                <w:color w:val="auto"/>
              </w:rPr>
            </w:pPr>
          </w:p>
        </w:tc>
        <w:tc>
          <w:tcPr>
            <w:tcW w:w="5320" w:type="dxa"/>
            <w:vAlign w:val="bottom"/>
            <w:gridSpan w:val="3"/>
          </w:tcPr>
          <w:p>
            <w:pPr>
              <w:ind w:left="960"/>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320" w:type="dxa"/>
            <w:vAlign w:val="bottom"/>
            <w:gridSpan w:val="3"/>
          </w:tcPr>
          <w:p>
            <w:pPr>
              <w:ind w:left="960"/>
              <w:spacing w:after="0"/>
              <w:rPr>
                <w:sz w:val="20"/>
                <w:szCs w:val="20"/>
                <w:color w:val="auto"/>
              </w:rPr>
            </w:pPr>
            <w:r>
              <w:rPr>
                <w:rFonts w:ascii="Arial" w:cs="Arial" w:eastAsia="Arial" w:hAnsi="Arial"/>
                <w:sz w:val="20"/>
                <w:szCs w:val="20"/>
                <w:b w:val="1"/>
                <w:bCs w:val="1"/>
                <w:color w:val="auto"/>
              </w:rPr>
              <w:t>EVERGY METRO, INC.</w:t>
            </w:r>
          </w:p>
        </w:tc>
      </w:tr>
      <w:tr>
        <w:trPr>
          <w:trHeight w:val="442"/>
        </w:trPr>
        <w:tc>
          <w:tcPr>
            <w:tcW w:w="720" w:type="dxa"/>
            <w:vAlign w:val="bottom"/>
          </w:tcPr>
          <w:p>
            <w:pPr>
              <w:spacing w:after="0"/>
              <w:rPr>
                <w:sz w:val="20"/>
                <w:szCs w:val="20"/>
                <w:color w:val="auto"/>
              </w:rPr>
            </w:pPr>
            <w:r>
              <w:rPr>
                <w:rFonts w:ascii="Arial" w:cs="Arial" w:eastAsia="Arial" w:hAnsi="Arial"/>
                <w:sz w:val="20"/>
                <w:szCs w:val="20"/>
                <w:color w:val="auto"/>
              </w:rPr>
              <w:t>Dated:</w:t>
            </w:r>
          </w:p>
        </w:tc>
        <w:tc>
          <w:tcPr>
            <w:tcW w:w="2380" w:type="dxa"/>
            <w:vAlign w:val="bottom"/>
          </w:tcPr>
          <w:p>
            <w:pPr>
              <w:ind w:left="180"/>
              <w:spacing w:after="0"/>
              <w:rPr>
                <w:sz w:val="20"/>
                <w:szCs w:val="20"/>
                <w:color w:val="auto"/>
              </w:rPr>
            </w:pPr>
            <w:r>
              <w:rPr>
                <w:rFonts w:ascii="Arial" w:cs="Arial" w:eastAsia="Arial" w:hAnsi="Arial"/>
                <w:sz w:val="20"/>
                <w:szCs w:val="20"/>
                <w:color w:val="auto"/>
              </w:rPr>
              <w:t>August 4, 2021</w:t>
            </w:r>
          </w:p>
        </w:tc>
        <w:tc>
          <w:tcPr>
            <w:tcW w:w="5320" w:type="dxa"/>
            <w:vAlign w:val="bottom"/>
            <w:gridSpan w:val="3"/>
          </w:tcPr>
          <w:p>
            <w:pPr>
              <w:ind w:left="960"/>
              <w:spacing w:after="0"/>
              <w:rPr>
                <w:sz w:val="20"/>
                <w:szCs w:val="20"/>
                <w:color w:val="auto"/>
              </w:rPr>
            </w:pPr>
            <w:r>
              <w:rPr>
                <w:rFonts w:ascii="Arial" w:cs="Arial" w:eastAsia="Arial" w:hAnsi="Arial"/>
                <w:sz w:val="20"/>
                <w:szCs w:val="20"/>
                <w:color w:val="auto"/>
              </w:rPr>
              <w:t>By: /s/ Kirkland B. Andrews</w:t>
            </w:r>
          </w:p>
        </w:tc>
      </w:tr>
      <w:tr>
        <w:trPr>
          <w:trHeight w:val="20"/>
        </w:trPr>
        <w:tc>
          <w:tcPr>
            <w:tcW w:w="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60"/>
        </w:trPr>
        <w:tc>
          <w:tcPr>
            <w:tcW w:w="7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320" w:type="dxa"/>
            <w:vAlign w:val="bottom"/>
            <w:gridSpan w:val="3"/>
          </w:tcPr>
          <w:p>
            <w:pPr>
              <w:ind w:left="960"/>
              <w:spacing w:after="0"/>
              <w:rPr>
                <w:sz w:val="20"/>
                <w:szCs w:val="20"/>
                <w:color w:val="auto"/>
              </w:rPr>
            </w:pPr>
            <w:r>
              <w:rPr>
                <w:rFonts w:ascii="Arial" w:cs="Arial" w:eastAsia="Arial" w:hAnsi="Arial"/>
                <w:sz w:val="20"/>
                <w:szCs w:val="20"/>
                <w:color w:val="auto"/>
              </w:rPr>
              <w:t>(Kirkland B. Andrews)</w:t>
            </w:r>
          </w:p>
        </w:tc>
      </w:tr>
      <w:tr>
        <w:trPr>
          <w:trHeight w:val="250"/>
        </w:trPr>
        <w:tc>
          <w:tcPr>
            <w:tcW w:w="7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320" w:type="dxa"/>
            <w:vAlign w:val="bottom"/>
            <w:gridSpan w:val="3"/>
          </w:tcPr>
          <w:p>
            <w:pPr>
              <w:ind w:left="960"/>
              <w:spacing w:after="0"/>
              <w:rPr>
                <w:sz w:val="20"/>
                <w:szCs w:val="20"/>
                <w:color w:val="auto"/>
              </w:rPr>
            </w:pPr>
            <w:r>
              <w:rPr>
                <w:rFonts w:ascii="Arial" w:cs="Arial" w:eastAsia="Arial" w:hAnsi="Arial"/>
                <w:sz w:val="20"/>
                <w:szCs w:val="20"/>
                <w:color w:val="auto"/>
                <w:w w:val="91"/>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122" w:right="45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25" w:lineRule="exact"/>
        <w:rPr>
          <w:rFonts w:ascii="Arial" w:cs="Arial" w:eastAsia="Arial" w:hAnsi="Arial"/>
          <w:sz w:val="18"/>
          <w:szCs w:val="18"/>
          <w:color w:val="auto"/>
        </w:rPr>
      </w:pPr>
    </w:p>
    <w:p>
      <w:pPr>
        <w:ind w:left="660" w:right="140" w:hanging="652"/>
        <w:spacing w:after="0" w:line="263" w:lineRule="auto"/>
        <w:tabs>
          <w:tab w:leader="none" w:pos="3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420" w:hanging="652"/>
        <w:spacing w:after="0" w:line="308" w:lineRule="auto"/>
        <w:tabs>
          <w:tab w:leader="none" w:pos="327"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652"/>
        <w:spacing w:after="0" w:line="263" w:lineRule="auto"/>
        <w:tabs>
          <w:tab w:leader="none" w:pos="3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60" w:hanging="644"/>
        <w:spacing w:after="0" w:line="263" w:lineRule="auto"/>
        <w:tabs>
          <w:tab w:leader="none" w:pos="1032"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042"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20" w:hanging="644"/>
        <w:spacing w:after="0" w:line="342" w:lineRule="auto"/>
        <w:tabs>
          <w:tab w:leader="none" w:pos="1032"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 w:hanging="644"/>
        <w:spacing w:after="0" w:line="263" w:lineRule="auto"/>
        <w:tabs>
          <w:tab w:leader="none" w:pos="1042"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60" w:hanging="652"/>
        <w:spacing w:after="0" w:line="308" w:lineRule="auto"/>
        <w:tabs>
          <w:tab w:leader="none" w:pos="32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740" w:hanging="644"/>
        <w:spacing w:after="0" w:line="342" w:lineRule="auto"/>
        <w:tabs>
          <w:tab w:leader="none" w:pos="1022"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420" w:hanging="644"/>
        <w:spacing w:after="0" w:line="277" w:lineRule="auto"/>
        <w:tabs>
          <w:tab w:leader="none" w:pos="1032"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200"/>
              <w:spacing w:after="0"/>
              <w:rPr>
                <w:sz w:val="20"/>
                <w:szCs w:val="20"/>
                <w:color w:val="auto"/>
              </w:rPr>
            </w:pPr>
            <w:r>
              <w:rPr>
                <w:rFonts w:ascii="Arial" w:cs="Arial" w:eastAsia="Arial" w:hAnsi="Arial"/>
                <w:sz w:val="18"/>
                <w:szCs w:val="18"/>
                <w:color w:val="0038FF"/>
              </w:rPr>
              <w:t>August 4, 2021</w:t>
            </w:r>
          </w:p>
        </w:tc>
        <w:tc>
          <w:tcPr>
            <w:tcW w:w="5020" w:type="dxa"/>
            <w:vAlign w:val="bottom"/>
            <w:gridSpan w:val="3"/>
          </w:tcPr>
          <w:p>
            <w:pPr>
              <w:ind w:left="2280"/>
              <w:spacing w:after="0"/>
              <w:rPr>
                <w:sz w:val="20"/>
                <w:szCs w:val="20"/>
                <w:color w:val="auto"/>
              </w:rPr>
            </w:pPr>
            <w:r>
              <w:rPr>
                <w:rFonts w:ascii="Arial" w:cs="Arial" w:eastAsia="Arial" w:hAnsi="Arial"/>
                <w:sz w:val="18"/>
                <w:szCs w:val="18"/>
                <w:color w:val="auto"/>
              </w:rPr>
              <w:t>/s/ David A. Campbell</w:t>
            </w:r>
          </w:p>
        </w:tc>
      </w:tr>
      <w:tr>
        <w:trPr>
          <w:trHeight w:val="20"/>
        </w:trPr>
        <w:tc>
          <w:tcPr>
            <w:tcW w:w="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020" w:type="dxa"/>
            <w:vAlign w:val="bottom"/>
            <w:gridSpan w:val="3"/>
          </w:tcPr>
          <w:p>
            <w:pPr>
              <w:ind w:left="2280"/>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6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020" w:type="dxa"/>
            <w:vAlign w:val="bottom"/>
            <w:gridSpan w:val="3"/>
          </w:tcPr>
          <w:p>
            <w:pPr>
              <w:ind w:left="228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60" w:type="dxa"/>
            <w:vAlign w:val="bottom"/>
          </w:tcPr>
          <w:p>
            <w:pPr>
              <w:ind w:left="200"/>
              <w:spacing w:after="0"/>
              <w:rPr>
                <w:sz w:val="20"/>
                <w:szCs w:val="20"/>
                <w:color w:val="auto"/>
              </w:rPr>
            </w:pPr>
            <w:r>
              <w:rPr>
                <w:rFonts w:ascii="Arial" w:cs="Arial" w:eastAsia="Arial" w:hAnsi="Arial"/>
                <w:sz w:val="18"/>
                <w:szCs w:val="18"/>
                <w:color w:val="0038FF"/>
              </w:rPr>
              <w:t>August 4, 2021</w:t>
            </w:r>
          </w:p>
        </w:tc>
        <w:tc>
          <w:tcPr>
            <w:tcW w:w="2100" w:type="dxa"/>
            <w:vAlign w:val="bottom"/>
            <w:gridSpan w:val="2"/>
          </w:tcPr>
          <w:p>
            <w:pPr>
              <w:spacing w:after="0"/>
              <w:rPr>
                <w:sz w:val="20"/>
                <w:szCs w:val="20"/>
                <w:color w:val="auto"/>
              </w:rPr>
            </w:pPr>
            <w:r>
              <w:rPr>
                <w:rFonts w:ascii="Arial" w:cs="Arial" w:eastAsia="Arial" w:hAnsi="Arial"/>
                <w:sz w:val="18"/>
                <w:szCs w:val="18"/>
                <w:color w:val="auto"/>
              </w:rPr>
              <w:t>/s/Kirkland B. Andrews</w:t>
            </w:r>
          </w:p>
        </w:tc>
      </w:tr>
      <w:tr>
        <w:trPr>
          <w:trHeight w:val="196"/>
        </w:trPr>
        <w:tc>
          <w:tcPr>
            <w:tcW w:w="60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70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Kirkland B. Andrews</w:t>
            </w:r>
          </w:p>
        </w:tc>
        <w:tc>
          <w:tcPr>
            <w:tcW w:w="400" w:type="dxa"/>
            <w:vAlign w:val="bottom"/>
          </w:tcPr>
          <w:p>
            <w:pPr>
              <w:spacing w:after="0"/>
              <w:rPr>
                <w:sz w:val="17"/>
                <w:szCs w:val="17"/>
                <w:color w:val="auto"/>
              </w:rPr>
            </w:pPr>
          </w:p>
        </w:tc>
      </w:tr>
      <w:tr>
        <w:trPr>
          <w:trHeight w:val="175"/>
        </w:trPr>
        <w:tc>
          <w:tcPr>
            <w:tcW w:w="6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0038FF"/>
              </w:rPr>
              <w:t>August 4, 2021</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/s/David A. Campbell</w:t>
            </w:r>
          </w:p>
        </w:tc>
        <w:tc>
          <w:tcPr>
            <w:tcW w:w="116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Metro,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0038FF"/>
              </w:rPr>
              <w:t>August 4, 2021</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75"/>
        </w:trPr>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Exhibit 31.5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A. Campbell, certify that:</w:t>
      </w:r>
    </w:p>
    <w:p>
      <w:pPr>
        <w:spacing w:after="0" w:line="252"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652"/>
        <w:spacing w:after="0" w:line="342"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40" w:type="dxa"/>
            <w:vAlign w:val="bottom"/>
          </w:tcPr>
          <w:p>
            <w:pPr>
              <w:ind w:left="140"/>
              <w:spacing w:after="0"/>
              <w:rPr>
                <w:sz w:val="20"/>
                <w:szCs w:val="20"/>
                <w:color w:val="auto"/>
              </w:rPr>
            </w:pPr>
            <w:r>
              <w:rPr>
                <w:rFonts w:ascii="Arial" w:cs="Arial" w:eastAsia="Arial" w:hAnsi="Arial"/>
                <w:sz w:val="18"/>
                <w:szCs w:val="18"/>
                <w:color w:val="0038FF"/>
              </w:rPr>
              <w:t>August 4, 2021</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/s/David A. Campbell</w:t>
            </w:r>
          </w:p>
        </w:tc>
        <w:tc>
          <w:tcPr>
            <w:tcW w:w="1160" w:type="dxa"/>
            <w:vAlign w:val="bottom"/>
          </w:tcPr>
          <w:p>
            <w:pPr>
              <w:spacing w:after="0"/>
              <w:rPr>
                <w:sz w:val="18"/>
                <w:szCs w:val="18"/>
                <w:color w:val="auto"/>
              </w:rPr>
            </w:pPr>
          </w:p>
        </w:tc>
      </w:tr>
      <w:tr>
        <w:trPr>
          <w:trHeight w:val="196"/>
        </w:trPr>
        <w:tc>
          <w:tcPr>
            <w:tcW w:w="56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740" w:type="dxa"/>
            <w:vAlign w:val="bottom"/>
            <w:gridSpan w:val="2"/>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895"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Exhibit 31.6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Kirkland B. Andrews, certify that:</w:t>
      </w:r>
    </w:p>
    <w:p>
      <w:pPr>
        <w:spacing w:after="0" w:line="252"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Evergy Kansas Central, Inc.;</w:t>
      </w:r>
    </w:p>
    <w:p>
      <w:pPr>
        <w:spacing w:after="0" w:line="252"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120" w:hanging="644"/>
        <w:spacing w:after="0" w:line="263" w:lineRule="auto"/>
        <w:tabs>
          <w:tab w:leader="none" w:pos="1297" w:val="left"/>
        </w:tabs>
        <w:numPr>
          <w:ilvl w:val="2"/>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300" w:right="40" w:hanging="644"/>
        <w:spacing w:after="0" w:line="263" w:lineRule="auto"/>
        <w:tabs>
          <w:tab w:leader="none" w:pos="1294" w:val="left"/>
        </w:tabs>
        <w:numPr>
          <w:ilvl w:val="2"/>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2"/>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240" w:hanging="644"/>
        <w:spacing w:after="0" w:line="263" w:lineRule="auto"/>
        <w:tabs>
          <w:tab w:leader="none" w:pos="1294" w:val="left"/>
        </w:tabs>
        <w:numPr>
          <w:ilvl w:val="2"/>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100" w:hanging="571"/>
        <w:spacing w:after="0" w:line="342" w:lineRule="auto"/>
        <w:tabs>
          <w:tab w:leader="none" w:pos="6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460" w:hanging="644"/>
        <w:spacing w:after="0" w:line="342" w:lineRule="auto"/>
        <w:tabs>
          <w:tab w:leader="none" w:pos="1297" w:val="left"/>
        </w:tabs>
        <w:numPr>
          <w:ilvl w:val="2"/>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160" w:hanging="644"/>
        <w:spacing w:after="0" w:line="277" w:lineRule="auto"/>
        <w:tabs>
          <w:tab w:leader="none" w:pos="1294"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900" w:type="dxa"/>
            <w:vAlign w:val="bottom"/>
          </w:tcPr>
          <w:p>
            <w:pPr>
              <w:ind w:left="220"/>
              <w:spacing w:after="0"/>
              <w:rPr>
                <w:sz w:val="20"/>
                <w:szCs w:val="20"/>
                <w:color w:val="auto"/>
              </w:rPr>
            </w:pPr>
            <w:r>
              <w:rPr>
                <w:rFonts w:ascii="Arial" w:cs="Arial" w:eastAsia="Arial" w:hAnsi="Arial"/>
                <w:sz w:val="18"/>
                <w:szCs w:val="18"/>
                <w:color w:val="0038FF"/>
              </w:rPr>
              <w:t>August 4, 2021</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Kirkland B. Andrews</w:t>
            </w:r>
          </w:p>
        </w:tc>
        <w:tc>
          <w:tcPr>
            <w:tcW w:w="340" w:type="dxa"/>
            <w:vAlign w:val="bottom"/>
          </w:tcPr>
          <w:p>
            <w:pPr>
              <w:spacing w:after="0"/>
              <w:rPr>
                <w:sz w:val="18"/>
                <w:szCs w:val="18"/>
                <w:color w:val="auto"/>
              </w:rPr>
            </w:pPr>
          </w:p>
        </w:tc>
      </w:tr>
      <w:tr>
        <w:trPr>
          <w:trHeight w:val="196"/>
        </w:trPr>
        <w:tc>
          <w:tcPr>
            <w:tcW w:w="60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100" w:type="dxa"/>
            <w:vAlign w:val="bottom"/>
            <w:gridSpan w:val="2"/>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175"/>
        </w:trPr>
        <w:tc>
          <w:tcPr>
            <w:tcW w:w="6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2100" w:type="dxa"/>
            <w:vAlign w:val="bottom"/>
            <w:gridSpan w:val="2"/>
          </w:tcPr>
          <w:p>
            <w:pPr>
              <w:spacing w:after="0" w:line="176" w:lineRule="exact"/>
              <w:rPr>
                <w:sz w:val="20"/>
                <w:szCs w:val="20"/>
                <w:color w:val="auto"/>
              </w:rPr>
            </w:pPr>
            <w:r>
              <w:rPr>
                <w:rFonts w:ascii="Arial" w:cs="Arial" w:eastAsia="Arial" w:hAnsi="Arial"/>
                <w:sz w:val="18"/>
                <w:szCs w:val="18"/>
                <w:color w:val="auto"/>
                <w:w w:val="88"/>
              </w:rPr>
              <w:t>Executive Vice President and</w:t>
            </w:r>
          </w:p>
        </w:tc>
      </w:tr>
      <w:tr>
        <w:trPr>
          <w:trHeight w:val="230"/>
        </w:trPr>
        <w:tc>
          <w:tcPr>
            <w:tcW w:w="60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connection with the Quarterly Report on Form 10-Q of Evergy, Inc. (the "Company") for the quarterly period ended June 30, 2021,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820" w:hanging="488"/>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right="760" w:hanging="488"/>
        <w:spacing w:after="0" w:line="277" w:lineRule="auto"/>
        <w:tabs>
          <w:tab w:leader="none" w:pos="81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August 4, 2021</w:t>
            </w:r>
          </w:p>
        </w:tc>
      </w:tr>
      <w:tr>
        <w:trPr>
          <w:trHeight w:val="418"/>
        </w:trPr>
        <w:tc>
          <w:tcPr>
            <w:tcW w:w="146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46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4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August 4, 2021</w:t>
            </w:r>
          </w:p>
        </w:tc>
      </w:tr>
    </w:tbl>
    <w:p>
      <w:pPr>
        <w:sectPr>
          <w:pgSz w:w="11900" w:h="16838" w:orient="portrait"/>
          <w:cols w:equalWidth="0" w:num="1">
            <w:col w:w="11240"/>
          </w:cols>
          <w:pgMar w:left="320" w:top="89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the Quarterly Report on Form 10-Q of Evergy Metro, Inc. (the "Company") for the quarterly period ended June 30, 2021,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August 4, 2021</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August 4, 2021</w:t>
            </w:r>
          </w:p>
        </w:tc>
      </w:tr>
    </w:tbl>
    <w:p>
      <w:pPr>
        <w:sectPr>
          <w:pgSz w:w="11900" w:h="16838" w:orient="portrait"/>
          <w:cols w:equalWidth="0" w:num="1">
            <w:col w:w="11240"/>
          </w:cols>
          <w:pgMar w:left="320" w:top="89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32.3</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connection with the Quarterly Report on Form 10-Q of Evergy Kansas Central, Inc. (the "Company") for the quarterly period ended June 30, 2021, as filed with the Securities and Exchange Commission on the date hereof (the "Report"), David A. Campbell, as President and Chief Executive Officer of the Company, and Kirkland B. Andrews, as Executive Vice President and Chief Financial Officer of the Company, each hereby certifies, pursuant to 18 U.S.C. Section 1350, as adopted pursuant to Section 906 of the Sarbanes-Oxley Act of 2002, that, to the best of his knowledge:</w:t>
      </w:r>
    </w:p>
    <w:p>
      <w:pPr>
        <w:spacing w:after="0" w:line="198"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David A. Campbell</w:t>
            </w:r>
          </w:p>
        </w:tc>
        <w:tc>
          <w:tcPr>
            <w:tcW w:w="2220" w:type="dxa"/>
            <w:vAlign w:val="bottom"/>
            <w:gridSpan w:val="2"/>
          </w:tcPr>
          <w:p>
            <w:pPr>
              <w:spacing w:after="0"/>
              <w:rPr>
                <w:sz w:val="17"/>
                <w:szCs w:val="17"/>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David A. Campbell</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August 4, 2021</w:t>
            </w:r>
          </w:p>
        </w:tc>
      </w:tr>
      <w:tr>
        <w:trPr>
          <w:trHeight w:val="418"/>
        </w:trPr>
        <w:tc>
          <w:tcPr>
            <w:tcW w:w="150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/s/ Kirkland B. Andrews</w:t>
            </w:r>
          </w:p>
        </w:tc>
        <w:tc>
          <w:tcPr>
            <w:tcW w:w="2080" w:type="dxa"/>
            <w:vAlign w:val="bottom"/>
          </w:tcPr>
          <w:p>
            <w:pPr>
              <w:spacing w:after="0"/>
              <w:rPr>
                <w:sz w:val="24"/>
                <w:szCs w:val="24"/>
                <w:color w:val="auto"/>
              </w:rPr>
            </w:pPr>
          </w:p>
        </w:tc>
      </w:tr>
      <w:tr>
        <w:trPr>
          <w:trHeight w:val="196"/>
        </w:trPr>
        <w:tc>
          <w:tcPr>
            <w:tcW w:w="150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line="196" w:lineRule="exact"/>
              <w:rPr>
                <w:sz w:val="20"/>
                <w:szCs w:val="20"/>
                <w:color w:val="auto"/>
              </w:rPr>
            </w:pPr>
            <w:r>
              <w:rPr>
                <w:rFonts w:ascii="Arial" w:cs="Arial" w:eastAsia="Arial" w:hAnsi="Arial"/>
                <w:sz w:val="18"/>
                <w:szCs w:val="18"/>
                <w:color w:val="auto"/>
              </w:rPr>
              <w:t>Kirkland B. Andrews</w:t>
            </w:r>
          </w:p>
        </w:tc>
      </w:tr>
      <w:tr>
        <w:trPr>
          <w:trHeight w:val="229"/>
        </w:trPr>
        <w:tc>
          <w:tcPr>
            <w:tcW w:w="15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0038FF"/>
              </w:rPr>
              <w:t>August 4, 2021</w:t>
            </w: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1)"/>
      <w:numFmt w:val="lowerLetter"/>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1."/>
      <w:numFmt w:val="decimal"/>
      <w:start w:val="4"/>
    </w:lvl>
    <w:lvl w:ilvl="1">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1"/>
    </w:lvl>
  </w:abstractNum>
  <w:abstractNum w:abstractNumId="9">
    <w:nsid w:val="1E7FF521"/>
    <w:multiLevelType w:val="hybridMultilevel"/>
    <w:lvl w:ilvl="0">
      <w:lvlJc w:val="left"/>
      <w:lvlText w:val="(%1)"/>
      <w:numFmt w:val="lowerLetter"/>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1)"/>
      <w:numFmt w:val="lowerLetter"/>
      <w:start w:val="1"/>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lowerLetter"/>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lvl w:ilvl="1">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lvl w:ilvl="1">
      <w:lvlJc w:val="left"/>
      <w:lvlText w:val="◦"/>
      <w:numFmt w:val="bullet"/>
      <w:start w:val="1"/>
    </w:lvl>
  </w:abstractNum>
  <w:abstractNum w:abstractNumId="27">
    <w:nsid w:val="51EAD36B"/>
    <w:multiLevelType w:val="hybridMultilevel"/>
    <w:lvl w:ilvl="0">
      <w:lvlJc w:val="left"/>
      <w:lvlText w:val="(%1)"/>
      <w:numFmt w:val="lowerLetter"/>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1)"/>
      <w:numFmt w:val="lowerLetter"/>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lowerLetter"/>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lvl w:ilvl="1">
      <w:lvlJc w:val="left"/>
      <w:lvlText w:val="(%2)"/>
      <w:numFmt w:val="lowerLetter"/>
      <w:start w:val="1"/>
    </w:lvl>
  </w:abstractNum>
  <w:abstractNum w:abstractNumId="43">
    <w:nsid w:val="38437FDB"/>
    <w:multiLevelType w:val="hybridMultilevel"/>
    <w:lvl w:ilvl="0">
      <w:lvlJc w:val="left"/>
      <w:lvlText w:val="%1."/>
      <w:numFmt w:val="decimal"/>
      <w:start w:val="1"/>
    </w:lvl>
    <w:lvl w:ilvl="1">
      <w:lvlJc w:val="left"/>
      <w:lvlText w:val="(%2)"/>
      <w:numFmt w:val="lowerLetter"/>
      <w:start w:val="1"/>
    </w:lvl>
  </w:abstractNum>
  <w:abstractNum w:abstractNumId="44">
    <w:nsid w:val="7644A45C"/>
    <w:multiLevelType w:val="hybridMultilevel"/>
    <w:lvl w:ilvl="0">
      <w:lvlJc w:val="left"/>
      <w:lvlText w:val="%1."/>
      <w:numFmt w:val="decimal"/>
      <w:start w:val="1"/>
    </w:lvl>
    <w:lvl w:ilvl="1">
      <w:lvlJc w:val="left"/>
      <w:lvlText w:val="(%2)"/>
      <w:numFmt w:val="lowerLetter"/>
      <w:start w:val="1"/>
    </w:lvl>
  </w:abstractNum>
  <w:abstractNum w:abstractNumId="45">
    <w:nsid w:val="32FFF902"/>
    <w:multiLevelType w:val="hybridMultilevel"/>
    <w:lvl w:ilvl="0">
      <w:lvlJc w:val="left"/>
      <w:lvlText w:val="%1."/>
      <w:numFmt w:val="decimal"/>
      <w:start w:val="1"/>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lowerLetter"/>
      <w:start w:val="1"/>
    </w:lvl>
  </w:abstractNum>
  <w:abstractNum w:abstractNumId="47">
    <w:nsid w:val="579478FE"/>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0" Type="http://schemas.openxmlformats.org/officeDocument/2006/relationships/hyperlink" Target="http://www.sec.gov/Archives/edgar/data/1711269/000119312521122905/d151728dex41.htm" TargetMode="External"/><Relationship Id="rId91" Type="http://schemas.openxmlformats.org/officeDocument/2006/relationships/hyperlink" Target="http://www.sec.gov/Archives/edgar/data/54476/000171126921000032/ex101registrationrightsagr.htm" TargetMode="External"/><Relationship Id="rId92" Type="http://schemas.openxmlformats.org/officeDocument/2006/relationships/hyperlink" Target="http://www.sec.gov/Archives/edgar/data/54476/000171126921000032/ex102warrantno1issued41420.htm" TargetMode="External"/><Relationship Id="rId93" Type="http://schemas.openxmlformats.org/officeDocument/2006/relationships/hyperlink" Target="http://www.sec.gov/Archives/edgar/data/1711269/000119312521122905/d151728dex101.htm" TargetMode="External"/><Relationship Id="rId94" Type="http://schemas.openxmlformats.org/officeDocument/2006/relationships/hyperlink" Target="http://www.sec.gov/Archives/edgar/data/1711269/000119312521122905/d151728dex102.htm" TargetMode="External"/><Relationship Id="rId95" Type="http://schemas.openxmlformats.org/officeDocument/2006/relationships/hyperlink" Target="http://www.sec.gov/Archives/edgar/data/1711269/000119312521122905/d15172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2021-08-05T05:37:07Z</dcterms:created>
  <dcterms:modified xsi:type="dcterms:W3CDTF">2021-08-05T05:37:07Z</dcterms:modified>
</cp:coreProperties>
</file>