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9029d424b5.htm"/>
        <w:bookmarkStart w:id="1" w:name="ksd14902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333-281614-02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become effective. This preliminary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10, 2026 </w:t>
      </w:r>
    </w:p>
    <w:p>
      <w:pPr>
        <w:pStyle w:val="TextBody"/>
        <w:bidi w:val="0"/>
        <w:spacing w:before="4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sz w:val="20"/>
        </w:rPr>
      </w:pPr>
      <w:r>
        <w:rPr>
          <w:rFonts w:ascii="Times New Roman" w:hAnsi="Times New Roman"/>
          <w:sz w:val="20"/>
        </w:rPr>
        <w:t xml:space="preserve">(To prospectus dated August 16, 2024)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Evergy Kansas Central,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$    First Mortgage Bonds,   % Series due 20 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Evergy Kansas Central, Inc. is offering $    aggregate principal amount of First Mortgage Bonds,   % Series due 20  (the “bonds”). The bonds will bear interest at a rate of   % per year and will mature on    , 20 . We will pay interest on the bonds semi-annually in arrears on      and     of each year, beginning on     ,     . We may redeem the bonds at our option, in whole or in part, at any time and from time to time, at the applicable redemption price specified in this prospectus supplement.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also redeem the bonds, in whole but not in part, at a redemption price equal to 101% of the principal amount thereof if a Tax Credit Event (as defined herein) occurs. See “Description of the Bonds—Right to Redeem for Tax Credit Event.”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bonds will be our secured obligations, equal in right of payment to all other debt currently outstanding or hereafter issued under the mortgage (as defined herein). The mortgage prohibits us from incurring other debt senior or equal to the bonds offered hereby unless certain tests are met. The bonds will be structurally subordinated to the debt of our subsidiaries. See “Description of the Bonds—Ranking” in this prospectus supplement.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bonds will not be listed on any securities exchange or included in any automated dealer quotation system. Currently there is no public market for the bonds. The bonds will be issued in minimum denominations of $2,000 and in integral multiples of $1,000 in excess thereof.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4"/>
        </w:rPr>
        <w:t>Investing in the bonds involves risks that are described in the section entitled “</w:t>
      </w:r>
      <w:hyperlink w:anchor="supprom149029_5">
        <w:r>
          <w:rPr>
            <w:rStyle w:val="InternetLink"/>
            <w:rFonts w:ascii="Times New Roman" w:hAnsi="Times New Roman"/>
            <w:b/>
            <w:sz w:val="24"/>
          </w:rPr>
          <w:t>Risk Factors</w:t>
        </w:r>
      </w:hyperlink>
      <w:r>
        <w:rPr>
          <w:rFonts w:ascii="Times New Roman" w:hAnsi="Times New Roman"/>
          <w:b/>
          <w:sz w:val="24"/>
        </w:rPr>
        <w:t xml:space="preserve">” beginning on page S-11 of this prospectus supplement.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857"/>
        <w:gridCol w:w="223"/>
        <w:gridCol w:w="215"/>
        <w:gridCol w:w="1243"/>
        <w:gridCol w:w="74"/>
        <w:gridCol w:w="223"/>
        <w:gridCol w:w="258"/>
        <w:gridCol w:w="1499"/>
        <w:gridCol w:w="74"/>
        <w:gridCol w:w="223"/>
        <w:gridCol w:w="531"/>
        <w:gridCol w:w="3071"/>
        <w:gridCol w:w="81"/>
      </w:tblGrid>
      <w:tr>
        <w:trPr/>
        <w:tc>
          <w:tcPr>
            <w:tcW w:w="857"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8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the</w:t>
              <w:br/>
              <w:t>Public(1)</w:t>
            </w:r>
          </w:p>
        </w:tc>
        <w:tc>
          <w:tcPr>
            <w:tcW w:w="7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7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02" w:type="dxa"/>
            <w:gridSpan w:val="2"/>
            <w:tcBorders>
              <w:bottom w:val="single" w:sz="8" w:space="0" w:color="000000"/>
            </w:tcBorders>
            <w:tcMar>
              <w:bottom w:w="28" w:type="dxa"/>
            </w:tcMar>
            <w:vAlign w:val="bottom"/>
          </w:tcPr>
          <w:p>
            <w:pPr>
              <w:pStyle w:val="TableContents"/>
              <w:bidi w:val="0"/>
              <w:spacing w:before="0" w:after="283"/>
              <w:jc w:val="center"/>
              <w:rPr/>
            </w:pPr>
            <w:r>
              <w:rPr>
                <w:b/>
              </w:rPr>
              <w:t>Proceeds to</w:t>
              <w:br/>
              <w:t>Evergy Kansas Central, Inc.</w:t>
            </w:r>
            <w:r>
              <w:rPr/>
              <w:br/>
            </w:r>
            <w:r>
              <w:rPr>
                <w:b/>
              </w:rPr>
              <w:t>Before Expenses</w:t>
            </w:r>
          </w:p>
        </w:tc>
        <w:tc>
          <w:tcPr>
            <w:tcW w:w="81" w:type="dxa"/>
            <w:tcBorders/>
            <w:vAlign w:val="bottom"/>
          </w:tcPr>
          <w:p>
            <w:pPr>
              <w:pStyle w:val="TableContents"/>
              <w:bidi w:val="0"/>
              <w:spacing w:before="0" w:after="283"/>
              <w:jc w:val="left"/>
              <w:rPr/>
            </w:pPr>
            <w:r>
              <w:rPr/>
              <w:t> </w:t>
            </w:r>
          </w:p>
        </w:tc>
      </w:tr>
      <w:tr>
        <w:trPr/>
        <w:tc>
          <w:tcPr>
            <w:tcW w:w="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bond</w:t>
            </w:r>
          </w:p>
        </w:tc>
        <w:tc>
          <w:tcPr>
            <w:tcW w:w="22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3071" w:type="dxa"/>
            <w:tcBorders/>
            <w:shd w:fill="CCEEFF" w:val="clear"/>
            <w:vAlign w:val="bottom"/>
          </w:tcPr>
          <w:p>
            <w:pPr>
              <w:pStyle w:val="TableContents"/>
              <w:bidi w:val="0"/>
              <w:spacing w:before="0" w:after="283"/>
              <w:jc w:val="right"/>
              <w:rPr/>
            </w:pPr>
            <w:r>
              <w:rPr/>
              <w:t>%</w:t>
            </w:r>
          </w:p>
        </w:tc>
        <w:tc>
          <w:tcPr>
            <w:tcW w:w="81" w:type="dxa"/>
            <w:tcBorders/>
            <w:shd w:fill="CCEEFF" w:val="clear"/>
            <w:vAlign w:val="bottom"/>
          </w:tcPr>
          <w:p>
            <w:pPr>
              <w:pStyle w:val="TableContents"/>
              <w:bidi w:val="0"/>
              <w:spacing w:before="0" w:after="283"/>
              <w:jc w:val="left"/>
              <w:rPr/>
            </w:pPr>
            <w:r>
              <w:rPr/>
              <w:t> </w:t>
            </w:r>
          </w:p>
        </w:tc>
      </w:tr>
      <w:tr>
        <w:trPr/>
        <w:tc>
          <w:tcPr>
            <w:tcW w:w="85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49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w:t>
            </w:r>
          </w:p>
        </w:tc>
        <w:tc>
          <w:tcPr>
            <w:tcW w:w="3071"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interest from     , 2026, if settlement occurs after that date. </w:t>
            </w:r>
          </w:p>
        </w:tc>
      </w:tr>
    </w:tbl>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This prospectus supplement and the accompanying prospectus are not intended to constitute an offer to, and the bonds should not be purchased, held or otherwise acquired by, a “specified foreign entity” as defined in Section 7701(a)(51)(B) of the Internal Revenue Code of 1986, as amended (a “specified foreign entity”). Each initial purchaser of any bonds, by accepting such bonds, will be deemed to have represented, warranted and agreed that it is not a specified foreign entity for its taxable year that includes the date of the original issuance of the bonds.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bonds will be ready for delivery in book-entry form only through the facilities of The Depository Trust Company for the accounts of its participants, including Clearstream Banking S.A. and Euroclear Bank SA/NV, as operator of the Euroclear System,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2741"/>
        <w:gridCol w:w="301"/>
        <w:gridCol w:w="2512"/>
        <w:gridCol w:w="301"/>
        <w:gridCol w:w="2585"/>
        <w:gridCol w:w="148"/>
        <w:gridCol w:w="1617"/>
      </w:tblGrid>
      <w:tr>
        <w:trPr/>
        <w:tc>
          <w:tcPr>
            <w:tcW w:w="2741"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2741" w:type="dxa"/>
            <w:tcBorders/>
          </w:tcPr>
          <w:p>
            <w:pPr>
              <w:pStyle w:val="TableContents"/>
              <w:bidi w:val="0"/>
              <w:spacing w:before="0" w:after="283"/>
              <w:jc w:val="left"/>
              <w:rPr>
                <w:b/>
              </w:rPr>
            </w:pPr>
            <w:r>
              <w:rPr>
                <w:b/>
              </w:rPr>
              <w:t>PNC Capital Markets LLC</w:t>
            </w:r>
          </w:p>
        </w:tc>
        <w:tc>
          <w:tcPr>
            <w:tcW w:w="301" w:type="dxa"/>
            <w:tcBorders/>
            <w:vAlign w:val="bottom"/>
          </w:tcPr>
          <w:p>
            <w:pPr>
              <w:pStyle w:val="TableContents"/>
              <w:bidi w:val="0"/>
              <w:spacing w:before="0" w:after="283"/>
              <w:jc w:val="left"/>
              <w:rPr/>
            </w:pPr>
            <w:r>
              <w:rPr/>
              <w:t>  </w:t>
            </w:r>
          </w:p>
        </w:tc>
        <w:tc>
          <w:tcPr>
            <w:tcW w:w="2512" w:type="dxa"/>
            <w:tcBorders/>
          </w:tcPr>
          <w:p>
            <w:pPr>
              <w:pStyle w:val="TableContents"/>
              <w:bidi w:val="0"/>
              <w:spacing w:before="0" w:after="283"/>
              <w:jc w:val="center"/>
              <w:rPr>
                <w:b/>
              </w:rPr>
            </w:pPr>
            <w:r>
              <w:rPr>
                <w:b/>
              </w:rPr>
              <w:t>RBC Capital Markets</w:t>
            </w:r>
          </w:p>
        </w:tc>
        <w:tc>
          <w:tcPr>
            <w:tcW w:w="301" w:type="dxa"/>
            <w:tcBorders/>
            <w:vAlign w:val="bottom"/>
          </w:tcPr>
          <w:p>
            <w:pPr>
              <w:pStyle w:val="TableContents"/>
              <w:bidi w:val="0"/>
              <w:spacing w:before="0" w:after="283"/>
              <w:jc w:val="left"/>
              <w:rPr/>
            </w:pPr>
            <w:r>
              <w:rPr/>
              <w:t>  </w:t>
            </w:r>
          </w:p>
        </w:tc>
        <w:tc>
          <w:tcPr>
            <w:tcW w:w="2585" w:type="dxa"/>
            <w:tcBorders/>
          </w:tcPr>
          <w:p>
            <w:pPr>
              <w:pStyle w:val="TableContents"/>
              <w:bidi w:val="0"/>
              <w:spacing w:before="0" w:after="283"/>
              <w:jc w:val="center"/>
              <w:rPr>
                <w:b/>
              </w:rPr>
            </w:pPr>
            <w:r>
              <w:rPr>
                <w:b/>
              </w:rPr>
              <w:t>Truist Securities</w:t>
            </w:r>
          </w:p>
        </w:tc>
        <w:tc>
          <w:tcPr>
            <w:tcW w:w="148" w:type="dxa"/>
            <w:tcBorders/>
            <w:vAlign w:val="bottom"/>
          </w:tcPr>
          <w:p>
            <w:pPr>
              <w:pStyle w:val="TableContents"/>
              <w:bidi w:val="0"/>
              <w:spacing w:before="0" w:after="283"/>
              <w:jc w:val="left"/>
              <w:rPr/>
            </w:pPr>
            <w:r>
              <w:rPr/>
              <w:t>  </w:t>
            </w:r>
          </w:p>
        </w:tc>
        <w:tc>
          <w:tcPr>
            <w:tcW w:w="1617" w:type="dxa"/>
            <w:tcBorders/>
          </w:tcPr>
          <w:p>
            <w:pPr>
              <w:pStyle w:val="TableContents"/>
              <w:bidi w:val="0"/>
              <w:spacing w:before="0" w:after="283"/>
              <w:jc w:val="right"/>
              <w:rPr>
                <w:b/>
              </w:rPr>
            </w:pPr>
            <w:r>
              <w:rPr>
                <w:b/>
              </w:rPr>
              <w:t>US Bancorp</w:t>
            </w:r>
          </w:p>
        </w:tc>
      </w:tr>
    </w:tbl>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sz w:val="20"/>
        </w:rPr>
      </w:pPr>
      <w:r>
        <w:rPr>
          <w:rFonts w:ascii="Times New Roman" w:hAnsi="Times New Roman"/>
          <w:sz w:val="20"/>
        </w:rPr>
        <w:t xml:space="preserve">Prospectus Supplement dated September ,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902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2">
              <w:r>
                <w:rPr>
                  <w:rStyle w:val="InternetLink"/>
                  <w:rFonts w:ascii="Times New Roman" w:hAnsi="Times New Roman"/>
                  <w:sz w:val="20"/>
                </w:rPr>
                <w:t>CAUTIONARY STATEMENTS REGARDING CERTAIN FORWARD-LOOKING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7">
              <w:r>
                <w:rPr>
                  <w:rStyle w:val="InternetLink"/>
                  <w:rFonts w:ascii="Times New Roman" w:hAnsi="Times New Roman"/>
                  <w:sz w:val="20"/>
                </w:rPr>
                <w:t>DESCRIPTION OF THE BONDS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8">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9">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9029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2_2879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2">
              <w:r>
                <w:rPr>
                  <w:rStyle w:val="InternetLink"/>
                  <w:rFonts w:ascii="Times New Roman" w:hAnsi="Times New Roman"/>
                  <w:sz w:val="20"/>
                </w:rPr>
                <w:t>CAUTIONARY STATEMENTS REGARDING CERTAIN 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3">
              <w:r>
                <w:rPr>
                  <w:rStyle w:val="InternetLink"/>
                  <w:rFonts w:ascii="Times New Roman" w:hAnsi="Times New Roman"/>
                  <w:sz w:val="20"/>
                </w:rPr>
                <w:t>EVERGY KANSAS CENTRAL,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6">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7">
              <w:r>
                <w:rPr>
                  <w:rStyle w:val="InternetLink"/>
                  <w:rFonts w:ascii="Times New Roman" w:hAnsi="Times New Roman"/>
                  <w:sz w:val="20"/>
                </w:rPr>
                <w:t>DESCRIPTION OF FIRST MORTGAGE BONDS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8">
              <w:r>
                <w:rPr>
                  <w:rStyle w:val="InternetLink"/>
                  <w:rFonts w:ascii="Times New Roman" w:hAnsi="Times New Roman"/>
                  <w:sz w:val="20"/>
                </w:rPr>
                <w:t>BOOK-ENTRY SYSTEM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2_2879371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4902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bonds against payment for the bonds on or about the date specified in the last paragraph of the cover page of this prospectus supplement, which will be the      business day following the date of this prospectus supplement (“T+ ”).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(as defined herein) or the bonds, preventing or curing an event of default under the terms of the mortgage, complying with any other obligation under the mortgage or the bonds or otherwise.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or as otherwise indicated, when we refer to “Evergy Kansas Central, Inc.,” “Evergy Kansas Central,” the “Company,” “we,” “us” or “our” in this prospectus supplement or the accompanying prospectus or when we otherwise refer to ourselves herein or therein, we mean Evergy Kansas Central, Inc. and not any of its subsidiaries or other affiliates, unless the context clearly indicates otherwise. When we refer to “you” or “your” in this prospectus supplement, we mean a prospective investor or holder of the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149029_2"/>
      <w:bookmarkEnd w:id="4"/>
      <w:r>
        <w:rPr>
          <w:rFonts w:ascii="Times New Roman" w:hAnsi="Times New Roman"/>
          <w:b/>
          <w:sz w:val="20"/>
        </w:rPr>
        <w:t xml:space="preserve">CAUTIONARY STATEMENTS REGARDING 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supplement, the accompanying prospectus and the documents incorporated by reference herein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and weather conditions and any impact on sales, prices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demand for electricity, including demand from data centers and other large load customers, and customer adoption of alternative energy sources, such as distributed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or operations, including with respect to Evergy Kansas Central’s strategy to meet demand requirements of existing and future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federal, state and local political, legislative, judicial and regulatory actions or developments, including deregulation, re-regulation, securitization and restructuring of the electric utility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prolonged or recurring U.S. federal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trade policies (including tariffs and other trade measures) and responses from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build or acquire generation, battery storage and transmission facilities to meet the future demand for electricity from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of regulators regarding, among other things, customer rates and the prudency of operational decisions such as capital expenditures and asset retirements;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regulations, rules, principles or practices, or the interpretations thereof, governing tax, accounting and environmental matters, including air and water quality and waste management and disposal;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adoption and use of artificial intelligence by Evergy Kansas Central and its third-party vendors;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 change, including increased frequency and severity of significant weather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potential wildfires, including costs of litigation, potential regulatory penalties and damages in excess of insurance liability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insurance coverage, including availability, cost, coverage and terms and ability to recover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counterparties are willing to do business with, finance the operations of or purchase energy from Evergy Kansas Central due to the fact that Evergy Kansas Central operates coal-fired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and availability of electricity and natural gas in wholesale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perception of the energy industry and Evergy Kansas Central;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pandemic health events on, among other things, sales, results of operations, financial position, liquidity and cash flows, and also on operational issues, such as supply chain issues and the availability and ability of Evergy Kansas Central’s employees and suppliers to perform the functions that are necessary to operate Evergy Kansas Central;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energy trading markets in which Evergy Kansas Central participates, including retroactive repricing of transactions by regional transmission organizations and independent system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impairments of long-lived assets or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effectiveness of risk management policies and procedures and the ability of counterparties to satisfy their contractual commitments, including new large data center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physical and cybersecurity breaches, criminal activity, terrorist attacks, acts of war and other disruptions to Evergy Kansas Central’s facilities or information technology infrastructure or the facilities and infrastructure of third-party service providers on which Evergy Kansas Central relies;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geopolitical conflicts on the global energy market, including the ability to contract for non-Russian sourced uranium;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carry out marketing and sales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availability, quality and timely provision of equipment, supplies, labor and fuel;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achieve generation goals and the occurrence and duration of planned and unplanned generation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Central’s ability to manage its generation, transmission and distribution development plans and transmission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inherent risks associated with the ownership and operation of a nuclear facility, including environmental, health, safety, regulatory and financial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risks, including those related to Evergy Kansas Central’s ability to attract and retain qualified personnel, maintain satisfactory relationships with their labor unions and manage costs of, or changes in, wages, retirement, health care and other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costs and uncertainties caused by or related to the actions of individuals or entities, such as activist shareholders of Evergy or special interest groups, that seek to influence Evergy Kansas Central’s strategic plan, financial results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changing expectations and demands of Evergy Kansas Central’s customers, regulators, investors and stakeholders, including differing views on environmental, social and governance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strategic initiatives, including mergers, acquisitions, joint ventures and divestitures, and long-term financial plans, may not create the value that they are expected to achieve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maintaining relationships with customers, employees, contractors, regulators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litigation involving Evergy Kansas Central;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Risk factors discussed under Item 1A of Part I of our Annual Report on Form 10-K for the year ended December 31, 2025, which is incorporated herein by reference, should be carefully read for further understanding of potential risks for Evergy Kansas Central. Other sections of our Annual Report on Form 10-K for the year ended December 31, 2025 and other reports filed by Evergy Kansas Central with the SEC should also be read for more information regarding risk factors. New factors emerge from time to time, and it’s not possible for Evergy Kansas Central to predict all such factors, nor can Evergy Kansas Central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Kansas Central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149029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and other information with the SEC through the SEC’s Electronic Data Gathering, Analysis and Retrieval system and these filings are publicly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3">
              <w:r>
                <w:rPr>
                  <w:rStyle w:val="InternetLink"/>
                  <w:rFonts w:ascii="Times New Roman" w:hAnsi="Times New Roman"/>
                  <w:sz w:val="20"/>
                </w:rPr>
                <w:t>March 31, 2026</w:t>
              </w:r>
            </w:hyperlink>
            <w:r>
              <w:rPr>
                <w:rFonts w:ascii="Times New Roman" w:hAnsi="Times New Roman"/>
                <w:sz w:val="20"/>
              </w:rPr>
              <w:t xml:space="preserve"> and </w:t>
            </w:r>
            <w:hyperlink r:id="rId4">
              <w:r>
                <w:rPr>
                  <w:rStyle w:val="InternetLink"/>
                  <w:rFonts w:ascii="Times New Roman" w:hAnsi="Times New Roman"/>
                  <w:sz w:val="20"/>
                </w:rPr>
                <w:t>June 30, 2026</w:t>
              </w:r>
            </w:hyperlink>
            <w:r>
              <w:rPr>
                <w:rFonts w:ascii="Times New Roman" w:hAnsi="Times New Roman"/>
                <w:sz w:val="20"/>
              </w:rPr>
              <w:t xml:space="preserve"> filed with the SEC on May 7, 2026 and August 6, 2026,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July 1, 2026</w:t>
              </w:r>
            </w:hyperlink>
            <w:r>
              <w:rPr>
                <w:rFonts w:ascii="Times New Roman" w:hAnsi="Times New Roman"/>
                <w:sz w:val="20"/>
              </w:rPr>
              <w:t xml:space="preserve"> (Film No. 261145315) and </w:t>
            </w:r>
            <w:hyperlink r:id="rId6">
              <w:r>
                <w:rPr>
                  <w:rStyle w:val="InternetLink"/>
                  <w:rFonts w:ascii="Times New Roman" w:hAnsi="Times New Roman"/>
                  <w:sz w:val="20"/>
                </w:rPr>
                <w:t>July 1, 2026</w:t>
              </w:r>
            </w:hyperlink>
            <w:r>
              <w:rPr>
                <w:rFonts w:ascii="Times New Roman" w:hAnsi="Times New Roman"/>
                <w:sz w:val="20"/>
              </w:rPr>
              <w:t xml:space="preserve"> (Film No. 261145321).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our parent company, Evergy, and another wholly owned subsidiary of Evergy, Evergy Metro, Inc. (“Evergy Metro”), separately filed the combined Annual Report on Form 10-K and the combined Quarterly Reports on Form 10-Q and, as applicable, the combined Current Reports on Form 8-K listed above. However, the information therein relating solely to our parent and its consolidated subsidiaries (other than Evergy Kansas Central and its consolidated subsidiaries), including Evergy Missouri West, Inc., was separately filed by Evergy on its behalf, the information therein relating solely to Evergy Metro and its consolidated subsidiaries was separately filed by Evergy Metro on its behalf and the information therein relating solely to Evergy Kansas Central and its consolidated subsidiaries was separately filed by us. We do not intend to incorporate by reference in this prospectus supplement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therein. The only information you should rely upon in determining whether to invest in the bonds offered hereby is the information of Evergy Kansas Central and its consolidated subsidiaries contained in this prospectus supplement and the accompanying prospectus, the information separately provided by Evergy Kansas Central and its consolidated subsidiaries in the documents incorporated by reference herein and any free writing prospectus used in connection with the offering of the bonds described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 575-6300), Attention: Investor Relations, or by contacting us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rom149029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You should read the following summary in conjunction with the more detailed information in this prospectus supplement, the accompanying prospectus and the documents incorporated herein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Evergy Kansas Central is an integrated, regulated electric utility that provides electricity to customers in the state of Kansas. Evergy Kansas Central has one active wholly owned subsidiary with significant operations, Evergy Kansas South, Inc. (“Evergy Kansas South”). We serve approximately 751,000 customers located in central and eastern Kansas. Customers include approximately 651,100 residences, 94,800 commercial firms, and 5,100 industrials, municipalities and other electric utilities. Evergy Kansas Central and Evergy Kansas South conduct business in their respective service territories using the name Evergy. Our principal executive offices are located at 818 South Kansas Avenue, Topeka, Kansas 66612. Our telephone number is (785) 575-6300.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First Mortgage Bonds” and the information included or incorporated by reference herein before making an investment decision.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Evergy Kansas Central,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83"/>
              <w:jc w:val="left"/>
              <w:rPr/>
            </w:pPr>
            <w:r>
              <w:rPr/>
              <w:t xml:space="preserve">$    aggregate principal amount of First Mortgage Bonds,    % Series due 20  (the “bonds”).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8" w:type="dxa"/>
            <w:tcBorders/>
          </w:tcPr>
          <w:p>
            <w:pPr>
              <w:pStyle w:val="TableContents"/>
              <w:bidi w:val="0"/>
              <w:spacing w:before="0" w:after="283"/>
              <w:jc w:val="left"/>
              <w:rPr/>
            </w:pPr>
            <w:r>
              <w:rPr/>
              <w:t xml:space="preserve">The bonds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7" w:type="dxa"/>
            <w:tcBorders/>
          </w:tcPr>
          <w:p>
            <w:pPr>
              <w:pStyle w:val="TableContents"/>
              <w:bidi w:val="0"/>
              <w:spacing w:before="0" w:after="283"/>
              <w:jc w:val="left"/>
              <w:rPr/>
            </w:pPr>
            <w:r>
              <w:rPr/>
              <w:t xml:space="preserve">Interest on the bonds will accrue from    , 2026, at the rate of    % per year, payable semi-annually in cash in arrears on each      and       , beginning on     ,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Security </w:t>
            </w:r>
          </w:p>
        </w:tc>
        <w:tc>
          <w:tcPr>
            <w:tcW w:w="6329" w:type="dxa"/>
            <w:tcBorders/>
          </w:tcPr>
          <w:p>
            <w:pPr>
              <w:pStyle w:val="TableContents"/>
              <w:bidi w:val="0"/>
              <w:spacing w:before="0" w:after="283"/>
              <w:jc w:val="left"/>
              <w:rPr/>
            </w:pPr>
            <w:r>
              <w:rPr/>
              <w:t xml:space="preserve">The bonds will be secured equally and ratably with all other first mortgage bonds now outstanding or hereafter issued under the mortgage by a lien on substantially all of our fixed property and franchises, including certain after-acquired property,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As of June 30, 2026, after giving effect to this offering and the use of proceeds therefrom, we would have had total indebtedness on our consolidated balance sheet of approximately $    billion (excluding intracompany debt, trade payables and debt of variable interest entities). Of this amount, approximately $814.4 million would have been structurally senior to the bonds because our subsidiaries are the obligors under such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Reopening of Bond Series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without the consent of the holders of the bonds offered hereby, issue additional first mortgage bonds ranking equally with first mortgage bonds of another series then outstanding, including the bonds offered hereby, having dates, maturities, interest rates, redemption prices and other terms as our board of directors may determine only if certain conditions in the mortgage are satisfied. We may, from time to time, at our option and without the consent of any holder of the bonds offered hereby, reopen this series for the issuance of additional bonds. See “Description of the Bonds—Reopening of Bond Series” and “—Amendments to Mortgage—Issuance of Additional Bonds” in this prospectus supplement. As of June 30, 2026, approximately $2.6 billion in aggregate principal amount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additional first mortgage bonds could be issued under the most restrictive provisions of the mortgage, without giving effect to the issuance of the bonds offered hereby and the use of proceeds described under “Use of Proceeds”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Prior to    , 20  (the date that is    months prior to the maturity date of the bonds (the “Par Call Date”)), we may redeem the bonds at our option, in whole or in part, at any time and from time to time, at the redemption price (expressed as a percentage of principal amount and rounded to three decimal places) equal to the greater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(as defined herein) plus   basis points less (b) interest accrued to the redemption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bonds to be redeemed, plus, in either case, accrued and unpaid interest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On or after the Par Call Date, we may redeem the bonds at our option, in whole or in part, at any time and from time to time, at a redemption price equal to 100% of the principal amount of the bonds to be redeemed plus accrued and unpaid interest thereon to, but excluding, the date of redemption. See “Description of the Bonds—Optional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See “Description of the Bonds—Optional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Credit Event Redemption </w:t>
            </w:r>
          </w:p>
        </w:tc>
        <w:tc>
          <w:tcPr>
            <w:tcW w:w="6328" w:type="dxa"/>
            <w:tcBorders/>
          </w:tcPr>
          <w:p>
            <w:pPr>
              <w:pStyle w:val="TableContents"/>
              <w:bidi w:val="0"/>
              <w:spacing w:before="0" w:after="283"/>
              <w:jc w:val="left"/>
              <w:rPr/>
            </w:pPr>
            <w:r>
              <w:rPr/>
              <w:t xml:space="preserve">If a Tax Credit Event (as defined herein) occurs, we may redeem, at our option, the bonds, in whole but not in part, at a redemption price equal to 101% of the principal amount of the bonds being redeemed plus accrued and unpaid interest to, but excluding, the redemption date. See “Description of the Bonds—Right to Redeem for Tax Credit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this offering, after deducting the underwriting discount and estimated expenses of this offering, are expected to be approximately $    . We intend to use the net proceeds from this offering to repay indebtedness incurred under our commercial paper program and for general corporate purposes. As of August 31, 2026, we had outstanding $511.1 million of short-term indebtedness under our commercial paper program with interest rates ranging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3.83% to 3.94%. Our commercial paper is supported by our master revolving credit facility, which we have used in the past and, depending on market conditions, may continue to use in the future to fund working capital needs. See “Use of Proceeds”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9" w:type="dxa"/>
            <w:tcBorders/>
          </w:tcPr>
          <w:p>
            <w:pPr>
              <w:pStyle w:val="TableContents"/>
              <w:bidi w:val="0"/>
              <w:spacing w:before="0" w:after="283"/>
              <w:jc w:val="left"/>
              <w:rPr/>
            </w:pPr>
            <w:r>
              <w:rPr/>
              <w:t xml:space="preserve">Certain of the underwriters or their affiliates may hold a portion of our outstanding commercial paper that may be repaid using the net proceeds of this offering. In such an event, it is possible that one or more of the underwriters or their affiliates could receive 5% or more of the net proceeds of this offering, and in that case such underwriter would be deemed to have a conflict of interest under Rule 5121 (Public Offerings of Securities with Conflicts of Interest) of the Financial Industry Regulatory Authority, Inc. (“FINRA Rule 5121”). In the event of any such conflict of interest, such underwriter would be required to conduct the distribution of the bonds in accordance with FINRA Rule 5121. See “Underwriting (Conflicts of Interest)—Conflicts of Interest”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Before deciding to invest in any of the bonds, you should carefully consider all of the information set forth under “Risk Factors” beginning on page S-11 of this prospectus supplement and other information incorporated by reference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of the Bonds </w:t>
            </w:r>
          </w:p>
        </w:tc>
        <w:tc>
          <w:tcPr>
            <w:tcW w:w="6328" w:type="dxa"/>
            <w:tcBorders/>
          </w:tcPr>
          <w:p>
            <w:pPr>
              <w:pStyle w:val="TableContents"/>
              <w:bidi w:val="0"/>
              <w:spacing w:before="0" w:after="283"/>
              <w:jc w:val="left"/>
              <w:rPr/>
            </w:pPr>
            <w:r>
              <w:rPr/>
              <w:t xml:space="preserve">We do not intend to list the bonds on any securities exchange or seek their quotation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The Bank of New York Mellon Trust Company, N.A. (as successor to Harris Trust and Savings Bank)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of consolidated financial data for the years ended December 31, 2023 through December 31, 2025 has been derived from our audited consolidated financial statements and related notes, incorporated by reference in this prospectus supplement. The following summary of consolidated financial data for each of the six months ended June 30, 2026 and June 30, 2025 has been derived from our unaudited consolidated financial statements and related notes, incorporated by reference in this prospectus supplement.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846"/>
        <w:gridCol w:w="195"/>
        <w:gridCol w:w="140"/>
        <w:gridCol w:w="740"/>
        <w:gridCol w:w="164"/>
        <w:gridCol w:w="153"/>
        <w:gridCol w:w="140"/>
        <w:gridCol w:w="740"/>
        <w:gridCol w:w="164"/>
        <w:gridCol w:w="153"/>
        <w:gridCol w:w="140"/>
        <w:gridCol w:w="848"/>
        <w:gridCol w:w="164"/>
        <w:gridCol w:w="153"/>
        <w:gridCol w:w="140"/>
        <w:gridCol w:w="848"/>
        <w:gridCol w:w="164"/>
        <w:gridCol w:w="153"/>
        <w:gridCol w:w="140"/>
        <w:gridCol w:w="847"/>
        <w:gridCol w:w="173"/>
      </w:tblGrid>
      <w:tr>
        <w:trPr/>
        <w:tc>
          <w:tcPr>
            <w:tcW w:w="384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8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991" w:type="dxa"/>
            <w:gridSpan w:val="18"/>
            <w:tcBorders/>
            <w:vAlign w:val="bottom"/>
          </w:tcPr>
          <w:p>
            <w:pPr>
              <w:pStyle w:val="TableContents"/>
              <w:bidi w:val="0"/>
              <w:spacing w:before="0" w:after="283"/>
              <w:jc w:val="center"/>
              <w:rPr>
                <w:b/>
              </w:rPr>
            </w:pPr>
            <w:r>
              <w:rPr>
                <w:b/>
              </w:rPr>
              <w:t>(in millions)</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Statement Data:</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1,542.6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1,442.6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3,060.3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3,007.1</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2,698.4</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1,134.8</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1,087.6</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2,258.6</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2,216.4</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2,107.8</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407.8</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355.0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801.7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790.7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590.6</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288.2</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234.4</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563.3</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565.0</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384.5</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Evergy Kansas Central, Inc.</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282.0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228.2</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551.0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552.7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372.2</w:t>
            </w:r>
          </w:p>
        </w:tc>
        <w:tc>
          <w:tcPr>
            <w:tcW w:w="173"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472.7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388.9</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1,028.9</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1,040.0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1,017.9</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used in investing activities</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(632.7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(673.7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(1,176.7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(1,197.2</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(1,317.3</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161.8</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287.1</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149.4</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151.7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299.9</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305.5</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286.3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579.2</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561.7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515.5</w:t>
            </w:r>
          </w:p>
        </w:tc>
        <w:tc>
          <w:tcPr>
            <w:tcW w:w="173"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nuclear fuel</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16.9</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16.1</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27.4</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28.1</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30.9</w:t>
            </w:r>
          </w:p>
        </w:tc>
        <w:tc>
          <w:tcPr>
            <w:tcW w:w="173"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(719.7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(662.0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(1,298.3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(1,274.6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(1,196.8</w:t>
            </w:r>
          </w:p>
        </w:tc>
        <w:tc>
          <w:tcPr>
            <w:tcW w:w="17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4902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2025</w:t>
      </w:r>
      <w:r>
        <w:rPr>
          <w:rFonts w:ascii="Times New Roman" w:hAnsi="Times New Roman"/>
          <w:sz w:val="20"/>
        </w:rPr>
        <w:t xml:space="preserve"> </w:t>
      </w:r>
      <w:r>
        <w:rPr>
          <w:rFonts w:ascii="Times New Roman" w:hAnsi="Times New Roman"/>
          <w:i/>
          <w:sz w:val="20"/>
        </w:rPr>
        <w:t xml:space="preserve">for a description of additional uncertainties associated with our business, results of operations and financial condition and the forward-looking statements included or incorporated by reference in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Bonds </w:t>
      </w:r>
    </w:p>
    <w:p>
      <w:pPr>
        <w:pStyle w:val="TextBody"/>
        <w:bidi w:val="0"/>
        <w:spacing w:before="120" w:after="0"/>
        <w:jc w:val="left"/>
        <w:rPr>
          <w:rFonts w:ascii="Times New Roman" w:hAnsi="Times New Roman"/>
          <w:b/>
          <w:sz w:val="20"/>
        </w:rPr>
      </w:pPr>
      <w:r>
        <w:rPr>
          <w:rFonts w:ascii="Times New Roman" w:hAnsi="Times New Roman"/>
          <w:b/>
          <w:sz w:val="20"/>
        </w:rPr>
        <w:t xml:space="preserve">Indebtedness — Our indebtedness could adversely affect our ability to fulfill our obligations under the bonds.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indebtedness and debt service obligations are significant. Our consolidated interest expense was approximately $241.2 million for the year ended December 31, 2025 and $128.7 million for the six months ended June 30, 2026. As of June 30, 2026, our total consolidated long-term debt, including current maturities, was approximately $5.3 billion, excluding debt of variable interest entities, contractual obligations and other commitments.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facility and in the mortgage, which governs the bonds being issued hereby, and any other agreements under which we incur debt. </w:t>
      </w:r>
    </w:p>
    <w:p>
      <w:pPr>
        <w:pStyle w:val="TextBody"/>
        <w:bidi w:val="0"/>
        <w:spacing w:before="240" w:after="0"/>
        <w:jc w:val="left"/>
        <w:rPr>
          <w:rFonts w:ascii="Times New Roman" w:hAnsi="Times New Roman"/>
          <w:sz w:val="20"/>
        </w:rPr>
      </w:pPr>
      <w:r>
        <w:rPr>
          <w:rFonts w:ascii="Times New Roman" w:hAnsi="Times New Roman"/>
          <w:sz w:val="20"/>
        </w:rPr>
        <w:t xml:space="preserve">Our debt could have important consequences to holders of the bonds,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prevailing interest rates increase, our interest expense could increase because some of our indebtedness bears interest at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leverage increases our vulnerability to economic downturns, and adverse competitive and industry conditions could place us at a competitive disadvantage compared to those of our competitors that are less leveraged;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Guarantees — Our parent company is not guaranteeing the bonds and you should not rely upon information relating to our parent company in determining whether to invest in the bonds.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“Where You Can Find More Information,” we and our parent company, Evergy, separately file combined annual and quarterly and, at times, combined current reports. However, only the information related to Evergy Kansas Central and its consolidated subsidiaries is incorporated by reference in this prospectus supplement. You should not rely on any information relating solely to Evergy or its subsidiaries (other than Evergy Kansas Central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premium, if any, or interest on, the bonds or any other amount that may be required to be paid under the mortgage or the bonds, preventing or curing an event of default under the terms of the mortgage, complying with any other obligation under the mortgage or the bonds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Prior Market for the bonds—There is no prior market for the bonds, and if a market develops, it may not be liquid and prices of the bonds may vary. </w:t>
      </w:r>
    </w:p>
    <w:p>
      <w:pPr>
        <w:pStyle w:val="TextBody"/>
        <w:bidi w:val="0"/>
        <w:spacing w:before="120" w:after="0"/>
        <w:jc w:val="left"/>
        <w:rPr>
          <w:rFonts w:ascii="Times New Roman" w:hAnsi="Times New Roman"/>
          <w:sz w:val="20"/>
        </w:rPr>
      </w:pPr>
      <w:r>
        <w:rPr>
          <w:rFonts w:ascii="Times New Roman" w:hAnsi="Times New Roman"/>
          <w:sz w:val="20"/>
        </w:rPr>
        <w:t>We do not intend to list the bonds on any securities exchange or to seek their quotation on any automated dealer quotation system</w:t>
      </w:r>
      <w:r>
        <w:rPr>
          <w:rFonts w:ascii="Times New Roman" w:hAnsi="Times New Roman"/>
          <w:i/>
          <w:sz w:val="20"/>
        </w:rPr>
        <w:t xml:space="preserve">. </w:t>
      </w:r>
      <w:r>
        <w:rPr>
          <w:rFonts w:ascii="Times New Roman" w:hAnsi="Times New Roman"/>
          <w:sz w:val="20"/>
        </w:rPr>
        <w:t>We cannot assure holders of the bonds that any liquid market for the bonds will ever develop or be maintained</w:t>
      </w:r>
      <w:r>
        <w:rPr>
          <w:rFonts w:ascii="Times New Roman" w:hAnsi="Times New Roman"/>
          <w:i/>
          <w:sz w:val="20"/>
        </w:rPr>
        <w:t xml:space="preserve">. </w:t>
      </w:r>
      <w:r>
        <w:rPr>
          <w:rFonts w:ascii="Times New Roman" w:hAnsi="Times New Roman"/>
          <w:sz w:val="20"/>
        </w:rPr>
        <w:t>The underwriters have advised us that they currently intend to make a market in the bonds following this offering</w:t>
      </w:r>
      <w:r>
        <w:rPr>
          <w:rFonts w:ascii="Times New Roman" w:hAnsi="Times New Roman"/>
          <w:i/>
          <w:sz w:val="20"/>
        </w:rPr>
        <w:t xml:space="preserve">. </w:t>
      </w:r>
      <w:r>
        <w:rPr>
          <w:rFonts w:ascii="Times New Roman" w:hAnsi="Times New Roman"/>
          <w:sz w:val="20"/>
        </w:rPr>
        <w:t>However, the underwriters have no obligation to make a market in the bonds and, at their sole discretion, they may stop at any time</w:t>
      </w:r>
      <w:r>
        <w:rPr>
          <w:rFonts w:ascii="Times New Roman" w:hAnsi="Times New Roman"/>
          <w:i/>
          <w:sz w:val="20"/>
        </w:rPr>
        <w:t xml:space="preserve">. </w:t>
      </w:r>
      <w:r>
        <w:rPr>
          <w:rFonts w:ascii="Times New Roman" w:hAnsi="Times New Roman"/>
          <w:sz w:val="20"/>
        </w:rPr>
        <w:t>Further, there can be no assurance as to the liquidity of any market that may develop for the bonds, holders’ ability to sell their bonds or the price at which holders will be able to sell their bonds</w:t>
      </w:r>
      <w:r>
        <w:rPr>
          <w:rFonts w:ascii="Times New Roman" w:hAnsi="Times New Roman"/>
          <w:i/>
          <w:sz w:val="20"/>
        </w:rPr>
        <w:t xml:space="preserve">. </w:t>
      </w:r>
      <w:r>
        <w:rPr>
          <w:rFonts w:ascii="Times New Roman" w:hAnsi="Times New Roman"/>
          <w:sz w:val="20"/>
        </w:rPr>
        <w:t>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hAnsi="Times New Roman"/>
          <w:i/>
          <w:sz w:val="20"/>
        </w:rPr>
        <w:t xml:space="preserve">. </w:t>
      </w:r>
      <w:r>
        <w:rPr>
          <w:rFonts w:ascii="Times New Roman" w:hAnsi="Times New Roman"/>
          <w:sz w:val="20"/>
        </w:rPr>
        <w:t xml:space="preserve">Any trading market that develops would be affected by many factors independent of and in addition to the foregoing,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the maturity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amount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related to optional redemption of the bonds;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direction and volatility of market interest rates generally.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and ratings on the bonds may be decreased, suspended or withdrawn and may not reflect all risks of your investment in the bonds. </w:t>
      </w:r>
    </w:p>
    <w:p>
      <w:pPr>
        <w:pStyle w:val="TextBody"/>
        <w:bidi w:val="0"/>
        <w:spacing w:before="120" w:after="0"/>
        <w:jc w:val="left"/>
        <w:rPr>
          <w:rFonts w:ascii="Times New Roman" w:hAnsi="Times New Roman"/>
          <w:sz w:val="20"/>
        </w:rPr>
      </w:pPr>
      <w:r>
        <w:rPr>
          <w:rFonts w:ascii="Times New Roman" w:hAnsi="Times New Roman"/>
          <w:sz w:val="20"/>
        </w:rPr>
        <w:t xml:space="preserve">Evergy Kansas Central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Kansas Central’s credit ratings could decrease as a result of events directly affecting Evergy and its subsidiaries (other than Evergy Kansas Central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Central’s credit ratings are an assessment by rating agencies of our ability to pay our debts when due. Consequently, real or anticipated changes in our credit ratings will generally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Tax Credit Event occurs, we may redeem the bonds. </w:t>
      </w:r>
    </w:p>
    <w:p>
      <w:pPr>
        <w:pStyle w:val="TextBody"/>
        <w:bidi w:val="0"/>
        <w:spacing w:before="120" w:after="0"/>
        <w:jc w:val="left"/>
        <w:rPr>
          <w:rFonts w:ascii="Times New Roman" w:hAnsi="Times New Roman"/>
          <w:sz w:val="20"/>
        </w:rPr>
      </w:pPr>
      <w:r>
        <w:rPr>
          <w:rFonts w:ascii="Times New Roman" w:hAnsi="Times New Roman"/>
          <w:sz w:val="20"/>
        </w:rPr>
        <w:t xml:space="preserve">If a Tax Credit Event occurs, we may redeem at our option the bonds as described under “Description of the Bonds—Right to Redeem for Tax Credit Event.” A “Tax Credit Event” occurs with respect to the bonds if, in our reasonable determination, there exists a material risk, due to the bonds (considered together with other debt) having been issued, as part of an original issuance, to one or more “specified foreign entities,” as defined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bonds for this reason would be at a redemption price equal to 101% of the principal amount of the bonds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Tax Credit Event occurs, and your bonds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bonds that are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4902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this offering, after deducting the underwriting discount and estimated expenses payable by us, will be approximately $    million. We intend to use the net proceeds from this offering to repay indebtedness incurred under our commercial paper program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As of August 31, 2026, we had outstanding $511.1 million of short-term indebtedness under our commercial paper program with interest rates ranging from 3.83% to 3.94%. Our commercial paper is supported by our master revolving credit facility, which we have used in the past and, depending on market conditions, may continue to use in the future to fund working capital needs. </w:t>
      </w:r>
    </w:p>
    <w:p>
      <w:pPr>
        <w:pStyle w:val="TextBody"/>
        <w:bidi w:val="0"/>
        <w:spacing w:before="240" w:after="0"/>
        <w:jc w:val="left"/>
        <w:rPr>
          <w:rFonts w:ascii="Times New Roman" w:hAnsi="Times New Roman"/>
          <w:sz w:val="20"/>
        </w:rPr>
      </w:pPr>
      <w:r>
        <w:rPr>
          <w:rFonts w:ascii="Times New Roman" w:hAnsi="Times New Roman"/>
          <w:sz w:val="20"/>
        </w:rPr>
        <w:t xml:space="preserve">A portion of the net proceeds may be invested temporarily in short-term interest-bearing accounts, securities or similar investments until they are used for their intended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affiliates may own some of our outstanding commercial paper, the repayment of which would be funded with a portion of the net proceeds from the sale of the bonds. See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49029_7"/>
      <w:bookmarkEnd w:id="9"/>
      <w:r>
        <w:rPr>
          <w:rFonts w:ascii="Times New Roman" w:hAnsi="Times New Roman"/>
          <w:b/>
          <w:sz w:val="20"/>
        </w:rPr>
        <w:t xml:space="preserve">DESCRIPTION OF THE BONDS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$    aggregate principal amount of our First Mortgage Bonds,    % Series due 20   (the “bonds”), which will mature on     , 20  . The bonds will be a separate series of securities issued and secured by the Mortgage and Deed of Trust, dated as of July 1, 1939, between us and The Bank of New York Mellon Trust Company, N.A. (as successor to Harris Trust and Savings Bank), as trustee (the “trustee”), as supplemented and amended (the “mortgage”), including by the Fifty-Sixth Supplemental Indenture, to be dated as of     , 2026. The terms of the bonds include those stated in the mortgage and those made part of the mortgage by reference to the Trust Indenture Act of 1939, as amended. The mortgage provides that we will have the ability to issue securities with terms different from those of the bonds. Copies of the mortgage and the form of bonds are available from us upon request.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along with the additional information contained in the accompanying prospectus under “Description of First Mortgage Bonds” (as modified by the amendments described under “—Amendments to Mortgage” below), is a summary of the material provisions of the mortgage and the bonds. Because this is a summary, it may not contain all the information that is important to you. For further information, you should read the mortgage and the bonds. As used in this section of this prospectus supplement, the terms “we,” “us” and “our” refer solely to Evergy Kansas Central, Inc., and such references do not include any subsidiary of Evergy Kansas Central, Inc. </w:t>
      </w:r>
    </w:p>
    <w:p>
      <w:pPr>
        <w:pStyle w:val="TextBody"/>
        <w:bidi w:val="0"/>
        <w:spacing w:before="360" w:after="0"/>
        <w:jc w:val="left"/>
        <w:rPr>
          <w:rFonts w:ascii="Times New Roman" w:hAnsi="Times New Roman"/>
          <w:b/>
          <w:sz w:val="20"/>
        </w:rPr>
      </w:pPr>
      <w:r>
        <w:rPr>
          <w:rFonts w:ascii="Times New Roman" w:hAnsi="Times New Roman"/>
          <w:b/>
          <w:sz w:val="20"/>
        </w:rPr>
        <w:t xml:space="preserve">Basic Terms of the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secured equally and ratably with all other bonds outstanding or hereafter issued under our mortgage;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an initial aggregate principal amount of $    ;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mature on     , 20  , with interest payable semi-annually in arrears on each      and     , beginning on     ,    , to the persons in whose names the bonds are registered at the close of business on the record date for the interest payment date, which will be the close of business on (i) the Business Day (as defined in the mortgage) immediately preceding such interest payment date so long as all of the bonds remain in book-entry only form or (ii) the fifteenth calendar day immediately preceding each interest payment date if any of the bonds do not remain in book-entry only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issuable in fully-registered book-entry form, in denominations of $2,000 and in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after giving effect to this offering and the use of proceeds therefrom, we would have had total indebtedness on our consolidated balance sheet of approximately $    billion (excluding intracompany debt, trade payables and debt of variable interest entities). Of this amount, approximately $814.4 million would have been structurally senior to the bonds because our subsidiaries are the obligors under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bonds will be computed on the basis of a 360-day year consisting of twelve 30-day months. Interest on the bonds will accrue from the date of original issuance, or from the most recent interest payment date on which interest has been paid and will be payable semi-annually on the interest payment dates described above. If any date on which interest is payable on the bonds is not a Business Day, then payment of the interest payable on such date will be made on the next succeeding day which is a Business Day (and without any interest or other payment in respect of any such delay), with the same force and effect as if made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payment and transfer procedures for the bonds, see “— Book-Entry System” below.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 20   (the date that is     months prior to the maturity date of the bonds (the “Par Call Date”)), we may redeem the bonds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bonds plus    basis points less (b) interest accrued to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bonds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bonds at our option, in whole or in part, at any time and from time to time, at a redemption price equal to 100% of the principal amount of the bonds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optional redemption provisions, the following term has the following meaning: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H.15 exactly equal to the period from the redemption date to the Par Call Date (the “Remaining Life”);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our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such redemption will be mailed or electronically delivered (or otherwise transmitted in accordance with the depositary’s procedures) at least 10 days but not more than 60 days before the redemption date to each holder of the bonds.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bonds or portions of the bonds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bonds that are due and payable on interest payment dates falling on or prior to a redemption date will be payable on the interest payment date to the registered holders as of the close of business on the relevant record date according to the bonds and the mortgage. </w:t>
      </w:r>
    </w:p>
    <w:p>
      <w:pPr>
        <w:pStyle w:val="TextBody"/>
        <w:bidi w:val="0"/>
        <w:spacing w:before="240" w:after="0"/>
        <w:jc w:val="left"/>
        <w:rPr>
          <w:rFonts w:ascii="Times New Roman" w:hAnsi="Times New Roman"/>
          <w:sz w:val="20"/>
        </w:rPr>
      </w:pPr>
      <w:r>
        <w:rPr>
          <w:rFonts w:ascii="Times New Roman" w:hAnsi="Times New Roman"/>
          <w:sz w:val="20"/>
        </w:rPr>
        <w:t xml:space="preserve">Any notice to holders of the bonds of a redemption shall state, among other things, the redemption price and date. 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If any of these events fail to occur and are not waived by us, we will be under no obligation to redeem the bonds or pay the holders any redemption proceeds and our failure to so redeem the bonds will not be considered a default or event of default under the mortgage. In the event that any of these conditions fail to occur or are not waived by us, we will promptly notify the trustee in writing that the conditions precedent to such redemption have failed to occur and the bonds will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less than all of the outstanding bonds, the bonds to be redeemed will be selected in accordance with the policies and procedures of The Depository Trust Company (or any successor depositary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provided that in the event the bonds are no longer held in global form through DTC, the bonds to be redeemed will be selected by the trustee by lot. We will not be responsible for giving notice of a redemption of the bonds to anyone other than DTC.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to applicable law (including, without limitation, United States federal securities laws), we or our affiliates may, at any time and from time to time, purchase outstanding bonds by tender, in the open market or by private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Right to Redeem for Tax Credit Event </w:t>
      </w:r>
    </w:p>
    <w:p>
      <w:pPr>
        <w:pStyle w:val="TextBody"/>
        <w:bidi w:val="0"/>
        <w:spacing w:before="120" w:after="0"/>
        <w:jc w:val="left"/>
        <w:rPr>
          <w:rFonts w:ascii="Times New Roman" w:hAnsi="Times New Roman"/>
          <w:sz w:val="20"/>
        </w:rPr>
      </w:pPr>
      <w:r>
        <w:rPr>
          <w:rFonts w:ascii="Times New Roman" w:hAnsi="Times New Roman"/>
          <w:sz w:val="20"/>
        </w:rPr>
        <w:t xml:space="preserve">If a Tax Credit Event (as defined below) occurs, we may redeem, upon the sending of a notice of redemption to the holders, the bonds, in whole but not in part, at a redemption price equal to 101% of the principal amount of the bonds being redeemed plus accrued and unpaid interest to, but excluding, the redemption date. A notice of redemption of the bonds upon the occurrence of a Tax Credit Event (i) may only be sent by the later of (a) the end of the calendar year in which the bonds were issued and (b) six months from the date of issuance of the bonds and (ii) shall be accompanied by a certificate from one of our officers stating that such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A “Tax Credit Event” occurs with respect to the bonds if, in our reasonable determination, there exists a material risk, due to the bonds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such redemption will be mailed or electronically delivered (or otherwise transmitted in accordance with the depositary’s procedures) at least 10 days but not more than 60 days before the redemption date to each holder of the bonds. </w:t>
      </w:r>
    </w:p>
    <w:p>
      <w:pPr>
        <w:pStyle w:val="TextBody"/>
        <w:bidi w:val="0"/>
        <w:spacing w:before="360" w:after="0"/>
        <w:jc w:val="left"/>
        <w:rPr>
          <w:rFonts w:ascii="Times New Roman" w:hAnsi="Times New Roman"/>
          <w:b/>
          <w:sz w:val="20"/>
        </w:rPr>
      </w:pPr>
      <w:r>
        <w:rPr>
          <w:rFonts w:ascii="Times New Roman" w:hAnsi="Times New Roman"/>
          <w:b/>
          <w:sz w:val="20"/>
        </w:rPr>
        <w:t xml:space="preserve">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prior to maturity or sinking fund payments for the bonds. </w:t>
      </w:r>
    </w:p>
    <w:p>
      <w:pPr>
        <w:pStyle w:val="TextBody"/>
        <w:bidi w:val="0"/>
        <w:spacing w:before="360" w:after="0"/>
        <w:jc w:val="left"/>
        <w:rPr>
          <w:rFonts w:ascii="Times New Roman" w:hAnsi="Times New Roman"/>
          <w:b/>
          <w:sz w:val="20"/>
        </w:rPr>
      </w:pPr>
      <w:r>
        <w:rPr>
          <w:rFonts w:ascii="Times New Roman" w:hAnsi="Times New Roman"/>
          <w:b/>
          <w:sz w:val="20"/>
        </w:rPr>
        <w:t xml:space="preserve">Reopening of Bond Series </w:t>
      </w:r>
    </w:p>
    <w:p>
      <w:pPr>
        <w:pStyle w:val="TextBody"/>
        <w:bidi w:val="0"/>
        <w:spacing w:before="120" w:after="0"/>
        <w:jc w:val="left"/>
        <w:rPr>
          <w:rFonts w:ascii="Times New Roman" w:hAnsi="Times New Roman"/>
          <w:sz w:val="20"/>
        </w:rPr>
      </w:pPr>
      <w:r>
        <w:rPr>
          <w:rFonts w:ascii="Times New Roman" w:hAnsi="Times New Roman"/>
          <w:sz w:val="20"/>
        </w:rPr>
        <w:t xml:space="preserve">We may, without the consent of the holders of the bonds offered hereby, issue additional bonds ranking equally with the bonds of any series under the mortgage then outstanding, including the bonds offered hereby, having dates, maturities, interest rates, redemption prices and other terms as our board of directors may determine only if certain conditions in the mortgage are satisfied. See “—Amendments to Mortgage—Issuance of Additional Bonds”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limits contained in the mortgage, we may, from time to time, at our option and without the consent of any holder of the bonds offered hereby, reopen this series for the issuance of additional first mortgage bonds, on the same terms and conditions (other than the issue date, the date and amount of the first interest payment, the issue price and any other changes required by law), in each case, as the bonds being offered by this prospectus supplement. We do not plan to inform the existing holders if we reopen a series of first mortgage bonds to issue and sell additional first mortgage bonds of such series in the future. Additional first mortgage bonds issued in this way will be consolidated with and form a single series with the series of bonds being offered by this prospectus supplement, provided that if any such additional first mortgage bonds are not fungible for U.S. federal income tax purposes with the bonds offered hereby, such additional first mortgage bonds will be issued under a separate CUSIP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approximately $2.6 billion in aggregate principal amount of additional first mortgage bonds could be issued under the most restrictive provisions of the mortgage, without giving effect to the issuance of the bonds offered hereby and the use of proceeds described under “Use of Proceeds”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Mortgage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Fifty-Fourth Supplemental Indenture to the mortgage, dated as of November 25, 2025, between us and the trustee, certain amendments to the mortgage were effectuated (the “Mortgage Amendments”). </w:t>
      </w:r>
    </w:p>
    <w:p>
      <w:pPr>
        <w:pStyle w:val="TextBody"/>
        <w:bidi w:val="0"/>
        <w:spacing w:before="240" w:after="0"/>
        <w:jc w:val="left"/>
        <w:rPr>
          <w:rFonts w:ascii="Times New Roman" w:hAnsi="Times New Roman"/>
          <w:sz w:val="20"/>
        </w:rPr>
      </w:pPr>
      <w:r>
        <w:rPr>
          <w:rFonts w:ascii="Times New Roman" w:hAnsi="Times New Roman"/>
          <w:sz w:val="20"/>
        </w:rPr>
        <w:t xml:space="preserve">The Mortgage Amendments are generally described under “Description of First Mortgage Bonds” in the accompanying prospectus, including in the third and fourth paragraphs (other than, with some exceptions, clause (5) of the fourth paragraph) under “—Modification of the Mortgage” therein. As a result of the Mortgage Amendments, the three sections set forth below replace and supersede in their entireties the corresponding sections in the accompanying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Additional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70% of the net bondable value of property additions not subject to an unfunded prior lien;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bonds retired or to be retired (except out of trust monies);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deposited with the trustee for such purpose, which may thereafter be withdrawn upon the same basis that additional bonds are issuable under clause (1) or (2)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bonds may not be issued on the basis of property additions subject to an unfunded prior lien.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Release and Substitution of Property </w:t>
      </w:r>
    </w:p>
    <w:p>
      <w:pPr>
        <w:pStyle w:val="TextBody"/>
        <w:bidi w:val="0"/>
        <w:spacing w:before="120" w:after="0"/>
        <w:jc w:val="left"/>
        <w:rPr>
          <w:rFonts w:ascii="Times New Roman" w:hAnsi="Times New Roman"/>
          <w:sz w:val="20"/>
        </w:rPr>
      </w:pPr>
      <w:r>
        <w:rPr>
          <w:rFonts w:ascii="Times New Roman" w:hAnsi="Times New Roman"/>
          <w:sz w:val="20"/>
        </w:rPr>
        <w:t xml:space="preserve">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70%, or the deposit with the trustee of bonds we have acquired. The mortgage contains special provisions with respect to the release of all or substantially all of our gas and electric properties. </w:t>
      </w:r>
    </w:p>
    <w:p>
      <w:pPr>
        <w:pStyle w:val="TextBody"/>
        <w:bidi w:val="0"/>
        <w:spacing w:before="240" w:after="0"/>
        <w:jc w:val="left"/>
        <w:rPr>
          <w:rFonts w:ascii="Times New Roman" w:hAnsi="Times New Roman"/>
          <w:sz w:val="20"/>
        </w:rPr>
      </w:pPr>
      <w:r>
        <w:rPr>
          <w:rFonts w:ascii="Times New Roman" w:hAnsi="Times New Roman"/>
          <w:sz w:val="20"/>
        </w:rPr>
        <w:t xml:space="preserve">The mortgage also permits (1)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and (2)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mortgage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bond when the same shall become due and payable, whether at maturity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continuing for 30 days in the payment of any installment of interest on any bond or in the payment or satisfaction of any sinking fund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prior lien bond when the same shall become due and payable, whether at maturity or otherwise, or default in the payment of any installment on interest on any prior lien bond beyond the applicable grace period specific in such prior lien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Substitution of Bonds </w:t>
      </w:r>
    </w:p>
    <w:p>
      <w:pPr>
        <w:pStyle w:val="TextBody"/>
        <w:bidi w:val="0"/>
        <w:spacing w:before="120" w:after="0"/>
        <w:jc w:val="left"/>
        <w:rPr>
          <w:rFonts w:ascii="Times New Roman" w:hAnsi="Times New Roman"/>
          <w:sz w:val="20"/>
        </w:rPr>
      </w:pPr>
      <w:r>
        <w:rPr>
          <w:rFonts w:ascii="Times New Roman" w:hAnsi="Times New Roman"/>
          <w:sz w:val="20"/>
        </w:rPr>
        <w:t xml:space="preserve">We or any successor entity will have the right to substitute mortgage bonds or other similar secured instruments for the bonds offered hereby, provided that (1) such substitute mortgage bonds or other similar secured instruments have terms that are (x) identical to those of the bonds offered hereby as to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outstanding and the then current interest rate, maturity date, interest payment dates and optional redemption provisions and (y) otherwise substantially similar to those of the bonds offered hereby and carry ratings equal to or better than the then current ratings of the bonds offered hereby, (2) we deliver to the trustee an opinion of counsel that such substitution will not result in the recognition of capital gain or loss for U.S. federal income tax purposes to the holders of the bonds offered hereby and (3) we deliver certain other certificates and documents, as required by the supplemental indenture to the mortgage related to the bonds offered hereby to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and the beneficial owners of such bonds will be entitled only to those rights and benefits afforded to them in accordance with the depositary’s regular operating procedures. The depositary has confirmed to us, the underwriters and the trustee that it intends to follow such procedures with respect to the bonds. A further description of the depositary’s procedures with respect to global securities is set forth in the accompanying prospectus under “Book-Entry System.”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and our affiliates maintain corporate trust and other banking relationships (including borrowing) with The Bank of New York Mellon Trust Company, N.A.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49029_8"/>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that may be relevant to the purchase, ownership and disposition of the bonds. This discussion does not address all aspects of taxation that may be relevant to a particular holder of the bonds in light of the holder’s personal investment or tax circumstances, or to certain types of holders that are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or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have elected the mark-to-market method of accounting for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the bonds as part of a “straddle,” a “hedge,” a “constructive sale” transaction, or a “conversion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liable for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U.S. citizens or U.S. long-term residents or expatriates;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that have a “functional currency” other than the U.S. dollar or that hold bonds through a non-U.S. broker or other non-U.S. intermediary;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 the bonds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accruals with respect to the bonds to their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entities or arrangements treated as partnerships for U.S. federal income tax purposes) and investors in such partnerships (or such other pass-through entities or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assumes that the bonds are held as capital assets within the meaning of Section 1221 of the Internal Revenue Code of 1986, as amended (the “Code”), for U.S. federal income tax purposes, which generally means property held for investment. In addition, this discussion only addresses the U.S. federal income tax consequences to initial investors that purchase the bonds for cash, at the offering price set forth for such bonds on the cover page of this prospectus supplement and does not discuss the tax consequences for subsequent purchasers of the bonds. It does not consider any tax consequences arising out of U.S. federal gift, generation-skipping, estate or any other U.S. federal tax laws other than U.S. federal income tax laws, under the tax laws of any foreign, state, local or other jurisdiction or pursuant to any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purposes of this discussion, any entity or arrangement that is treated as a partnership for U.S. federal income tax purposes, holds the bonds, the treatment of a partner in the partnership will generally depend on the status of the partner and the activities of the partnership. If you are a partnership that is considering purchasing bonds (or a partner in such partnership), you should consult with your tax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is based upon the Code, applicable Treasury regulations promulgated thereunder, judicial authority and administrative interpretations as of the date hereof, all of which are subject to change or different interpretation,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consult your own tax advisor about the particular U.S. federal, state, local and foreign tax consequences of the purchase, ownership and disposition of the bonds and the application of the U.S. federal income tax laws to your particular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A “U.S. holder” is a beneficial owner of bonds that, for U.S. federal income tax purposes, is not a partnership or other pass-through entity or arrangement that is treated as a partnership (which, as indicated above, we do not address herein)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U.S. federal income tax purposes) created or organized under the laws of the United States, any of its states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court within the United States is able to exercise primary supervision over the administration of such trust and one or more United States persons (as defined in the Code) have the authority to control all substantial decisions of the trust or (2) it has a valid election in place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If we exercise our right to redeem the bonds, we may be obligated to redeem the bonds at a redemption price in excess of the stated principal thereof and interest thereon as described under “Description of the Bonds – Optional Redemption” and “– Right to Redeem for Tax Credit Event” herein.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Assuming this position is respected, you would be required to include in income such additional amounts at the time the payments are received or accrued in accordance with your method of accounting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If the bonds are issued at a discount from their stated redemption price at maturity, it is expected, and this discussion assumes, that any such discount will be less than the statutorily defined de minimis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stated interest on the bonds generally will be taxable to a U.S. holder as ordinary interest income at the time such interest is received or accrued in accordance with the U.S. holder’s regular method of accounting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Taxable Disposition of Bonds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taxable gain or loss on the sale, exchange, redemption, retirement or other taxable disposition of a bond. The amount of the U.S. holder’s gain or loss will equal the difference between the amount of cash and the fair market value of any other property received by the U.S. holder in exchange for the bond (except to the extent such amount represents accrued but unpaid interest, which will be treated as ordinary interest income to the extent the U.S. holder has not previously included the accrued interest in gross income) minus the U.S. holder’s tax basis in the bond. The U.S. holder’s tax basis in a bond generally will be the price the U.S. holder paid for the bond.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net long-term capital gains of certain non-corporate U.S. holders (including individuals) are eligible for taxation at preferential rates. The deductibility of capital losses against ordinary income is subject to limitations. Each U.S. holder is urged to consult its tax advisor regarding the deductibility of capital losses in its particular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Investment Income Tax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is a beneficial owner of bonds that is neither (i) a U.S. holder nor (ii) a partnership or other pass-through entity or arrangement that is treated as a partnership for U.S. federal income tax purposes (which, as indicated above, we do not address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the Bonds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 the Non-U.S. holder is not (and, if so requested by the paying agent, certifies that it is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constructive owner of 10% or more of the total voting power of all our voting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related (directly or indirectly) to us through stock ownership;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receiving interest on an extension of credit made pursuant to a loan agreement with us entered into in the ordinary course of its trade or business;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our paying agent,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Non-U.S. holder, a properly completed IRS Form W-8BEN or W-8BEN-E (or substitute IRS Form W-8BEN or W-8BEN-E or the appropriate successor form), signed under penalties of perjury, which provides the Non-U.S. holder’s name and address and certifies that the Non-U.S. holder of the bond is not a United States person (as defined in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 securities clearing organization, bank or other financial institution that holds the bonds in the ordinary course of its trade or business (a “financial institution”) on behalf of the Non-U.S. holder, certification under penalties of perjury that such an IRS Form W-8BEN or W-8BEN-E (or substitute IRS Form W-8BEN or W-8BEN-E or the appropriate successor form) has been received by it, or by another such financial institution, from the Non-U.S. holder, and a copy of the IRS Form W-8BEN or W-8BEN-E (or substitute IRS Form W-8BEN or W-8BEN-E or the appropriate successor form) is furnished to the payor.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Special rules may apply to holders that hold bonds through “qualified intermediaries” within the meaning of U.S. federal income tax laws. </w:t>
      </w:r>
    </w:p>
    <w:p>
      <w:pPr>
        <w:pStyle w:val="TextBody"/>
        <w:bidi w:val="0"/>
        <w:spacing w:before="240" w:after="0"/>
        <w:jc w:val="left"/>
        <w:rPr>
          <w:rFonts w:ascii="Times New Roman" w:hAnsi="Times New Roman"/>
          <w:sz w:val="20"/>
        </w:rPr>
      </w:pPr>
      <w:r>
        <w:rPr>
          <w:rFonts w:ascii="Times New Roman" w:hAnsi="Times New Roman"/>
          <w:sz w:val="20"/>
        </w:rPr>
        <w:t xml:space="preserve">If interest on a bond is effectively connected with the conduct by a Non-U.S. holder of a trade or business in the United States and, if the Non-U.S. holder is entitled to the benefits under an applicable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qualify for an exemption from withholding under the preceding paragraphs generally will be subject to withholding of U.S. federal income tax at the rate of 30% (or lower applicable treaty rate if the Non-U.S. holder qualifies for such applicable treaty benefit and certifies such qualification by providing an IRS Form W-8BEN or W-8BEN-E) on payments of interest on the bonds. We will not be obligated to make any “gross up” or additional payments in respect of amounts withheld on the bonds if we determine that we must so withhold in respect of the amounts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required to periodically update their IRS forms.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Taxable Disposition of Bonds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FATCA withholding below, any gain realized by a Non-U.S. holder on the sale, exchange, redemption, retirement or other disposition of a bond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gain is effectively connected with the Non-U.S. holder’s conduct of a trade or business in the United States and, if the Non-U.S. holder is entitled to the benefits under an applicable tax treaty, is attributable to a permanent establishment or a fixed base in the United States;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in the taxable year of such disposition (as determined under the Code) and certain other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bullet point applies, the Non-U.S. holder generally will be subject to U.S. federal income tax with respect to such gain in the same manner as U.S. holders, as described above, unless an applicable income tax treaty provides otherwise. In addition, if such Non-U.S. holder is classified as a corporation, such Non-U.S. holder may also be subject to the branch profits tax described above. If the second bullet point applies, the Non-U.S. holder generally will be subject to U.S. federal income tax at a rate of 30% (or at a reduced rate under an applicable income tax treaty) on the amount by which capital gains from U.S. sources (including gains from the sale, exchange, redemption, retirement or other disposition of the bonds) exceed capital losses allocable to U.S. sources arising in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Gain realized on a disposition of a bond will not include amounts that represent accrued but unpaid interest, which will be treated as described under “—Payments on the Bonds”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interest to a Non-U.S. holder generally will be reported to the IRS and to the Non-U.S. holder. Copies of applicable IRS information returns may be made available under the provisions of a specific tax treaty or agreement to the tax authorities of the country in which the Non-U.S. holder resides. Non-U.S. holders are generally exempt from backup withholding, currently at a rate of 24%, and additional information reporting on payments of principal, premium (if any), or interest on a bond and the payment of proceeds from the sale of a bond, provided that the Non-U.S. holder (a) certifies its nonresident status on the appropriate IRS form (or a suitable substitute form) and certain other conditions are met or (b) otherwise establishes an exemption. Backup withholding is not an additional tax. Any backup withholding generally will be allowed as a credit or refund against the Non-U.S. holder’s U.S. federal income tax liability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provisions of the Code and related Treasury guidance (“FATCA”), a U.S. federal withholding tax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IGA. We will not be obligated to make any “gross up” or additional payments in respect of amounts withheld on the bonds if we determine that we must so withhold in order to comply with FATCA in respect of the amounts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bonds should consult their own tax advisors regarding the application of FATCA to the purchase, ownership and disposition of bonds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49029_9"/>
      <w:bookmarkEnd w:id="11"/>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intend to offer the bonds through the underwriters named below. Subject to the terms and conditions contained in an underwriting agreement, we have agreed to sell to the underwriters, for whom PNC Capital Markets LLC, RBC Capital Markets, LLC, Truist Securities, Inc. and U.S. Bancorp Investments, Inc. are acting as representatives, and the underwriters have agreed to purchase from us, severally and not jointly, the principal amount of the bonds listed opposite their names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26"/>
        <w:gridCol w:w="639"/>
        <w:gridCol w:w="219"/>
        <w:gridCol w:w="1792"/>
        <w:gridCol w:w="63"/>
      </w:tblGrid>
      <w:tr>
        <w:trPr/>
        <w:tc>
          <w:tcPr>
            <w:tcW w:w="4226" w:type="dxa"/>
            <w:tcBorders/>
            <w:vAlign w:val="center"/>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39" w:type="dxa"/>
            <w:tcBorders/>
            <w:vAlign w:val="bottom"/>
          </w:tcPr>
          <w:p>
            <w:pPr>
              <w:pStyle w:val="TableContents"/>
              <w:bidi w:val="0"/>
              <w:spacing w:before="0" w:after="283"/>
              <w:jc w:val="left"/>
              <w:rPr/>
            </w:pPr>
            <w:r>
              <w:rPr/>
              <w:t>  </w:t>
            </w:r>
          </w:p>
        </w:tc>
        <w:tc>
          <w:tcPr>
            <w:tcW w:w="2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r>
          </w:p>
        </w:tc>
        <w:tc>
          <w:tcPr>
            <w:tcW w:w="63" w:type="dxa"/>
            <w:tcBorders/>
            <w:vAlign w:val="bottom"/>
          </w:tcPr>
          <w:p>
            <w:pPr>
              <w:pStyle w:val="TableContents"/>
              <w:bidi w:val="0"/>
              <w:spacing w:before="0" w:after="283"/>
              <w:jc w:val="left"/>
              <w:rPr/>
            </w:pPr>
            <w:r>
              <w:rPr/>
              <w:t> </w:t>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9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26"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3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226"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79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agreed to purchase all of the bonds sold pursuant to the underwriting agreement if any of these bonds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bonds, subject to prior sale, when, as and if issued to and accepted by them, subject to approval of legal matters by their counsel, including the validity of the bonds,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underwriters a discount of  % per bond. The following table shows the total underwriting discount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60"/>
        <w:gridCol w:w="584"/>
        <w:gridCol w:w="168"/>
        <w:gridCol w:w="1048"/>
        <w:gridCol w:w="279"/>
      </w:tblGrid>
      <w:tr>
        <w:trPr/>
        <w:tc>
          <w:tcPr>
            <w:tcW w:w="4860"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79" w:type="dxa"/>
            <w:tcBorders/>
            <w:vAlign w:val="bottom"/>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bond</w:t>
            </w:r>
          </w:p>
        </w:tc>
        <w:tc>
          <w:tcPr>
            <w:tcW w:w="58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86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Bonds sold by the underwriters to the public will initially be offered at the initial price to the public set forth on the cover of this prospectus supplement. Any bonds sold by the underwriters to securities dealers may be sold at a discount from the initial price to the public of up to  % of the principal amount of the bonds. Any such securities dealers may resell any bonds purchased from the underwriters to certain other brokers or dealers at a discount from the initial price to the public of up to  % of the principal amount of the bonds. If all the bonds are not sold at the initial price to the public,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this offering, not including the underwriting discount, are estimated to be approximately $    and are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bonds are a new issue of securities with no established trading market. We do not intend to list the bonds on any securities exchange or seek their quotation on any automated dealer quotation system.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advised us that they intend to make a market in the bonds, but they are not obligated to do so. At their sole discretion, the underwriters may discontinue any market making in the bonds at any time without notice. Accordingly, we cannot assure you that a liquid trading market will develop for the bonds, that you will be able to sell your bonds at a particular time or that the price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 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In connection with these arrangements, affiliates of certain of the underwriters act as lenders. Certain of the underwriters and their respective affiliates are lenders or agents under a master revolving credit facility entered into with Evergy, Evergy Kansas Central and two other subsidiaries of Evergy.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or their affiliates may hold a portion of our outstanding commercial paper that may be repaid using the net proceeds of this offering. In such an event, it is possible that one or more of the underwriters or their affiliates could receive 5% or more of the net proceeds of this offering, and in that case such underwriter would be deemed to have a conflict of interest under FINRA Rule 5121. In the event of any such conflict of interest, such underwriter would be 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Delivery of the bonds is expected to be made against payment therefor on or about the settlement date set forth on the cover page of this prospectus supplement, which will be the      business day following the date of this prospectus supplement (“T+  ”). Under Rule 15c6-1 under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bonds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bonds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bonds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bonds or otherwise making them available to retail investors in the European Economic Area has been prepared and therefore offering or selling the bonds or otherwise making them available to any retail investor in the European Economic Area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bonds in any member state of the European Economic Area will be made pursuant to an exemption under the Prospectus Regulation from the requirement to publish a prospectus for offers of bonds. This prospectus supplement and the accompanying prospectus are not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bonds which are the subject of the offering contemplated by this prospectus supplement to the public in the United Kingdom, except that it may make an offer of such bonds to the public in the United Kingdom: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natural or legal persons (other than qualified investors as defined in paragraph 15 of Schedule 1 to the POATRs) in the United Kingdom, subject to obtaining the prior consent of the relevant underwriter or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bonds to the public” in relation to any bonds, means the communication in any form and by any means of sufficient information on the terms of the offer and the bonds to be offered so as to enable an investor to decide to purchase or subscribe for the bonds,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bonds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POATRs.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and the accompanying prospectus have been prepared on the basis that this offering falls within one of the exceptions specified in Part 1 of Schedule 1 to the POATRs. Accordingly, there will not be a prospectus prepared or published for the purposes of the POATRs. This prospectus supplement and the accompanying prospectus are not a prospectus for the purposes of the POATRs or the Financial Services and Markets Act 2000 (the “FSMA”), and any offer of the bonds in the United Kingdom is made pursuant to an exemption under the POATRs or the FSMA.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is for distribution only to persons in the United Kingdom who are qualified investors (as defined in paragraph 15 of Schedule 1 to the POATRs) and (a) have professional experience in matters relating to investments and who qualify as investment professionals within the meaning of Article 19(5) of the Financial Services and Markets Act 2000 (Financial Promotion) Order 2005 (as amended, the “Financial Promotion Order”), (b) are persons falling within Article 49(2)(a) to (d) (“high net worth companies, unincorporated associations etc.”) of the Financial Promotion Order or (c)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 prospectus under the Israeli Securities Law, 5728-1968 (the “Securities Law”), and have not been filed with or approved by the Israel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Authority. In Israel, this prospectus supplement and the accompanying prospectus are being distributed only to, and are directed only at, and any offer of the bonds is directed only at (i) a limited number of persons in accordance with the Securities Law and (ii) investors listed in the first addendum (as it may be amended from time to time,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bonds have not been and will not be registered under the Financial Instruments and Exchange Act of Japan (Act No. 25 of 1948, as amended) (the “Financial Instruments and Exchange Act”) and the bonds have not been offered or sold and will not be offered or sold, directly or indirectly, in Japan or to, or for the account for or the benefit of, any “resident” of Japan (which term as used herein means any person resident in Japan, including any corporation or other entity organized under the laws of Japan), or to others for re-offering or resale, directly or indirectly, in Japan or to, or the account for or for the benefit of, any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and will not be registered as a prospectus under the Securities and Futures Act 2001 (the “SFA”) by the Monetary Authority of Singapore. Accordingly, this prospectus supplement, the accompanying prospectus or any other document or material in connection with the offer or sale, or invitation for subscription or purchase, of the bonds may not be circulated or distributed, nor may the bonds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bonds are subscribed for or acquired pursuant to an offer made in reliance on Section 275 of the SFA by a Relevant Person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the sole purpose of which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bonds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an Accredited Investor or Relevant Person, or which arises from an offer referred to in Section 275(1A) of the SFA (in the case of that corporation) or Section 276(4)(c)(ii) of the SFA (in the case of that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b/>
          <w:sz w:val="20"/>
        </w:rPr>
        <w:t>Singapore Securities and Futures Act Product Classification—</w:t>
      </w:r>
      <w:r>
        <w:rPr>
          <w:rFonts w:ascii="Times New Roman" w:hAnsi="Times New Roman"/>
          <w:sz w:val="20"/>
        </w:rPr>
        <w:t xml:space="preserve">Solely for the purposes of obligations pursuant to Sections 309B(1)(a) and 309B(1)(c) of the SFA, we have determined, and hereby notify all relevant persons (as defined in Section 309A of the SFA), that the bonds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bonds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or the Abu Dhabi Global Market) governing the issue, offering and sale of securities. Further, this prospectus supplement and the accompanying prospectus do not constitute a public offer of securities in the United Arab Emirates (including the Dubai International Financial Centre or the Abu Dhabi Global Market) and are not intended to be a public offer. This prospectus supplement and the accompanying prospectus have not been approved by or filed with the Central Bank of the United Arab Emirates, the Securities and Commodities Authority or the Dubai Financial Services Authority or the Abu Dhabi Global Market’s Financial Services Regulatory Authority (FSRA).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49029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 At September 1, 2026,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 </w:t>
      </w:r>
    </w:p>
    <w:p>
      <w:pPr>
        <w:pStyle w:val="TextBody"/>
        <w:bidi w:val="0"/>
        <w:spacing w:before="480" w:after="0"/>
        <w:jc w:val="center"/>
        <w:rPr>
          <w:rFonts w:ascii="Times New Roman" w:hAnsi="Times New Roman"/>
          <w:b/>
          <w:sz w:val="20"/>
        </w:rPr>
      </w:pPr>
      <w:bookmarkStart w:id="13" w:name="supprom149029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Evergy Kansas Central, Inc. and subsidiaries as of December 31, 2025 and 2024, and for each of the three years in the period ended December 31, 2025, incorporated by reference in this prospectus supplement, have been audited by Deloitte &amp; Touche LLP, an independent registered public accounting firm, as stated in their report, which is also incorporated by reference herein.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KANSAS CENTRAL, INC. </w:t>
      </w:r>
    </w:p>
    <w:p>
      <w:pPr>
        <w:pStyle w:val="TextBody"/>
        <w:bidi w:val="0"/>
        <w:spacing w:before="240" w:after="0"/>
        <w:jc w:val="center"/>
        <w:rPr>
          <w:rFonts w:ascii="Times New Roman" w:hAnsi="Times New Roman"/>
          <w:b/>
          <w:sz w:val="28"/>
        </w:rPr>
      </w:pPr>
      <w:r>
        <w:rPr>
          <w:rFonts w:ascii="Times New Roman" w:hAnsi="Times New Roman"/>
          <w:b/>
          <w:sz w:val="28"/>
        </w:rPr>
        <w:t xml:space="preserve">Unsecured 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Unsecured Subordinated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First Mortgage Bonds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are not obligations of, or guaranteed by, Evergy, Inc., our corporate parent.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 Inc. (“Evergy Kansas Central”) may offer and sell, from time to time, unsecured senior debt securities, unsecured subordinated debt securities and first mortgage bonds in one or more offerings. We may offer the securities simultaneously or at different times, in one or more separate series, in amounts, at prices and on terms to be determined at or prior to the time or times of sale.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these securities. We will provide specific information about the offerings and the terms of these securities in one or more supplements to this prospectus. The supplements may also add, update or change information contained in this prospectus. This prospectus may not be used to offer and sell our securities unless accompanied by a prospectus supplement. You should read this prospectus and the related prospectus supplements before you invest in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818 South Kansas Avenue, Topeka, Kansas 66612. Our telephone number is (785) 575-6300.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risks. You should carefully consider the information referred to under the heading “</w:t>
      </w:r>
      <w:hyperlink w:anchor="tx2_2879371_4">
        <w:r>
          <w:rPr>
            <w:rStyle w:val="InternetLink"/>
            <w:rFonts w:ascii="Times New Roman" w:hAnsi="Times New Roman"/>
            <w:b/>
            <w:sz w:val="24"/>
          </w:rPr>
          <w:t>Risk Factors</w:t>
        </w:r>
      </w:hyperlink>
      <w:r>
        <w:rPr>
          <w:rFonts w:ascii="Times New Roman" w:hAnsi="Times New Roman"/>
          <w:b/>
          <w:sz w:val="24"/>
        </w:rPr>
        <w:t xml:space="preserve">” on page 5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2">
              <w:r>
                <w:rPr>
                  <w:rStyle w:val="InternetLink"/>
                  <w:rFonts w:ascii="Times New Roman" w:hAnsi="Times New Roman"/>
                  <w:sz w:val="20"/>
                </w:rPr>
                <w:t>CAUTIONARY STATEMENTS REGARDING CERTAIN FORWARD-LOOKING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3">
              <w:r>
                <w:rPr>
                  <w:rStyle w:val="InternetLink"/>
                  <w:rFonts w:ascii="Times New Roman" w:hAnsi="Times New Roman"/>
                  <w:sz w:val="20"/>
                </w:rPr>
                <w:t>EVERGY KANSAS CENTRAL, INC .</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6">
              <w:r>
                <w:rPr>
                  <w:rStyle w:val="InternetLink"/>
                  <w:rFonts w:ascii="Times New Roman" w:hAnsi="Times New Roman"/>
                  <w:sz w:val="20"/>
                </w:rPr>
                <w:t xml:space="preserve">DESCRIPTION OF DEBT SECURITIES </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7">
              <w:r>
                <w:rPr>
                  <w:rStyle w:val="InternetLink"/>
                  <w:rFonts w:ascii="Times New Roman" w:hAnsi="Times New Roman"/>
                  <w:sz w:val="20"/>
                </w:rPr>
                <w:t>DESCRIPTION OF FIRST MORTGAGE BONDS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8">
              <w:r>
                <w:rPr>
                  <w:rStyle w:val="InternetLink"/>
                  <w:rFonts w:ascii="Times New Roman" w:hAnsi="Times New Roman"/>
                  <w:sz w:val="20"/>
                </w:rPr>
                <w:t>BOOK-ENTRY SYSTEM</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_2879371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_2879371_1"/>
      <w:bookmarkEnd w:id="1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below under “Where You Can Find More Information,” we, Evergy, Inc. (“Evergy”), our parent company, and another wholly-owned subsidiary of Evergy, separately file combined reports under the Securities Exchange Act of 1934, as amended (the “Exchange Act”). However, only the information related to Evergy Kansas Central and its consolidated subsidiaries is incorporated by reference in this prospectus. You should not rely on any information relating solely to Evergy or its subsidiaries (other than Evergy Kansas Central and its consolidated subsidiaries and the information provided separately by Evergy Kansas Central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or as otherwise indicated, when we refer to “Evergy Kansas Central,” or “we,” “us,” “our” or comparable terms, we mean Evergy Kansas Central, Inc., and when we refer to “Evergy Kansas South,” we mean Evergy Kansas South, Inc. Additionally, when we refer to Evergy Companies we mean, collectively, Evergy, Inc., Evergy Kansas Central, Inc. and Evergy Metro, Inc. (“Evergy Metro”).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2_2879371_2"/>
      <w:bookmarkEnd w:id="15"/>
      <w:r>
        <w:rPr>
          <w:rFonts w:ascii="Times New Roman" w:hAnsi="Times New Roman"/>
          <w:b/>
          <w:sz w:val="20"/>
        </w:rPr>
        <w:t xml:space="preserve">CAUTIONARY STATEMENTS REGARDING </w:t>
      </w:r>
    </w:p>
    <w:p>
      <w:pPr>
        <w:pStyle w:val="TextBody"/>
        <w:bidi w:val="0"/>
        <w:spacing w:before="0" w:after="0"/>
        <w:jc w:val="center"/>
        <w:rPr>
          <w:rFonts w:ascii="Times New Roman" w:hAnsi="Times New Roman"/>
          <w:b/>
          <w:sz w:val="20"/>
        </w:rPr>
      </w:pPr>
      <w:r>
        <w:rPr>
          <w:rFonts w:ascii="Times New Roman" w:hAnsi="Times New Roman"/>
          <w:b/>
          <w:sz w:val="20"/>
        </w:rPr>
        <w:t xml:space="preserve">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Kansas Central with the SEC, and from time to time in current reports on Form 8-K and quarterly reports on Form 10-Q filed by Evergy Kansas Central with the SEC. Each forward-looking statement speaks only as of the date of the particular statement. Evergy Kansas Central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_2879371_3"/>
      <w:bookmarkEnd w:id="16"/>
      <w:r>
        <w:rPr>
          <w:rFonts w:ascii="Times New Roman" w:hAnsi="Times New Roman"/>
          <w:b/>
          <w:sz w:val="20"/>
        </w:rPr>
        <w:t xml:space="preserve">EVERGY KANSAS CENTRAL, INC.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 Inc. is an integrated, regulated electric utility that provides electricity to customers in the state of Kansas. Evergy Kansas Central has one active wholly owned subsidiary with significant operations, Evergy Kansas South,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818 South Kansas Avenue, Topeka, Kansas 66612. Our telephone number is (785) 575-6300.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2_2879371_4"/>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prospectus supplement relating to any securities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filed with the SEC on </w:t>
            </w:r>
            <w:hyperlink r:id="rId7">
              <w:r>
                <w:rPr>
                  <w:rStyle w:val="InternetLink"/>
                  <w:rFonts w:ascii="Times New Roman" w:hAnsi="Times New Roman"/>
                  <w:sz w:val="20"/>
                </w:rPr>
                <w:t>February 29, 2024</w:t>
              </w:r>
            </w:hyperlink>
            <w:r>
              <w:rPr>
                <w:rFonts w:ascii="Times New Roman" w:hAnsi="Times New Roman"/>
                <w:sz w:val="20"/>
              </w:rPr>
              <w:t xml:space="preserve"> and incorporated by reference into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2024 and June 30, 2024, filed with the SEC on </w:t>
            </w:r>
            <w:hyperlink r:id="rId8">
              <w:r>
                <w:rPr>
                  <w:rStyle w:val="InternetLink"/>
                  <w:rFonts w:ascii="Times New Roman" w:hAnsi="Times New Roman"/>
                  <w:sz w:val="20"/>
                </w:rPr>
                <w:t>May  9, 2024</w:t>
              </w:r>
            </w:hyperlink>
            <w:r>
              <w:rPr>
                <w:rFonts w:ascii="Times New Roman" w:hAnsi="Times New Roman"/>
                <w:sz w:val="20"/>
              </w:rPr>
              <w:t xml:space="preserve"> and </w:t>
            </w:r>
            <w:hyperlink r:id="rId9">
              <w:r>
                <w:rPr>
                  <w:rStyle w:val="InternetLink"/>
                  <w:rFonts w:ascii="Times New Roman" w:hAnsi="Times New Roman"/>
                  <w:sz w:val="20"/>
                </w:rPr>
                <w:t>August 9, 2024</w:t>
              </w:r>
            </w:hyperlink>
            <w:r>
              <w:rPr>
                <w:rFonts w:ascii="Times New Roman" w:hAnsi="Times New Roman"/>
                <w:sz w:val="20"/>
              </w:rPr>
              <w:t xml:space="preserve">, respectively, and incorporated by reference into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documents that we file with the SEC after the date of this prospectus and that are deemed incorporated by reference into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2_2879371_5"/>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inform you otherwise in a supplement to this prospectus, we anticipate using any net proceeds received by us from the issuance of any of the offered securities for general corporate purposes,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retirement or refinancing of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of construction expenditures;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2_2879371_6"/>
      <w:bookmarkEnd w:id="1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debt securities, consisting of notes, debentures or other evidence of indebtedness, may be issued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senior debt securities, under a senior indenture dated August 1, 1998, which we refer to as the senior indenture, between us and Deutsche Bank Trust Company Americas, formerly known as Bankers Trust Company, as trustee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subordinated debt securities, under a subordinated indenture, which we refer to as the subordinated indenture, to be entered into between us and The Bank of New York Mellon Trust Company, N.A., as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indenture is included, and the subordinated indenture will be substantially in the form included,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Because the following is only a summary of the indentures and the debt securities, it does not contain all information that you may find useful. For further information about the indentures and the debt securities, you should read the indentures. As used in this section of this prospectus under the caption “Description of Debt Securities,” the terms “we,” “us” and “our” refer solely to Evergy Kansas Central, Inc. and such references do not include any subsidiaries or affiliates (including the parent company) of Evergy Kansas Central, Inc.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we will describe the specific terms of the securities in a prospectus supplement. The prospectus supplement will set forth the following terms, as applicable, of the debt securities offered thereby: </w:t>
      </w:r>
    </w:p>
    <w:p>
      <w:pPr>
        <w:pStyle w:val="TextBody"/>
        <w:bidi w:val="0"/>
        <w:spacing w:before="120" w:after="0"/>
        <w:jc w:val="left"/>
        <w:rPr>
          <w:rFonts w:ascii="Times New Roman" w:hAnsi="Times New Roman"/>
          <w:sz w:val="20"/>
        </w:rPr>
      </w:pPr>
      <w:r>
        <w:rPr>
          <w:rFonts w:ascii="Times New Roman" w:hAnsi="Times New Roman"/>
          <w:sz w:val="20"/>
        </w:rPr>
        <w:t xml:space="preserve">(1) the designation, aggregate principal amount, currency or composite currency and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(2) the price at which such debt securities will be issued and, if an index formula or other method is used, the method for determining amounts of principal or interest; </w:t>
      </w:r>
    </w:p>
    <w:p>
      <w:pPr>
        <w:pStyle w:val="TextBody"/>
        <w:bidi w:val="0"/>
        <w:spacing w:before="240" w:after="0"/>
        <w:jc w:val="left"/>
        <w:rPr>
          <w:rFonts w:ascii="Times New Roman" w:hAnsi="Times New Roman"/>
          <w:sz w:val="20"/>
        </w:rPr>
      </w:pPr>
      <w:r>
        <w:rPr>
          <w:rFonts w:ascii="Times New Roman" w:hAnsi="Times New Roman"/>
          <w:sz w:val="20"/>
        </w:rPr>
        <w:t xml:space="preserve">(3) the maturity date and other dates, if any, on which principal will be payable; </w:t>
      </w:r>
    </w:p>
    <w:p>
      <w:pPr>
        <w:pStyle w:val="TextBody"/>
        <w:bidi w:val="0"/>
        <w:spacing w:before="240" w:after="0"/>
        <w:jc w:val="left"/>
        <w:rPr>
          <w:rFonts w:ascii="Times New Roman" w:hAnsi="Times New Roman"/>
          <w:sz w:val="20"/>
        </w:rPr>
      </w:pPr>
      <w:r>
        <w:rPr>
          <w:rFonts w:ascii="Times New Roman" w:hAnsi="Times New Roman"/>
          <w:sz w:val="20"/>
        </w:rPr>
        <w:t xml:space="preserve">(4) the interest rate (which may be fixed or variable), if any; </w:t>
      </w:r>
    </w:p>
    <w:p>
      <w:pPr>
        <w:pStyle w:val="TextBody"/>
        <w:bidi w:val="0"/>
        <w:spacing w:before="240" w:after="0"/>
        <w:jc w:val="left"/>
        <w:rPr>
          <w:rFonts w:ascii="Times New Roman" w:hAnsi="Times New Roman"/>
          <w:sz w:val="20"/>
        </w:rPr>
      </w:pPr>
      <w:r>
        <w:rPr>
          <w:rFonts w:ascii="Times New Roman" w:hAnsi="Times New Roman"/>
          <w:sz w:val="20"/>
        </w:rPr>
        <w:t xml:space="preserve">(5) the date or dates from which interest will accrue and on which interest will be payable, and the record dates for the payment of interest; </w:t>
      </w:r>
    </w:p>
    <w:p>
      <w:pPr>
        <w:pStyle w:val="TextBody"/>
        <w:bidi w:val="0"/>
        <w:spacing w:before="240" w:after="0"/>
        <w:jc w:val="left"/>
        <w:rPr>
          <w:rFonts w:ascii="Times New Roman" w:hAnsi="Times New Roman"/>
          <w:sz w:val="20"/>
        </w:rPr>
      </w:pPr>
      <w:r>
        <w:rPr>
          <w:rFonts w:ascii="Times New Roman" w:hAnsi="Times New Roman"/>
          <w:sz w:val="20"/>
        </w:rPr>
        <w:t xml:space="preserve">(6) the manner of paying principal and interest; </w:t>
      </w:r>
    </w:p>
    <w:p>
      <w:pPr>
        <w:pStyle w:val="TextBody"/>
        <w:bidi w:val="0"/>
        <w:spacing w:before="240" w:after="0"/>
        <w:jc w:val="left"/>
        <w:rPr>
          <w:rFonts w:ascii="Times New Roman" w:hAnsi="Times New Roman"/>
          <w:sz w:val="20"/>
        </w:rPr>
      </w:pPr>
      <w:r>
        <w:rPr>
          <w:rFonts w:ascii="Times New Roman" w:hAnsi="Times New Roman"/>
          <w:sz w:val="20"/>
        </w:rPr>
        <w:t xml:space="preserve">(7) the place or places where principal and interest will be payable; </w:t>
      </w:r>
    </w:p>
    <w:p>
      <w:pPr>
        <w:pStyle w:val="TextBody"/>
        <w:bidi w:val="0"/>
        <w:spacing w:before="240" w:after="0"/>
        <w:jc w:val="left"/>
        <w:rPr>
          <w:rFonts w:ascii="Times New Roman" w:hAnsi="Times New Roman"/>
          <w:sz w:val="20"/>
        </w:rPr>
      </w:pPr>
      <w:r>
        <w:rPr>
          <w:rFonts w:ascii="Times New Roman" w:hAnsi="Times New Roman"/>
          <w:sz w:val="20"/>
        </w:rPr>
        <w:t xml:space="preserve">(8) the terms of any mandatory or optional redemption by Evergy Kansas Central or any third party including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(9) the terms of any conversion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the terms of any redemption at the option of holders or put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(11) any tax indemnity provisions; </w:t>
      </w:r>
    </w:p>
    <w:p>
      <w:pPr>
        <w:pStyle w:val="TextBody"/>
        <w:bidi w:val="0"/>
        <w:spacing w:before="240" w:after="0"/>
        <w:jc w:val="left"/>
        <w:rPr>
          <w:rFonts w:ascii="Times New Roman" w:hAnsi="Times New Roman"/>
          <w:sz w:val="20"/>
        </w:rPr>
      </w:pPr>
      <w:r>
        <w:rPr>
          <w:rFonts w:ascii="Times New Roman" w:hAnsi="Times New Roman"/>
          <w:sz w:val="20"/>
        </w:rPr>
        <w:t xml:space="preserve">(12) if the debt securities provide that payments of principal or interest may be made in a currency other than that in which debt securities are denominated, the manner for determining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(13) the portion of principal payable upon acceleration of a Discounted Debt Security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(14) whether and upon what terms debt securities may be defeased; </w:t>
      </w:r>
    </w:p>
    <w:p>
      <w:pPr>
        <w:pStyle w:val="TextBody"/>
        <w:bidi w:val="0"/>
        <w:spacing w:before="240" w:after="0"/>
        <w:jc w:val="left"/>
        <w:rPr>
          <w:rFonts w:ascii="Times New Roman" w:hAnsi="Times New Roman"/>
          <w:sz w:val="20"/>
        </w:rPr>
      </w:pPr>
      <w:r>
        <w:rPr>
          <w:rFonts w:ascii="Times New Roman" w:hAnsi="Times New Roman"/>
          <w:sz w:val="20"/>
        </w:rPr>
        <w:t xml:space="preserve">(15) any events of default or covenants in addition to or in lieu of those set forth in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(16) provisions for electronic issuance of debt securities or for debt securities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(17) the right, if any, to “reopen” a series of debt securities and issue additional debt securities of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(18) 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of any series may be issued as registered debt securities, bearer debt securities or uncertificated debt securities, and in such denominations as specified in the terms of the series. In connection with its original issuance, no bearer security will be offered, sold or delivered to any location in the United States, and a bearer security in definitive form may be delivered in connection with its original issuance only upon presentation of a certificate in a form prescribed by Evergy Kansas Central to comply with United States laws and regulations. 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bear interest at a fixed rate or a floating rate. Securities may be issued under the senior or subordinated indentures as Discounted Debt Securities to be offered and sold at a substantial discount from the principal amount thereof. “Discounted Debt Security” means a security where the amount of principal due upon acceleration is less than the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only have a shareholder’s claim on the assets of our subsidiaries. This shareholder’s claim is junior to the claims that creditors of our subsidiaries have against our subsidiaries (other than subsidiary guarantors). Holders of our debt securities are our creditors and not creditors of any of our subsidiaries (other than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guarantors). As a result, all the existing and future liabilities of our subsidiaries (other than any subsidiary guarantors with respect to any series of debt securities that may be guaranteed), including any claims of their creditors, are structurally senior to the debt securities with respect to the assets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our obligations, including our obligation to pay interest on the debt securities, to repay the principal amount of the debt securities at maturity or upon redemption or to buy back the debt securities will depend in part upon our subsidiaries’ earnings and their distribution of those earnings to us and upon our subsidiaries repaying investments and advances we have made to them. Our subsidiaries are separate and distinct legal entities and, except for any subsidiary guarantors with respect to any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are unsecured obligations. Our secured debt is effectively senior to the debt securities to the extent of the value of the assets securing such secured debt. Substantially all of our utility assets are subject to liens under the mortgage pursuant to which we have issued our first mortgage bonds.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senior debt securities, including the payment of principal, premium, if any, and interest, may be fully and unconditionally guaranteed by one or more of our wholly-owned subsidiaries named in a prospectus supplement. Such guarantees will rank equally with all other general unsecured and unsubordinated obligations of such subsidiary guarantors.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Any covenants which may apply to a particular series of senior debt securities will be described in the prospectus supplement relating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Successor Obligor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provides that, unless otherwise specified in the securities resolution or supplemental indenture establishing a series of senior debt securities, we shall not consolidate with or merge into, or transfer all or substantially all of its assets to, any person in any transaction in which we are not the survivor, unless: </w:t>
      </w:r>
    </w:p>
    <w:p>
      <w:pPr>
        <w:pStyle w:val="TextBody"/>
        <w:bidi w:val="0"/>
        <w:spacing w:before="120" w:after="0"/>
        <w:jc w:val="left"/>
        <w:rPr>
          <w:rFonts w:ascii="Times New Roman" w:hAnsi="Times New Roman"/>
          <w:sz w:val="20"/>
        </w:rPr>
      </w:pPr>
      <w:r>
        <w:rPr>
          <w:rFonts w:ascii="Times New Roman" w:hAnsi="Times New Roman"/>
          <w:sz w:val="20"/>
        </w:rPr>
        <w:t xml:space="preserve">(1) the person is organized under the laws of the United States or a State thereof or is organized under the laws of a foreign jurisdiction and consents to the jurisdiction of the courts of the United States or a State thereof; </w:t>
      </w:r>
    </w:p>
    <w:p>
      <w:pPr>
        <w:pStyle w:val="TextBody"/>
        <w:bidi w:val="0"/>
        <w:spacing w:before="240" w:after="0"/>
        <w:jc w:val="left"/>
        <w:rPr>
          <w:rFonts w:ascii="Times New Roman" w:hAnsi="Times New Roman"/>
          <w:sz w:val="20"/>
        </w:rPr>
      </w:pPr>
      <w:r>
        <w:rPr>
          <w:rFonts w:ascii="Times New Roman" w:hAnsi="Times New Roman"/>
          <w:sz w:val="20"/>
        </w:rPr>
        <w:t xml:space="preserve">(2) the person assumes by supplemental indenture all of our obligations under the senior indenture, the senior debt securities and any coupons; </w:t>
      </w:r>
    </w:p>
    <w:p>
      <w:pPr>
        <w:pStyle w:val="TextBody"/>
        <w:bidi w:val="0"/>
        <w:spacing w:before="240" w:after="0"/>
        <w:jc w:val="left"/>
        <w:rPr>
          <w:rFonts w:ascii="Times New Roman" w:hAnsi="Times New Roman"/>
          <w:sz w:val="20"/>
        </w:rPr>
      </w:pPr>
      <w:r>
        <w:rPr>
          <w:rFonts w:ascii="Times New Roman" w:hAnsi="Times New Roman"/>
          <w:sz w:val="20"/>
        </w:rPr>
        <w:t xml:space="preserve">(3) all required approvals of any regulatory body having jurisdiction over the transaction shall have been obtained; and </w:t>
      </w:r>
    </w:p>
    <w:p>
      <w:pPr>
        <w:pStyle w:val="TextBody"/>
        <w:bidi w:val="0"/>
        <w:spacing w:before="240" w:after="0"/>
        <w:jc w:val="left"/>
        <w:rPr>
          <w:rFonts w:ascii="Times New Roman" w:hAnsi="Times New Roman"/>
          <w:sz w:val="20"/>
        </w:rPr>
      </w:pPr>
      <w:r>
        <w:rPr>
          <w:rFonts w:ascii="Times New Roman" w:hAnsi="Times New Roman"/>
          <w:sz w:val="20"/>
        </w:rPr>
        <w:t xml:space="preserve">(4) immediately after the transaction no Default (as defined in “—Default and Remedies”) exists. </w:t>
      </w:r>
    </w:p>
    <w:p>
      <w:pPr>
        <w:pStyle w:val="TextBody"/>
        <w:bidi w:val="0"/>
        <w:spacing w:before="240" w:after="0"/>
        <w:jc w:val="left"/>
        <w:rPr>
          <w:rFonts w:ascii="Times New Roman" w:hAnsi="Times New Roman"/>
          <w:sz w:val="20"/>
        </w:rPr>
      </w:pPr>
      <w:r>
        <w:rPr>
          <w:rFonts w:ascii="Times New Roman" w:hAnsi="Times New Roman"/>
          <w:sz w:val="20"/>
        </w:rPr>
        <w:t xml:space="preserve">The successor shall be substituted for us, and thereafter all our obligations under the senior indenture, the senior debt securities and any coupons shall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Exchange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Registered senior debt securities may be exchanged for an equal aggregate principal amount of registered senior debt securities of the same series and date of maturity in such authorized denominations as may be requested upon surrender of the registered senior debt securities at an agency maintained by us for such purpose and upon fulfillment of all other requirements of such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Unless the securities resolution or supplemental indenture establishing the series otherwise provides (in which event the prospectus supplement will so state), an “Event of Default” with respect to a series of senior debt securities will occur if: </w:t>
      </w:r>
    </w:p>
    <w:p>
      <w:pPr>
        <w:pStyle w:val="TextBody"/>
        <w:bidi w:val="0"/>
        <w:spacing w:before="120" w:after="0"/>
        <w:jc w:val="left"/>
        <w:rPr>
          <w:rFonts w:ascii="Times New Roman" w:hAnsi="Times New Roman"/>
          <w:sz w:val="20"/>
        </w:rPr>
      </w:pPr>
      <w:r>
        <w:rPr>
          <w:rFonts w:ascii="Times New Roman" w:hAnsi="Times New Roman"/>
          <w:sz w:val="20"/>
        </w:rPr>
        <w:t xml:space="preserve">(1) an Obligor defaults in any payment of interest on any senior debt securities of such series when the same becomes due and payable and the default continues for a period of 60 days; </w:t>
      </w:r>
    </w:p>
    <w:p>
      <w:pPr>
        <w:pStyle w:val="TextBody"/>
        <w:bidi w:val="0"/>
        <w:spacing w:before="240" w:after="0"/>
        <w:jc w:val="left"/>
        <w:rPr>
          <w:rFonts w:ascii="Times New Roman" w:hAnsi="Times New Roman"/>
          <w:sz w:val="20"/>
        </w:rPr>
      </w:pPr>
      <w:r>
        <w:rPr>
          <w:rFonts w:ascii="Times New Roman" w:hAnsi="Times New Roman"/>
          <w:sz w:val="20"/>
        </w:rPr>
        <w:t xml:space="preserve">(2) an Obligor defaults in the payment of the principal and premium, if any, of any senior debt securities of such series when the same becomes due and payable at maturity or upon redemption, acceleration or otherwise and such default shall continue for five or more days; </w:t>
      </w:r>
    </w:p>
    <w:p>
      <w:pPr>
        <w:pStyle w:val="TextBody"/>
        <w:bidi w:val="0"/>
        <w:spacing w:before="240" w:after="0"/>
        <w:jc w:val="left"/>
        <w:rPr>
          <w:rFonts w:ascii="Times New Roman" w:hAnsi="Times New Roman"/>
          <w:sz w:val="20"/>
        </w:rPr>
      </w:pPr>
      <w:r>
        <w:rPr>
          <w:rFonts w:ascii="Times New Roman" w:hAnsi="Times New Roman"/>
          <w:sz w:val="20"/>
        </w:rPr>
        <w:t xml:space="preserve">(3) an Obligor defaults in the payment or satisfaction of any sinking fund obligation with respect to any senior debt securities of such series as required by the securities resolution or supplemental indenture establishing such series and the default continues for a period of 60 days; </w:t>
      </w:r>
    </w:p>
    <w:p>
      <w:pPr>
        <w:pStyle w:val="TextBody"/>
        <w:bidi w:val="0"/>
        <w:spacing w:before="240" w:after="0"/>
        <w:jc w:val="left"/>
        <w:rPr>
          <w:rFonts w:ascii="Times New Roman" w:hAnsi="Times New Roman"/>
          <w:sz w:val="20"/>
        </w:rPr>
      </w:pPr>
      <w:r>
        <w:rPr>
          <w:rFonts w:ascii="Times New Roman" w:hAnsi="Times New Roman"/>
          <w:sz w:val="20"/>
        </w:rPr>
        <w:t xml:space="preserve">(4) an Obligor defaults in the performance of any of its other agreements applicable to the series and the default continues for 90 days after the notice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(5) an Obligor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custodian for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(6)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an Obligor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appoints a Custodian for an Obligor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(C) orders the liquidation of an Obligor, and the order or decree remains unstayed and in effect for 60 days; or </w:t>
      </w:r>
    </w:p>
    <w:p>
      <w:pPr>
        <w:pStyle w:val="TextBody"/>
        <w:bidi w:val="0"/>
        <w:spacing w:before="240" w:after="0"/>
        <w:jc w:val="left"/>
        <w:rPr>
          <w:rFonts w:ascii="Times New Roman" w:hAnsi="Times New Roman"/>
          <w:sz w:val="20"/>
        </w:rPr>
      </w:pPr>
      <w:r>
        <w:rPr>
          <w:rFonts w:ascii="Times New Roman" w:hAnsi="Times New Roman"/>
          <w:sz w:val="20"/>
        </w:rPr>
        <w:t xml:space="preserve">(7) there occurs any other Event of Default provided for in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term “Bankruptcy Law” means Title 11, U.S. Code or any similar Federal or State law for the relief of debtors. The term “Custodian” means any receiver, trustee, assignee, liquidator or a similar official under any Bankruptcy Law. </w:t>
      </w:r>
    </w:p>
    <w:p>
      <w:pPr>
        <w:pStyle w:val="TextBody"/>
        <w:bidi w:val="0"/>
        <w:spacing w:before="240" w:after="0"/>
        <w:jc w:val="left"/>
        <w:rPr/>
      </w:pPr>
      <w:r>
        <w:rPr/>
        <w:t>“</w:t>
      </w:r>
      <w:r>
        <w:rPr>
          <w:rFonts w:ascii="Times New Roman" w:hAnsi="Times New Roman"/>
          <w:sz w:val="20"/>
        </w:rPr>
        <w:t xml:space="preserve">Default” means any event which is, or after notice or passage of time would be, an Event of Default. A Default under subparagraph (4) above is not an Event of Default until the trustee or the holders of at least 33-1/3% in principal amount of the series notify us of the Default and we do not cure the Default within the time specified after receipt of the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this section, the term “Obligor” shall mean each of us and any subsidiary guarantor identified in a securities resolution or supplemental indenture, in each case excluding such entity’s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on a series, the trustee by notice to Evergy Kansas Central, or the holders of at least 33-1/3% in principal amount of the series by notice to Evergy Kansas Central and the trustee, may declare the principal of and accrued interest on all the securities of the series to be due and payable immediately. Discounted debt securities may provide that the amount of principal due upon acceleration is less than the stated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indemnity satisfactory to it before it enforces the senior indenture or the senior debt securities of the series. Subject to certain limitations, holders of a majority in principal amount of the senior debt securities of the series may direct the trustee in its exercise of any trust or power with respect to such series. The trustee is required, within 90 days after the occurrence thereof, to give to the holders of the senior debt securities notice of all Defaults actually known to the trustee, as provided in the applicable indenture, to have occurred and be continuing. Except in the case of Default in payment on a series, the trustee may withhold from holders of such series notice of any continuing Default if the trustee determines that withholding notice is in the interest of such holders. We are required to furnish the trustee annually a brief certificate as to our compliance with all conditions and covenants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failure to redeem any senior debt securities when such redemption is subject to the occurrence of a condition prior to redemption, is not an Event of Default if any event on which such redemption is so conditioned does not occur and is not waived before the scheduled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does not have a cross-default provision. Thus, a default by any Obligor on any other debt, including any other series of senior debt securities, would not constitute an Event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Unless the securities resolution or supplemental indenture otherwise provides (in which event the applicable prospectus supplement will so state), the senior debt securities and the senior indenture may be amended with the consent of the holders of a majority in principal amount of the senior debt securities of all series affected voting as one class. Unless the securities resolution or supplemental indenture otherwise provides (in which event the applicable prospectus supplement will so state), a Default on a particular series may be waived with the consent of the holders of a majority in principal amount of the senior debt securities of the series, except for a Default in payment of interest or principal or a Default in respect of a provision of the senior indenture that cannot be amended without the consent of each holder affected. However, without the consent of each holder affected, no amendment or waiver may: </w:t>
      </w:r>
    </w:p>
    <w:p>
      <w:pPr>
        <w:pStyle w:val="TextBody"/>
        <w:bidi w:val="0"/>
        <w:spacing w:before="120" w:after="0"/>
        <w:jc w:val="left"/>
        <w:rPr>
          <w:rFonts w:ascii="Times New Roman" w:hAnsi="Times New Roman"/>
          <w:sz w:val="20"/>
        </w:rPr>
      </w:pPr>
      <w:r>
        <w:rPr>
          <w:rFonts w:ascii="Times New Roman" w:hAnsi="Times New Roman"/>
          <w:sz w:val="20"/>
        </w:rPr>
        <w:t xml:space="preserve">(1) reduce the amount of senior debt securities whose holders must consent to an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(2) reduce the interest on or change the time for payment of interest on any senior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(3) change the fixed maturity of any senior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(4) reduce the principal of any non-Discounted Debt Security or reduce the amount of the principal of any Discounted Debt Security that would be due on acceleration thereof; </w:t>
      </w:r>
    </w:p>
    <w:p>
      <w:pPr>
        <w:pStyle w:val="TextBody"/>
        <w:bidi w:val="0"/>
        <w:spacing w:before="240" w:after="0"/>
        <w:jc w:val="left"/>
        <w:rPr>
          <w:rFonts w:ascii="Times New Roman" w:hAnsi="Times New Roman"/>
          <w:sz w:val="20"/>
        </w:rPr>
      </w:pPr>
      <w:r>
        <w:rPr>
          <w:rFonts w:ascii="Times New Roman" w:hAnsi="Times New Roman"/>
          <w:sz w:val="20"/>
        </w:rPr>
        <w:t xml:space="preserve">(5) change the currency in which the principal or interest on a senior debt security is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 make any change that materially adversely affects the right to convert any senior debt security; or </w:t>
      </w:r>
    </w:p>
    <w:p>
      <w:pPr>
        <w:pStyle w:val="TextBody"/>
        <w:bidi w:val="0"/>
        <w:spacing w:before="240" w:after="0"/>
        <w:jc w:val="left"/>
        <w:rPr>
          <w:rFonts w:ascii="Times New Roman" w:hAnsi="Times New Roman"/>
          <w:sz w:val="20"/>
        </w:rPr>
      </w:pPr>
      <w:r>
        <w:rPr>
          <w:rFonts w:ascii="Times New Roman" w:hAnsi="Times New Roman"/>
          <w:sz w:val="20"/>
        </w:rPr>
        <w:t xml:space="preserve">(7) change the provisions of the senior indenture regarding waiver of Defaults and amendments, except to increase the amount of senior debt securities whose holders must consent to an amendment or waiver, or to provide that other provisions of the senior indenture cannot be amended or waived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 the senior indenture or the senior debt securities may be amended: </w:t>
      </w:r>
    </w:p>
    <w:p>
      <w:pPr>
        <w:pStyle w:val="TextBody"/>
        <w:bidi w:val="0"/>
        <w:spacing w:before="240" w:after="0"/>
        <w:jc w:val="left"/>
        <w:rPr>
          <w:rFonts w:ascii="Times New Roman" w:hAnsi="Times New Roman"/>
          <w:sz w:val="20"/>
        </w:rPr>
      </w:pPr>
      <w:r>
        <w:rPr>
          <w:rFonts w:ascii="Times New Roman" w:hAnsi="Times New Roman"/>
          <w:sz w:val="20"/>
        </w:rPr>
        <w:t xml:space="preserve">(1) to cure any ambiguity, omission,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(2) to provide for assumption of our obligations to securityholders in the event of a merger or consolidation requiring such assumption; </w:t>
      </w:r>
    </w:p>
    <w:p>
      <w:pPr>
        <w:pStyle w:val="TextBody"/>
        <w:bidi w:val="0"/>
        <w:spacing w:before="240" w:after="0"/>
        <w:jc w:val="left"/>
        <w:rPr>
          <w:rFonts w:ascii="Times New Roman" w:hAnsi="Times New Roman"/>
          <w:sz w:val="20"/>
        </w:rPr>
      </w:pPr>
      <w:r>
        <w:rPr>
          <w:rFonts w:ascii="Times New Roman" w:hAnsi="Times New Roman"/>
          <w:sz w:val="20"/>
        </w:rPr>
        <w:t xml:space="preserve">(3) to provide that specific provisions of the indenture shall not apply to a series of senior debt securities not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(4) to create a series and establish its terms; </w:t>
      </w:r>
    </w:p>
    <w:p>
      <w:pPr>
        <w:pStyle w:val="TextBody"/>
        <w:bidi w:val="0"/>
        <w:spacing w:before="240" w:after="0"/>
        <w:jc w:val="left"/>
        <w:rPr>
          <w:rFonts w:ascii="Times New Roman" w:hAnsi="Times New Roman"/>
          <w:sz w:val="20"/>
        </w:rPr>
      </w:pPr>
      <w:r>
        <w:rPr>
          <w:rFonts w:ascii="Times New Roman" w:hAnsi="Times New Roman"/>
          <w:sz w:val="20"/>
        </w:rPr>
        <w:t xml:space="preserve">(5) to provide for a separate trustee for one or more series; or </w:t>
      </w:r>
    </w:p>
    <w:p>
      <w:pPr>
        <w:pStyle w:val="TextBody"/>
        <w:bidi w:val="0"/>
        <w:spacing w:before="240" w:after="0"/>
        <w:jc w:val="left"/>
        <w:rPr>
          <w:rFonts w:ascii="Times New Roman" w:hAnsi="Times New Roman"/>
          <w:sz w:val="20"/>
        </w:rPr>
      </w:pPr>
      <w:r>
        <w:rPr>
          <w:rFonts w:ascii="Times New Roman" w:hAnsi="Times New Roman"/>
          <w:sz w:val="20"/>
        </w:rPr>
        <w:t xml:space="preserve">(6) to make any change that does not materially adversely affect the rights of any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Senior 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senior debt securities and coupons and to maintain paying agencies in respect of the debt securities) with respect to the senior debt securities of the series and any related coupons and the senior indenture (legal defeasance). We at any time may terminate as to a series our obligations with respect to any restrictive covenants which may be applicable to a particular series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 </w:t>
      </w:r>
    </w:p>
    <w:p>
      <w:pPr>
        <w:pStyle w:val="TextBody"/>
        <w:bidi w:val="0"/>
        <w:spacing w:before="240" w:after="0"/>
        <w:jc w:val="left"/>
        <w:rPr>
          <w:rFonts w:ascii="Times New Roman" w:hAnsi="Times New Roman"/>
          <w:sz w:val="20"/>
        </w:rPr>
      </w:pPr>
      <w:r>
        <w:rPr>
          <w:rFonts w:ascii="Times New Roman" w:hAnsi="Times New Roman"/>
          <w:sz w:val="20"/>
        </w:rPr>
        <w:t xml:space="preserve">To exercise either defeasance option as to a series, we must (1) irrevocably deposit in trust (the defeasance trust) with the trustee or another trustee, money or U.S. Government Obligations, (2) deliver a certificate from a public accounting firm registered with the Public Company Accounting Oversight Board, expressing such firm’s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senior debt securities of such series to maturity or redemption, as the case may be, and (3) comply with certain other conditions as provided in the applicable indenture. In particular, we must obtain an opinion of tax counsel that the defeasance will not result in recognition of any gain or loss to holders for Federal income tax purposes. </w:t>
      </w:r>
    </w:p>
    <w:p>
      <w:pPr>
        <w:pStyle w:val="TextBody"/>
        <w:bidi w:val="0"/>
        <w:spacing w:before="240" w:after="0"/>
        <w:jc w:val="left"/>
        <w:rPr/>
      </w:pPr>
      <w:r>
        <w:rPr/>
        <w:t>“</w:t>
      </w:r>
      <w:r>
        <w:rPr>
          <w:rFonts w:ascii="Times New Roman" w:hAnsi="Times New Roman"/>
          <w:sz w:val="20"/>
        </w:rPr>
        <w:t xml:space="preserve">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 prospectus supplement, the applicable trustee will also act as transfer agent and paying agent with respect to the senior debt securities and the subordinated debt securities. We may remove the trustee with or without cause if we so notify the trustee three months in advance and if no Default occurs during the three-month period. The trustee provides services to us as a depository of funds, registrar, trustee and similar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indebtedness evidenced by the subordinated debt securities is subordinate to the prior payment in full of all our Senior Indebtedness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and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including any indebtedness secured by a mortgage, conditional sales contract or other lien which is (1) given to secure all or part of the purchase price of property subject thereto, whether given to the vendor of that property or to another lender, or (2) existing on property at the time that person acquires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which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subsidiary guarantor to which we and such guarantor are a party, including our, and the subsidiary guarantors’, guarantees of each others’ debt securities and other indebtedness for borrowed money, constitute Senior Indebtedness for purposes of the subordinated debt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is, and any senior debt securities will be, governed by New York law. The subordinated indenture and any subordinated debt securities will be governed by New York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2_2879371_7"/>
      <w:bookmarkEnd w:id="20"/>
      <w:r>
        <w:rPr>
          <w:rFonts w:ascii="Times New Roman" w:hAnsi="Times New Roman"/>
          <w:b/>
          <w:sz w:val="20"/>
        </w:rPr>
        <w:t xml:space="preserve">DESCRIPTION OF FIRST MORTGAGE BONDS </w:t>
      </w:r>
    </w:p>
    <w:p>
      <w:pPr>
        <w:pStyle w:val="TextBody"/>
        <w:bidi w:val="0"/>
        <w:spacing w:before="240" w:after="0"/>
        <w:jc w:val="left"/>
        <w:rPr>
          <w:rFonts w:ascii="Times New Roman" w:hAnsi="Times New Roman"/>
          <w:sz w:val="20"/>
        </w:rPr>
      </w:pPr>
      <w:r>
        <w:rPr>
          <w:rFonts w:ascii="Times New Roman" w:hAnsi="Times New Roman"/>
          <w:sz w:val="20"/>
        </w:rPr>
        <w:t xml:space="preserve">The first mortgage bonds will be issued under and secured by the Mortgage and Deed of Trust, dated July 1, 1939, between us and The Bank of New York Mellon Trust Company, N.A., as successor to BNY Midwest Trust Company, as successor to Harris Trust and Savings Bank, as trustee, as previously supplemented and amended by supplemental indentures. We refer to the original mortgage, as so supplemented and amended, as the mortgage. All the first mortgage bonds issued or issuable under the mortgage are referred to as the “bonds.” We have summarized below the material provisions of the mortgage and the bonds or indicated which material provisions will be described in the related prospectus supplement. These descriptions are only summaries, and you should refer to the mortgage itself, which describes completely the terms and definitions summarized below and contains additional information about the bonds.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 </w:t>
      </w:r>
    </w:p>
    <w:p>
      <w:pPr>
        <w:pStyle w:val="TextBody"/>
        <w:bidi w:val="0"/>
        <w:spacing w:before="120" w:after="0"/>
        <w:jc w:val="left"/>
        <w:rPr>
          <w:rFonts w:ascii="Times New Roman" w:hAnsi="Times New Roman"/>
          <w:sz w:val="20"/>
        </w:rPr>
      </w:pPr>
      <w:r>
        <w:rPr>
          <w:rFonts w:ascii="Times New Roman" w:hAnsi="Times New Roman"/>
          <w:sz w:val="20"/>
        </w:rPr>
        <w:t xml:space="preserve">(1) 60% (so long as any bonds issued prior to January 1, 1997 remain outstanding, and thereafter 70%) of the net bondable value of property additions not subject to an unfunded prior lien; </w:t>
      </w:r>
    </w:p>
    <w:p>
      <w:pPr>
        <w:pStyle w:val="TextBody"/>
        <w:bidi w:val="0"/>
        <w:spacing w:before="240" w:after="0"/>
        <w:jc w:val="left"/>
        <w:rPr>
          <w:rFonts w:ascii="Times New Roman" w:hAnsi="Times New Roman"/>
          <w:sz w:val="20"/>
        </w:rPr>
      </w:pPr>
      <w:r>
        <w:rPr>
          <w:rFonts w:ascii="Times New Roman" w:hAnsi="Times New Roman"/>
          <w:sz w:val="20"/>
        </w:rPr>
        <w:t xml:space="preserve">(2) the principal amount of bonds retired or to be retired (except out of trust monies); and </w:t>
      </w:r>
    </w:p>
    <w:p>
      <w:pPr>
        <w:pStyle w:val="TextBody"/>
        <w:bidi w:val="0"/>
        <w:spacing w:before="240" w:after="0"/>
        <w:jc w:val="left"/>
        <w:rPr>
          <w:rFonts w:ascii="Times New Roman" w:hAnsi="Times New Roman"/>
          <w:sz w:val="20"/>
        </w:rPr>
      </w:pPr>
      <w:r>
        <w:rPr>
          <w:rFonts w:ascii="Times New Roman" w:hAnsi="Times New Roman"/>
          <w:sz w:val="20"/>
        </w:rPr>
        <w:t xml:space="preserve">(3) the amount of cash deposited with the trustee for such purpose, which may thereafter be withdrawn upon the same basis that additional bonds are issuable under clause (1) or (2) above. </w:t>
      </w:r>
    </w:p>
    <w:p>
      <w:pPr>
        <w:pStyle w:val="TextBody"/>
        <w:bidi w:val="0"/>
        <w:spacing w:before="240" w:after="0"/>
        <w:jc w:val="left"/>
        <w:rPr>
          <w:rFonts w:ascii="Times New Roman" w:hAnsi="Times New Roman"/>
          <w:sz w:val="20"/>
        </w:rPr>
      </w:pPr>
      <w:r>
        <w:rPr>
          <w:rFonts w:ascii="Times New Roman" w:hAnsi="Times New Roman"/>
          <w:sz w:val="20"/>
        </w:rPr>
        <w:t xml:space="preserve">Additional bonds may not be issued on the basis of property additions subject to an unfunded prior lien.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restrictions discussed above, so long as any bonds issued prior to January 1, 1997 remain outstanding, additional bonds may not be issued unless our unconsolidated net earnings available for interest, depreciation and property retirements for a period of any 12 consecutive months during the period of 15 calendar months immediately preceding the first day of the month in which the application for authentication and delivery of additional bonds is made shall have been not less than the greater of two times (two and one-half times after all bonds issued prior to January 1, 1997 are no longer outstanding) the annual interest charges on, and 10% of the principal amount of, all bonds then outstanding, all additional bonds then applied for, all outstanding prior lien bonds and all prior lien bonds, if any, then being applied for. Bonds canceled at or prior to the time application is made for the issuance of new bonds are not deemed to be outstanding for purposes of calculating interest charges in determining whether the net earnings test is met for the issuance of additional bonds. Bonds or prior lien bonds for which monies sufficient for the payment thereof have been deposited with the trustee are not considered outstanding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The net earnings test referred to in the previous paragraph need not be satisfied to issue additional bonds: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basis of property additions subject to an unfunded prior lien which simultaneously will become a funded prior lien, if application for the issuance of the additional bonds is made at any time after a date two years prior to the date of the maturity of the bonds secured by the prior lien;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basis of the payment at maturity of bonds heretofore issued by us, or the redemption, conversion or purchase of bonds, after a date two years prior to the date on which those bonds mature.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reserved the right to amend the mortgage to eliminate the foregoing requirement. See “—Modification of the Mortgage.”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Release and Substitution of Property </w:t>
      </w:r>
    </w:p>
    <w:p>
      <w:pPr>
        <w:pStyle w:val="TextBody"/>
        <w:bidi w:val="0"/>
        <w:spacing w:before="120" w:after="0"/>
        <w:jc w:val="left"/>
        <w:rPr>
          <w:rFonts w:ascii="Times New Roman" w:hAnsi="Times New Roman"/>
          <w:sz w:val="20"/>
        </w:rPr>
      </w:pPr>
      <w:r>
        <w:rPr>
          <w:rFonts w:ascii="Times New Roman" w:hAnsi="Times New Roman"/>
          <w:sz w:val="20"/>
        </w:rPr>
        <w:t xml:space="preserve">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60% (so long as any bonds issued prior to January 1, 1997 remain outstanding, and thereafter 70%), or the deposit with the trustee of bonds we have acquired. The mortgage contains special provisions with respect to the release of all or substantially all of our gas and electric properties. We have reserved the right to amend the mortgage to change the release and substitution provisions. See “—Modification of the Mortgage.” </w:t>
      </w:r>
    </w:p>
    <w:p>
      <w:pPr>
        <w:pStyle w:val="TextBody"/>
        <w:bidi w:val="0"/>
        <w:spacing w:before="360" w:after="0"/>
        <w:jc w:val="left"/>
        <w:rPr>
          <w:rFonts w:ascii="Times New Roman" w:hAnsi="Times New Roman"/>
          <w:b/>
          <w:sz w:val="20"/>
        </w:rPr>
      </w:pPr>
      <w:r>
        <w:rPr>
          <w:rFonts w:ascii="Times New Roman" w:hAnsi="Times New Roman"/>
          <w:b/>
          <w:sz w:val="20"/>
        </w:rPr>
        <w:t xml:space="preserve">Priority and Security </w:t>
      </w:r>
    </w:p>
    <w:p>
      <w:pPr>
        <w:pStyle w:val="TextBody"/>
        <w:bidi w:val="0"/>
        <w:spacing w:before="120" w:after="0"/>
        <w:jc w:val="left"/>
        <w:rPr>
          <w:rFonts w:ascii="Times New Roman" w:hAnsi="Times New Roman"/>
          <w:sz w:val="20"/>
        </w:rPr>
      </w:pPr>
      <w:r>
        <w:rPr>
          <w:rFonts w:ascii="Times New Roman" w:hAnsi="Times New Roman"/>
          <w:sz w:val="20"/>
        </w:rPr>
        <w:t xml:space="preserve">The bonds when issued will be secured, equally and ratably with all of the bonds now outstanding or hereafter issued under the mortgage, by the lien on substantially all of our fixed property and franchises purported to be conveyed by the mortgage including after-acquired property of the character intended to be mortgaged property, subject to the exceptions referred to below, to certain minor leases and easements, permitted liens, exceptions and reservations in the instruments by which we acquired title to our property and the prior lien of the trustee for compensation, expenses and liability. </w:t>
      </w:r>
    </w:p>
    <w:p>
      <w:pPr>
        <w:pStyle w:val="TextBody"/>
        <w:bidi w:val="0"/>
        <w:spacing w:before="240" w:after="0"/>
        <w:jc w:val="left"/>
        <w:rPr>
          <w:rFonts w:ascii="Times New Roman" w:hAnsi="Times New Roman"/>
          <w:sz w:val="20"/>
        </w:rPr>
      </w:pPr>
      <w:r>
        <w:rPr>
          <w:rFonts w:ascii="Times New Roman" w:hAnsi="Times New Roman"/>
          <w:sz w:val="20"/>
        </w:rPr>
        <w:t xml:space="preserve">Excepted from the lien of the mortgage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 or operating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 pledged under the mortgage;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electric energy, gas, water, materials and supplies held for consumption in operation or held in advance of use for fixed capital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merchandise, appliances and supplies held for resale or lease to customers. </w:t>
            </w:r>
          </w:p>
        </w:tc>
      </w:tr>
    </w:tbl>
    <w:p>
      <w:pPr>
        <w:pStyle w:val="TextBody"/>
        <w:bidi w:val="0"/>
        <w:spacing w:before="240" w:after="0"/>
        <w:jc w:val="left"/>
        <w:rPr>
          <w:rFonts w:ascii="Times New Roman" w:hAnsi="Times New Roman"/>
          <w:sz w:val="20"/>
        </w:rPr>
      </w:pPr>
      <w:r>
        <w:rPr>
          <w:rFonts w:ascii="Times New Roman" w:hAnsi="Times New Roman"/>
          <w:sz w:val="20"/>
        </w:rPr>
        <w:t>There is further expressly excepted any property of any other corporation, all the securities of which may be owned or later acquired by us. The lien of the mortgage does not apply to property of Evergy Kansas South so long as Evergy Kansas South remains our wholly</w:t>
      </w:r>
      <w:r>
        <w:rPr>
          <w:rFonts w:ascii="Times New Roman" w:hAnsi="Times New Roman"/>
          <w:b/>
          <w:sz w:val="20"/>
        </w:rPr>
        <w:t>-</w:t>
      </w:r>
      <w:r>
        <w:rPr>
          <w:rFonts w:ascii="Times New Roman" w:hAnsi="Times New Roman"/>
          <w:sz w:val="20"/>
        </w:rPr>
        <w:t xml:space="preserve">owned subsidiary, to the stock of Evergy Kansas South owned by us or to the stock of any of our other subsidiaries. The mortgage permits our consolidation or merger with, or the conveyance of all or substantially all of our property to, any other corporation; provided, among other things, that the successor corporation assumes the due and punctual payment of the principal and interest on the bonds of all series then outstanding under the mortgage and assumes the due and punctual performance of all the covenants and conditions of the mortgage.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We only have a shareholder’s claim on the assets of our subsidiaries. This shareholder’s claim is junior to the claims that creditors of our subsidiaries have against our subsidiaries. Holders of our bonds are our creditors and not creditors of any of our subsidiaries. As a result, all the existing and future liabilities of our subsidiaries, including any claims of their creditors, are structurally senior to the bonds with respect to the assets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bonds are our obligations exclusively. To the extent that our ability to service our debt, including the bonds, may be dependent upon the earnings of our subsidiaries, our ability to do so will be dependent on the ability of our subsidiaries to distribute those earnings to us as dividends, loans or other payments. Our subsidiaries are separate and distinct legal entities and have no obligation, contingent or otherwise, to pay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due on the bonds or to make funds available to us to do so. Our subsidiaries’ ability to pay dividends or make other payments or advances to us will depend upon their operating results and will be subject to applicable laws and contractual restrictions. The mortgages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Mortgage </w:t>
      </w:r>
    </w:p>
    <w:p>
      <w:pPr>
        <w:pStyle w:val="TextBody"/>
        <w:bidi w:val="0"/>
        <w:spacing w:before="120" w:after="0"/>
        <w:jc w:val="left"/>
        <w:rPr>
          <w:rFonts w:ascii="Times New Roman" w:hAnsi="Times New Roman"/>
          <w:sz w:val="20"/>
        </w:rPr>
      </w:pPr>
      <w:r>
        <w:rPr>
          <w:rFonts w:ascii="Times New Roman" w:hAnsi="Times New Roman"/>
          <w:sz w:val="20"/>
        </w:rPr>
        <w:t xml:space="preserve">The mortgage may be modified or altered, subject to our rights and obligations and the rights of holders of bonds, by the written consent of the holders of at least 60% in principal amount of all of the bonds outstanding thereunder, and, if the rights of one or more, but less than all, series of bonds then outstanding are to be affected by action taken pursuant to such consent, then also by consent of the holders of at least 60% in principal amount of each series of bonds so affected. No modification or alteration may be made which will permit the extension of the time or times of payment of the principal of, and premium, if any, or interest (including additional interest) on, any bond or a reduction in the rate of interest thereon, or otherwise affect the terms of payment of the principal of, and premium, if any, or interest (including additional interest) on, any bond or a reduction in the rate of interest thereon or reduce the percentages required for the taking of any action thereunder. Bonds owned by us or any affiliated corporation are excluded for the purpose of any vote, determination of a quorum or consent. </w:t>
      </w:r>
    </w:p>
    <w:p>
      <w:pPr>
        <w:pStyle w:val="TextBody"/>
        <w:bidi w:val="0"/>
        <w:spacing w:before="240" w:after="0"/>
        <w:jc w:val="left"/>
        <w:rPr>
          <w:rFonts w:ascii="Times New Roman" w:hAnsi="Times New Roman"/>
          <w:sz w:val="20"/>
        </w:rPr>
      </w:pPr>
      <w:r>
        <w:rPr>
          <w:rFonts w:ascii="Times New Roman" w:hAnsi="Times New Roman"/>
          <w:sz w:val="20"/>
        </w:rPr>
        <w:t xml:space="preserve">The mortgage also provides that without the consent of any holder of any bond issued thereunder, the right of such holder to receive payment of the principal of, and premium, if any, or interest (including additional interest) on, on or after the respective due dates expressed in such bond, or to institute suit for the enforcement of any payment on or after such respective due dates shall not be impaired or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reserved the right, subject to appropriate corporate action, but without the consent or other action of holders of bonds of any series created after January 1, 1997, to make amendments to the mortgage to permit, unless an event of default shall have happened and be continuing, or shall happen as a result of making or granting an application: </w:t>
      </w:r>
    </w:p>
    <w:p>
      <w:pPr>
        <w:pStyle w:val="TextBody"/>
        <w:bidi w:val="0"/>
        <w:spacing w:before="120" w:after="0"/>
        <w:jc w:val="left"/>
        <w:rPr>
          <w:rFonts w:ascii="Times New Roman" w:hAnsi="Times New Roman"/>
          <w:sz w:val="20"/>
        </w:rPr>
      </w:pPr>
      <w:r>
        <w:rPr>
          <w:rFonts w:ascii="Times New Roman" w:hAnsi="Times New Roman"/>
          <w:sz w:val="20"/>
        </w:rPr>
        <w:t xml:space="preserve">(1)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w:t>
      </w:r>
    </w:p>
    <w:p>
      <w:pPr>
        <w:pStyle w:val="TextBody"/>
        <w:bidi w:val="0"/>
        <w:spacing w:before="240" w:after="0"/>
        <w:jc w:val="left"/>
        <w:rPr>
          <w:rFonts w:ascii="Times New Roman" w:hAnsi="Times New Roman"/>
          <w:sz w:val="20"/>
        </w:rPr>
      </w:pPr>
      <w:r>
        <w:rPr>
          <w:rFonts w:ascii="Times New Roman" w:hAnsi="Times New Roman"/>
          <w:sz w:val="20"/>
        </w:rPr>
        <w:t xml:space="preserve">(2)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 </w:t>
      </w:r>
    </w:p>
    <w:p>
      <w:pPr>
        <w:pStyle w:val="TextBody"/>
        <w:bidi w:val="0"/>
        <w:spacing w:before="240" w:after="0"/>
        <w:jc w:val="left"/>
        <w:rPr>
          <w:rFonts w:ascii="Times New Roman" w:hAnsi="Times New Roman"/>
          <w:sz w:val="20"/>
        </w:rPr>
      </w:pPr>
      <w:r>
        <w:rPr>
          <w:rFonts w:ascii="Times New Roman" w:hAnsi="Times New Roman"/>
          <w:sz w:val="20"/>
        </w:rPr>
        <w:t xml:space="preserve">(3) the deletion of the net earnings test for the issuance of additional bonds or merging into another company; </w:t>
      </w:r>
    </w:p>
    <w:p>
      <w:pPr>
        <w:pStyle w:val="TextBody"/>
        <w:bidi w:val="0"/>
        <w:spacing w:before="240" w:after="0"/>
        <w:jc w:val="left"/>
        <w:rPr>
          <w:rFonts w:ascii="Times New Roman" w:hAnsi="Times New Roman"/>
          <w:sz w:val="20"/>
        </w:rPr>
      </w:pPr>
      <w:r>
        <w:rPr>
          <w:rFonts w:ascii="Times New Roman" w:hAnsi="Times New Roman"/>
          <w:sz w:val="20"/>
        </w:rPr>
        <w:t xml:space="preserve">(4) the deletion of a financial test to be met by another corporation in the event of our consolidation or merger into or our sale of our property as an entirety or substantially as an entirety to such other corporation; and </w:t>
      </w:r>
    </w:p>
    <w:p>
      <w:pPr>
        <w:pStyle w:val="TextBody"/>
        <w:bidi w:val="0"/>
        <w:spacing w:before="240" w:after="0"/>
        <w:jc w:val="left"/>
        <w:rPr>
          <w:rFonts w:ascii="Times New Roman" w:hAnsi="Times New Roman"/>
          <w:sz w:val="20"/>
        </w:rPr>
      </w:pPr>
      <w:r>
        <w:rPr>
          <w:rFonts w:ascii="Times New Roman" w:hAnsi="Times New Roman"/>
          <w:sz w:val="20"/>
        </w:rPr>
        <w:t xml:space="preserve">(5) the deletion of the requirement to obtain an independent engineer’s certificate in connection with certain releases of property from the lien of the mortgage.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also reserved the right, subject to appropriate corporate action, but without the consent or other action of holders of bonds of any series created on or after June 1, 2004, to: </w:t>
      </w:r>
    </w:p>
    <w:p>
      <w:pPr>
        <w:pStyle w:val="TextBody"/>
        <w:bidi w:val="0"/>
        <w:spacing w:before="120" w:after="0"/>
        <w:jc w:val="left"/>
        <w:rPr>
          <w:rFonts w:ascii="Times New Roman" w:hAnsi="Times New Roman"/>
          <w:sz w:val="20"/>
        </w:rPr>
      </w:pPr>
      <w:r>
        <w:rPr>
          <w:rFonts w:ascii="Times New Roman" w:hAnsi="Times New Roman"/>
          <w:sz w:val="20"/>
        </w:rPr>
        <w:t xml:space="preserve">(1) Amend the mortgage to allow us or any successor entity to issue substitute bonds (or similar instruments) for any outstanding bonds, provided that such substitute bonds (or similar instruments) carry ratings equal to or better than the then current ratings of the bonds which are being replaced and that certain other conditions are satisfied. The mortgage and deed of trust under which any such substitute bonds (or similar instruments) may be issued may contain terms and conditions different from the mortgage; </w:t>
      </w:r>
    </w:p>
    <w:p>
      <w:pPr>
        <w:pStyle w:val="TextBody"/>
        <w:bidi w:val="0"/>
        <w:spacing w:before="240" w:after="0"/>
        <w:jc w:val="left"/>
        <w:rPr>
          <w:rFonts w:ascii="Times New Roman" w:hAnsi="Times New Roman"/>
          <w:sz w:val="20"/>
        </w:rPr>
      </w:pPr>
      <w:r>
        <w:rPr>
          <w:rFonts w:ascii="Times New Roman" w:hAnsi="Times New Roman"/>
          <w:sz w:val="20"/>
        </w:rPr>
        <w:t xml:space="preserve">(2) Eliminate as an event of default the failure to discharge or stay within 30 days a final judgment against us for the payment of money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(3) Eliminate the net earnings test in connection with certain acquisitions of property; </w:t>
      </w:r>
    </w:p>
    <w:p>
      <w:pPr>
        <w:pStyle w:val="TextBody"/>
        <w:bidi w:val="0"/>
        <w:spacing w:before="240" w:after="0"/>
        <w:jc w:val="left"/>
        <w:rPr>
          <w:rFonts w:ascii="Times New Roman" w:hAnsi="Times New Roman"/>
          <w:sz w:val="20"/>
        </w:rPr>
      </w:pPr>
      <w:r>
        <w:rPr>
          <w:rFonts w:ascii="Times New Roman" w:hAnsi="Times New Roman"/>
          <w:sz w:val="20"/>
        </w:rPr>
        <w:t xml:space="preserve">(4) Add nuclear fuel to the definition of property additions; and </w:t>
      </w:r>
    </w:p>
    <w:p>
      <w:pPr>
        <w:pStyle w:val="TextBody"/>
        <w:bidi w:val="0"/>
        <w:spacing w:before="240" w:after="0"/>
        <w:jc w:val="left"/>
        <w:rPr>
          <w:rFonts w:ascii="Times New Roman" w:hAnsi="Times New Roman"/>
          <w:sz w:val="20"/>
        </w:rPr>
      </w:pPr>
      <w:r>
        <w:rPr>
          <w:rFonts w:ascii="Times New Roman" w:hAnsi="Times New Roman"/>
          <w:sz w:val="20"/>
        </w:rPr>
        <w:t xml:space="preserve">(5) Make certain amendments to modernize and clarify the terms of the mortgage. These amendments will not adversely affect the rights of holders of bonds and may include the following provisions, among others: (i) simplification of the trustee provisions; (ii) the addition of a governing law clause; (iii) the addition of defeasance provisions for future issuances of bonds; (iv) elimination of maintenance and improvement fund requirements for future issuances of bonds (which requirements will instead be added to specific series of bonds); (v) simplification of the release provisions for obsolete property, de minimis property releases and substitution of property and unfunded property; (vi) the ability to issue global or uncertificated securities; (vii) clarification of our ability to issue variable rate bonds under the mortgage and (viii) amendment of the definitions of excepted property and permitted liens.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mortgage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bond when the same shall become due and payable, whether at maturity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continuing for 30 days in the payment of any installment of interest on any bond or in the payment or satisfaction of any sinking fund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discharge or stay within 30 days a final judgment against us for the payment of money in excess of $100,000;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any prior lien bond when the same shall become due and payable, whether at maturity or otherwise, or default in the payment of any installment on interest on any prior lien bond beyond the applicable grace period specified in such prior lien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reserved the right to amend the mortgage to eliminate the fourth event of default described above with respect to future series of bonds. 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2_2879371_8"/>
      <w:bookmarkEnd w:id="21"/>
      <w:r>
        <w:rPr>
          <w:rFonts w:ascii="Times New Roman" w:hAnsi="Times New Roman"/>
          <w:b/>
          <w:sz w:val="20"/>
        </w:rPr>
        <w:t xml:space="preserve">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each series of first mortgage bonds and debt securities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we have agreed to notify the applicable trustee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based solely on information furnished by DTC: </w:t>
      </w:r>
    </w:p>
    <w:p>
      <w:pPr>
        <w:pStyle w:val="TextBody"/>
        <w:bidi w:val="0"/>
        <w:spacing w:before="120" w:after="0"/>
        <w:jc w:val="left"/>
        <w:rPr>
          <w:rFonts w:ascii="Times New Roman" w:hAnsi="Times New Roman"/>
          <w:sz w:val="20"/>
        </w:rPr>
      </w:pPr>
      <w:r>
        <w:rPr>
          <w:rFonts w:ascii="Times New Roman" w:hAnsi="Times New Roman"/>
          <w:sz w:val="20"/>
        </w:rPr>
        <w:t xml:space="preserve">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 </w:t>
      </w:r>
    </w:p>
    <w:p>
      <w:pPr>
        <w:pStyle w:val="TextBody"/>
        <w:bidi w:val="0"/>
        <w:spacing w:before="240" w:after="0"/>
        <w:jc w:val="left"/>
        <w:rPr>
          <w:rFonts w:ascii="Times New Roman" w:hAnsi="Times New Roman"/>
          <w:sz w:val="20"/>
        </w:rPr>
      </w:pPr>
      <w:r>
        <w:rPr>
          <w:rFonts w:ascii="Times New Roman" w:hAnsi="Times New Roman"/>
          <w:sz w:val="20"/>
        </w:rPr>
        <w:t xml:space="preserve">If the global securities are redeemable, redemption notices shall be sent to DTC. If less than all of the global securities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interest and premium payments, if any, on debt securities or first mortgage bonds, in each case, represented by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or first mortgage bonds, in each case, represented by global securities, to Cede &amp; Co. (or such other nominee as may be requested by an authorized representative of DTC) is the responsibility of the appropriate trustee, or other relevant agent of ours and us. Disbursement of such payments to direct participants shall be the responsibility of DTC, and disbursement of such payments to the beneficial owners shall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global securities at any time by giving reasonable notice to us or the applicable trustee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including DTC, that we believe to be reliable, but we take no responsibility for the accuracy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or agents of any of the securities may be direct participants of DTC. </w:t>
      </w:r>
    </w:p>
    <w:p>
      <w:pPr>
        <w:pStyle w:val="TextBody"/>
        <w:bidi w:val="0"/>
        <w:spacing w:before="360" w:after="0"/>
        <w:jc w:val="left"/>
        <w:rPr>
          <w:rFonts w:ascii="Times New Roman" w:hAnsi="Times New Roman"/>
          <w:b/>
          <w:sz w:val="20"/>
        </w:rPr>
      </w:pPr>
      <w:r>
        <w:rPr>
          <w:rFonts w:ascii="Times New Roman" w:hAnsi="Times New Roman"/>
          <w:b/>
          <w:sz w:val="20"/>
        </w:rPr>
        <w:t xml:space="preserve">None of the trustees,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2_2879371_9"/>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2_2879371_10"/>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 </w:t>
      </w:r>
    </w:p>
    <w:p>
      <w:pPr>
        <w:pStyle w:val="TextBody"/>
        <w:bidi w:val="0"/>
        <w:spacing w:before="480" w:after="0"/>
        <w:jc w:val="center"/>
        <w:rPr>
          <w:rFonts w:ascii="Times New Roman" w:hAnsi="Times New Roman"/>
          <w:b/>
          <w:sz w:val="20"/>
        </w:rPr>
      </w:pPr>
      <w:bookmarkStart w:id="24" w:name="tx2_2879371_11"/>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Evergy Kansas Central,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2_2879371_12"/>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through the SEC’s Electronic Data Gathering, Analysis and Retrieval system and these filings are publically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2023, as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2024 and June 30, 2024, as filed with the SEC on </w:t>
            </w:r>
            <w:hyperlink r:id="rId11">
              <w:r>
                <w:rPr>
                  <w:rStyle w:val="InternetLink"/>
                  <w:rFonts w:ascii="Times New Roman" w:hAnsi="Times New Roman"/>
                  <w:sz w:val="20"/>
                </w:rPr>
                <w:t>May  9, 2024</w:t>
              </w:r>
            </w:hyperlink>
            <w:r>
              <w:rPr>
                <w:rFonts w:ascii="Times New Roman" w:hAnsi="Times New Roman"/>
                <w:sz w:val="20"/>
              </w:rPr>
              <w:t xml:space="preserve"> and </w:t>
            </w:r>
            <w:hyperlink r:id="rId12">
              <w:r>
                <w:rPr>
                  <w:rStyle w:val="InternetLink"/>
                  <w:rFonts w:ascii="Times New Roman" w:hAnsi="Times New Roman"/>
                  <w:sz w:val="20"/>
                </w:rPr>
                <w:t>August 9, 2024</w:t>
              </w:r>
            </w:hyperlink>
            <w:r>
              <w:rPr>
                <w:rFonts w:ascii="Times New Roman" w:hAnsi="Times New Roman"/>
                <w:sz w:val="20"/>
              </w:rPr>
              <w:t xml:space="preserv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Form 8-K, as filed with the SEC on </w:t>
            </w:r>
            <w:hyperlink r:id="rId13">
              <w:r>
                <w:rPr>
                  <w:rStyle w:val="InternetLink"/>
                  <w:rFonts w:ascii="Times New Roman" w:hAnsi="Times New Roman"/>
                  <w:sz w:val="20"/>
                </w:rPr>
                <w:t>June 10,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Evergy Kansas Central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Kansas Central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our parent company, Evergy, and another wholly-owned subsidiary of Evergy, Evergy Metro, separately file combined reports under the Exchange Act. However, the information contained in the combined reports relating solely to our parent and its subsidiaries (other than Evergy Kansas Central and its consolidated subsidiaries), including Evergy Missouri West, Inc., was separately filed by Evergy on its behalf, the information contained in the combined reports relating solely to Evergy Metro and its subsidiaries was separately filed by Evergy Metro on its behalf and the information contained in those combined reports relating solely to Evergy Kansas Central and its consolidated subsidiaries was separately filed by us. We do not intend to incorporate by reference into this prospectus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in the combined report. The only information you should rely upon in determining whether to invest in the securities offered hereby is the information of Evergy Kansas Central and its consolidated subsidiaries contained in this prospectus and any prospectus supplement, the information separately provided by Evergy Kansas Central and its consolidated subsidiaries in the documents incorporated by reference herein and therein and any free writing prospectus used in connection with the offering of securities described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785-575-8227), Attention: Corporate Secretary, or by contacting us on our parent company’s website.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all information appearing in this registration statement is qualified in its entirety by the information appearing in the documents incorporated by reference in this registration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0" w:after="0"/>
        <w:jc w:val="center"/>
        <w:rPr>
          <w:rFonts w:ascii="Times New Roman" w:hAnsi="Times New Roman"/>
          <w:b/>
          <w:sz w:val="32"/>
        </w:rPr>
      </w:pPr>
      <w:r>
        <w:rPr>
          <w:rFonts w:ascii="Times New Roman" w:hAnsi="Times New Roman"/>
          <w:b/>
          <w:sz w:val="32"/>
        </w:rPr>
        <w:t xml:space="preserve">Evergy Kansas Central, Inc.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54476/000171126926000017/evrg-20251231.htm" TargetMode="External"/><Relationship Id="rId3" Type="http://schemas.openxmlformats.org/officeDocument/2006/relationships/hyperlink" Target="http://www.sec.gov/Archives/edgar/data/../../../ix?doc=/Archives/edgar/data/54476/000171126926000057/evrg-20260331.htm" TargetMode="External"/><Relationship Id="rId4" Type="http://schemas.openxmlformats.org/officeDocument/2006/relationships/hyperlink" Target="http://www.sec.gov/Archives/edgar/data/../../../ix?doc=/Archives/edgar/data/54476/000171126926000100/evrg-20260630.htm" TargetMode="External"/><Relationship Id="rId5" Type="http://schemas.openxmlformats.org/officeDocument/2006/relationships/hyperlink" Target="http://www.sec.gov/Archives/edgar/data/../../../ix?doc=/Archives/edgar/data/54476/000119312526292565/d82314d8k.htm" TargetMode="External"/><Relationship Id="rId6" Type="http://schemas.openxmlformats.org/officeDocument/2006/relationships/hyperlink" Target="http://www.sec.gov/Archives/edgar/data/../../../ix?doc=/Archives/edgar/data/54507/000119312526292566/d917808d8k.htm" TargetMode="External"/><Relationship Id="rId7" Type="http://schemas.openxmlformats.org/officeDocument/2006/relationships/hyperlink" Target="http://www.sec.gov/Archives/edgar/data/../../../ix?doc=/Archives/edgar/data/54476/000171126924000007/evrg-20231231.htm" TargetMode="External"/><Relationship Id="rId8" Type="http://schemas.openxmlformats.org/officeDocument/2006/relationships/hyperlink" Target="http://www.sec.gov/Archives/edgar/data/../../../ix?doc=/Archives/edgar/data/54476/000171126924000013/evrg-20240331.htm" TargetMode="External"/><Relationship Id="rId9" Type="http://schemas.openxmlformats.org/officeDocument/2006/relationships/hyperlink" Target="http://www.sec.gov/Archives/edgar/data/../../../ix?doc=/Archives/edgar/data/54476/000171126924000027/evrg-20240630.htm" TargetMode="External"/><Relationship Id="rId10" Type="http://schemas.openxmlformats.org/officeDocument/2006/relationships/hyperlink" Target="http://www.sec.gov/Archives/edgar/data/../../../ix?doc=/Archives/edgar/data/54476/000171126924000007/evrg-20231231.htm" TargetMode="External"/><Relationship Id="rId11" Type="http://schemas.openxmlformats.org/officeDocument/2006/relationships/hyperlink" Target="http://www.sec.gov/Archives/edgar/data/../../../ix?doc=/Archives/edgar/data/54476/000171126924000013/evrg-20240331.htm" TargetMode="External"/><Relationship Id="rId12" Type="http://schemas.openxmlformats.org/officeDocument/2006/relationships/hyperlink" Target="http://www.sec.gov/Archives/edgar/data/../../../ix?doc=/Archives/edgar/data/54476/000171126924000027/evrg-20240630.htm" TargetMode="External"/><Relationship Id="rId13" Type="http://schemas.openxmlformats.org/officeDocument/2006/relationships/hyperlink" Target="http://www.sec.gov/Archives/edgar/data/../../../ix?doc=/Archives/edgar/data/54476/000119312524157846/d819221d8k.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31969</Words>
  <Characters>167941</Characters>
  <CharactersWithSpaces>200672</CharactersWithSpaces>
  <Paragraphs>2011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