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Humphrey Heather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331" w:lineRule="auto"/>
        <w:rPr>
          <w:sz w:val="20"/>
          <w:szCs w:val="20"/>
          <w:color w:val="auto"/>
        </w:rPr>
      </w:pPr>
      <w:r>
        <w:rPr>
          <w:rFonts w:ascii="Arial" w:cs="Arial" w:eastAsia="Arial" w:hAnsi="Arial"/>
          <w:sz w:val="18"/>
          <w:szCs w:val="18"/>
          <w:color w:val="0000FF"/>
        </w:rPr>
        <w:t>C/O GREAT PLAINS ENERGY INCORPORATED 1200 MAIN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KANSAS CITY  MO</w:t>
            </w:r>
          </w:p>
        </w:tc>
        <w:tc>
          <w:tcPr>
            <w:tcW w:w="1680" w:type="dxa"/>
            <w:vAlign w:val="bottom"/>
          </w:tcPr>
          <w:p>
            <w:pPr>
              <w:ind w:left="420"/>
              <w:spacing w:after="0"/>
              <w:rPr>
                <w:sz w:val="20"/>
                <w:szCs w:val="20"/>
                <w:color w:val="auto"/>
              </w:rPr>
            </w:pPr>
            <w:r>
              <w:rPr>
                <w:rFonts w:ascii="Arial" w:cs="Arial" w:eastAsia="Arial" w:hAnsi="Arial"/>
                <w:sz w:val="18"/>
                <w:szCs w:val="18"/>
                <w:color w:val="0000FF"/>
              </w:rPr>
              <w:t>64105</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GREAT PLAINS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GXP</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10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74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46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60" w:type="dxa"/>
            <w:vAlign w:val="bottom"/>
          </w:tcPr>
          <w:p>
            <w:pPr>
              <w:ind w:left="16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60" w:type="dxa"/>
            <w:vAlign w:val="bottom"/>
            <w:vMerge w:val="continue"/>
          </w:tcPr>
          <w:p>
            <w:pPr>
              <w:spacing w:after="0"/>
              <w:rPr>
                <w:sz w:val="6"/>
                <w:szCs w:val="6"/>
                <w:color w:val="auto"/>
              </w:rPr>
            </w:pPr>
          </w:p>
        </w:tc>
        <w:tc>
          <w:tcPr>
            <w:tcW w:w="1460" w:type="dxa"/>
            <w:vAlign w:val="bottom"/>
            <w:vMerge w:val="restart"/>
          </w:tcPr>
          <w:p>
            <w:pPr>
              <w:ind w:left="16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2960" w:type="dxa"/>
            <w:vAlign w:val="bottom"/>
            <w:gridSpan w:val="2"/>
            <w:vMerge w:val="restart"/>
          </w:tcPr>
          <w:p>
            <w:pPr>
              <w:ind w:left="40"/>
              <w:spacing w:after="0"/>
              <w:rPr>
                <w:sz w:val="20"/>
                <w:szCs w:val="20"/>
                <w:color w:val="auto"/>
              </w:rPr>
            </w:pPr>
            <w:r>
              <w:rPr>
                <w:rFonts w:ascii="Arial" w:cs="Arial" w:eastAsia="Arial" w:hAnsi="Arial"/>
                <w:sz w:val="18"/>
                <w:szCs w:val="18"/>
                <w:color w:val="0000FF"/>
              </w:rPr>
              <w:t>SVP-Corp Srv &amp; General Counsel</w:t>
            </w:r>
          </w:p>
        </w:tc>
        <w:tc>
          <w:tcPr>
            <w:tcW w:w="0" w:type="dxa"/>
            <w:vAlign w:val="bottom"/>
          </w:tcPr>
          <w:p>
            <w:pPr>
              <w:spacing w:after="0"/>
              <w:rPr>
                <w:sz w:val="1"/>
                <w:szCs w:val="1"/>
                <w:color w:val="auto"/>
              </w:rPr>
            </w:pPr>
          </w:p>
        </w:tc>
      </w:tr>
      <w:tr>
        <w:trPr>
          <w:trHeight w:val="222"/>
        </w:trPr>
        <w:tc>
          <w:tcPr>
            <w:tcW w:w="2940" w:type="dxa"/>
            <w:vAlign w:val="bottom"/>
            <w:gridSpan w:val="3"/>
          </w:tcPr>
          <w:p>
            <w:pPr>
              <w:ind w:left="80"/>
              <w:spacing w:after="0"/>
              <w:rPr>
                <w:sz w:val="20"/>
                <w:szCs w:val="20"/>
                <w:color w:val="auto"/>
              </w:rPr>
            </w:pPr>
            <w:r>
              <w:rPr>
                <w:rFonts w:ascii="Arial" w:cs="Arial" w:eastAsia="Arial" w:hAnsi="Arial"/>
                <w:sz w:val="18"/>
                <w:szCs w:val="18"/>
                <w:color w:val="0000FF"/>
              </w:rPr>
              <w:t>06/03/2018</w:t>
            </w: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06/03/2018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0" w:type="dxa"/>
            <w:vAlign w:val="bottom"/>
            <w:tcBorders>
              <w:bottom w:val="single" w:sz="8" w:color="2C2C2C"/>
            </w:tcBorders>
            <w:gridSpan w:val="2"/>
          </w:tcPr>
          <w:p>
            <w:pPr>
              <w:jc w:val="center"/>
              <w:ind w:right="119"/>
              <w:spacing w:after="0"/>
              <w:rPr>
                <w:sz w:val="20"/>
                <w:szCs w:val="20"/>
                <w:color w:val="auto"/>
              </w:rPr>
            </w:pPr>
            <w:r>
              <w:rPr>
                <w:rFonts w:ascii="Arial" w:cs="Arial" w:eastAsia="Arial" w:hAnsi="Arial"/>
                <w:sz w:val="18"/>
                <w:szCs w:val="18"/>
                <w:color w:val="0000FF"/>
              </w:rPr>
              <w:t>20,393</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34"/>
              <w:spacing w:after="0"/>
              <w:rPr>
                <w:sz w:val="20"/>
                <w:szCs w:val="20"/>
                <w:color w:val="auto"/>
              </w:rPr>
            </w:pPr>
            <w:r>
              <w:rPr>
                <w:rFonts w:ascii="Arial" w:cs="Arial" w:eastAsia="Arial" w:hAnsi="Arial"/>
                <w:sz w:val="18"/>
                <w:szCs w:val="18"/>
                <w:color w:val="0000FF"/>
                <w:w w:val="87"/>
              </w:rPr>
              <w:t>81,609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06/04/2018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81,609</w:t>
            </w:r>
          </w:p>
        </w:tc>
        <w:tc>
          <w:tcPr>
            <w:tcW w:w="2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center"/>
              <w:ind w:right="79"/>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534"/>
              <w:spacing w:after="0"/>
              <w:rPr>
                <w:sz w:val="20"/>
                <w:szCs w:val="20"/>
                <w:color w:val="auto"/>
              </w:rPr>
            </w:pPr>
            <w:r>
              <w:rPr>
                <w:rFonts w:ascii="Arial" w:cs="Arial" w:eastAsia="Arial" w:hAnsi="Arial"/>
                <w:sz w:val="18"/>
                <w:szCs w:val="18"/>
                <w:color w:val="0000FF"/>
              </w:rPr>
              <w:t>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1"/>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3"/>
          </w:tcPr>
          <w:p>
            <w:pPr>
              <w:ind w:left="2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26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20"/>
                <w:szCs w:val="20"/>
                <w:color w:val="auto"/>
              </w:rPr>
            </w:pPr>
            <w:r>
              <w:rPr>
                <w:rFonts w:ascii="Arial" w:cs="Arial" w:eastAsia="Arial" w:hAnsi="Arial"/>
                <w:sz w:val="12"/>
                <w:szCs w:val="12"/>
                <w:b w:val="1"/>
                <w:bCs w:val="1"/>
                <w:color w:val="auto"/>
                <w:w w:val="97"/>
              </w:rPr>
              <w:t>Title</w:t>
            </w:r>
          </w:p>
        </w:tc>
        <w:tc>
          <w:tcPr>
            <w:tcW w:w="1080" w:type="dxa"/>
            <w:vAlign w:val="bottom"/>
            <w:gridSpan w:val="3"/>
          </w:tcPr>
          <w:p>
            <w:pPr>
              <w:ind w:left="20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common stock. The restricted stock units vest on June 5, 2020, if the officer remains employed with the company through the vesting date.</w:t>
      </w:r>
    </w:p>
    <w:p>
      <w:pPr>
        <w:spacing w:after="0" w:line="30" w:lineRule="exact"/>
        <w:rPr>
          <w:rFonts w:ascii="Arial" w:cs="Arial" w:eastAsia="Arial" w:hAnsi="Arial"/>
          <w:sz w:val="14"/>
          <w:szCs w:val="14"/>
          <w:color w:val="008000"/>
        </w:rPr>
      </w:pPr>
    </w:p>
    <w:p>
      <w:pPr>
        <w:ind w:left="40" w:right="24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Disposed of pursuant to that certain Amended and Restated Agreement and Plan of Merger ("Merger Agreement") dated as of July 9, 2017 by and among Great Plains Energy Incorporated ("Great Plains Energy"), Westar Energy, Inc., Evergy, Inc. ("Evergy") (formerly Monarch Energy Holding, Inc.), King Energy, Inc., and for certain limited purposes, GP Star, Inc. in exchange for shares of Evergy common stock at an exchange ratio of 0.5981 for each Great Plains Energy share on the effective date of the merger. On the effective date of the merger, the closing price of Great Plains Energy's common stock was $31.99 per share, and Evergy's common stock had not yet commenced trading on the New York Stock Exchange.</w:t>
      </w:r>
    </w:p>
    <w:p>
      <w:pPr>
        <w:spacing w:after="0" w:line="3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Executed on behalf of Heather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62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207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 Humphrey by Jaileah X.</w:t>
      </w:r>
      <w:r>
        <w:rPr>
          <w:sz w:val="20"/>
          <w:szCs w:val="20"/>
          <w:color w:val="auto"/>
        </w:rPr>
        <w:tab/>
      </w:r>
      <w:r>
        <w:rPr>
          <w:rFonts w:ascii="Arial" w:cs="Arial" w:eastAsia="Arial" w:hAnsi="Arial"/>
          <w:sz w:val="15"/>
          <w:szCs w:val="15"/>
          <w:color w:val="0000FF"/>
        </w:rPr>
        <w:t>06/05/2018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Huddleston,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630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04867" TargetMode="External"/><Relationship Id="rId13" Type="http://schemas.openxmlformats.org/officeDocument/2006/relationships/hyperlink" Target="http://www.sec.gov/cgi-bin/browse-edgar?action=getcompany&amp;CIK=00011430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2019-12-04T00:42:53Z</dcterms:created>
  <dcterms:modified xsi:type="dcterms:W3CDTF">2019-12-04T00:42:53Z</dcterms:modified>
</cp:coreProperties>
</file>