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20"/>
          </w:cols>
          <w:pgMar w:left="320" w:top="118"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On May 3, 2024, Evergy, Inc. had 229,929,116 shares of common stock outstanding. On May 3, 2024, Evergy Metro, Inc. and Evergy Kansas Central, Inc. each had one share of common stock outstanding and held by Evergy, Inc.</w:t>
      </w:r>
    </w:p>
    <w:p>
      <w:pPr>
        <w:spacing w:after="0" w:line="149" w:lineRule="exact"/>
        <w:rPr>
          <w:sz w:val="20"/>
          <w:szCs w:val="20"/>
          <w:color w:val="auto"/>
        </w:rPr>
      </w:pPr>
    </w:p>
    <w:p>
      <w:pPr>
        <w:ind w:left="20" w:right="58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2023 for each of Evergy, Evergy Kansas Central and Evergy Metro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11"/>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0"/>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Receivables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1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3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Variable Interest Entities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Taxes</w:t>
            </w:r>
          </w:p>
        </w:tc>
        <w:tc>
          <w:tcPr>
            <w:tcW w:w="4880" w:type="dxa"/>
            <w:vAlign w:val="bottom"/>
            <w:gridSpan w:val="11"/>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68</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204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74</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5"/>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20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are expected to achieve in a timely manner or at all; difficulties in maintaining relationships with customers, employees, regulators or suppliers; and other risks and uncertainties.</w:t>
      </w:r>
    </w:p>
    <w:p>
      <w:pPr>
        <w:spacing w:after="0" w:line="1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3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1140" w:type="dxa"/>
            <w:vAlign w:val="bottom"/>
          </w:tcPr>
          <w:p>
            <w:pPr>
              <w:spacing w:after="0"/>
              <w:rPr>
                <w:sz w:val="24"/>
                <w:szCs w:val="24"/>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CCN</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Certificate of Convenience and Necessity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Cross-State Air Pollution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Dogwood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Dogwood Energy Center</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ELG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Effluent limitations guidelines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ERISA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7"/>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340" w:type="dxa"/>
            <w:vAlign w:val="bottom"/>
            <w:gridSpan w:val="2"/>
            <w:vMerge w:val="continue"/>
          </w:tcPr>
          <w:p>
            <w:pPr>
              <w:spacing w:after="0"/>
              <w:rPr>
                <w:sz w:val="17"/>
                <w:szCs w:val="17"/>
                <w:color w:val="auto"/>
              </w:rPr>
            </w:pPr>
          </w:p>
        </w:tc>
        <w:tc>
          <w:tcPr>
            <w:tcW w:w="776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Storm Funding I, LLC</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February 2021 winter weather event</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77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FMBs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First Mortgage Bonds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Great Plains Energy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Great Plains Energy Incorporated</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Jeffrey Energy Center</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c>
          <w:tcPr>
            <w:tcW w:w="0" w:type="dxa"/>
            <w:vAlign w:val="bottom"/>
          </w:tcPr>
          <w:p>
            <w:pPr>
              <w:spacing w:after="0"/>
              <w:rPr>
                <w:sz w:val="1"/>
                <w:szCs w:val="1"/>
                <w:color w:val="auto"/>
              </w:rPr>
            </w:pPr>
          </w:p>
        </w:tc>
      </w:tr>
      <w:tr>
        <w:trPr>
          <w:trHeight w:val="262"/>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KDHE</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Kansas Department of Health &amp; Environment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77"/>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Kilovolt</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52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63.7</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$18.5 and $24.2, respectively</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175.3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256.9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362.0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800.7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776.2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$15.2 and $— related to variable interest entity, respectively</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330.1</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292.1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62.3</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51.3</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32.4</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r>
      <w:tr>
        <w:trPr>
          <w:trHeight w:val="211"/>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1,826.5</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1,789.1</w:t>
            </w:r>
          </w:p>
        </w:tc>
      </w:tr>
      <w:tr>
        <w:trPr>
          <w:trHeight w:val="208"/>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$131.8 and $133.6 related to variable interest entity, respectively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23,945.7</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23,728.7</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$306.5 and $— related to variable interest entity, respectively</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1,758.6</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1,795.3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805.9</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583.0</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560.0</w:t>
            </w:r>
          </w:p>
        </w:tc>
      </w:tr>
      <w:tr>
        <w:trPr>
          <w:trHeight w:val="208"/>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5,484.1</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5,458.3</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31,256.3</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$11.5 and $— related to variable interest entity,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811.5</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798.7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362.0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356.7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616.9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264.5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177.0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152.7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56.8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167.4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3,189.9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3,512.6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includes $311.5 and $— related to variable interest entity, respectively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11,658.4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11,053.3</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2,117.2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2,097.9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168.2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2,522.1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2,542.5</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475.4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464.1</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1,169.7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1,162.8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291.3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287.9</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18,402.3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17,778.5</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20" w:type="dxa"/>
            <w:vAlign w:val="bottom"/>
          </w:tcPr>
          <w:p>
            <w:pPr>
              <w:spacing w:after="0"/>
              <w:rPr>
                <w:sz w:val="14"/>
                <w:szCs w:val="14"/>
                <w:color w:val="auto"/>
              </w:rPr>
            </w:pP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7,235.0</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7,234.9</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229,922,338 and 229,729,296 shares issued, stated value</w:t>
            </w: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2,432.4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2,457.8</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9,639.1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9,663.1</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9,664.1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31,256.3</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95"/>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color w:val="auto"/>
              </w:rPr>
              <w:t>(millions, except per share amounts)</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1,331.0</w:t>
            </w: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1,296.8</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376.4</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72.7</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231.5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276.1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114.1</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0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1,070.8</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1,017.5</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260.2</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5.3</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8.5</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Net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133.2</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131.3</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1.8</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125.8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122.7</w:t>
            </w: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162"/>
        </w:trPr>
        <w:tc>
          <w:tcPr>
            <w:tcW w:w="8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 ATTRIBUTABLE TO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EVERGY, INC. (see Note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0.53</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0.53</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230.2</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25"/>
        </w:trPr>
        <w:tc>
          <w:tcPr>
            <w:tcW w:w="8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230.4</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125.8</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3"/>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127.1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124.0</w:t>
            </w: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125.8</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276.1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66.2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119.3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317.3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41.5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(583.2)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139.7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303.6</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27.7</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6"/>
        </w:trPr>
        <w:tc>
          <w:tcPr>
            <w:tcW w:w="8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65.4</w:t>
            </w:r>
          </w:p>
        </w:tc>
        <w:tc>
          <w:tcPr>
            <w:tcW w:w="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229,546,105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130,594</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shd w:val="clear" w:color="auto" w:fill="CCEEFF"/>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229,676,699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229,729,296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193,042</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229,922,338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5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32.5</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$9.0 and $11.6, respectively</w:t>
            </w:r>
          </w:p>
        </w:tc>
        <w:tc>
          <w:tcPr>
            <w:tcW w:w="1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125.6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171.8</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182.0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422.4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411.9</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3.9</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134.1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22.9</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950.1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945.8</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$131.8 and $133.6 related to variable interest entity,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12,244.9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12,121.9</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490.0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505.2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1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375.9</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365.1</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304.3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288.6</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1,170.2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1,158.9</w:t>
            </w:r>
          </w:p>
        </w:tc>
      </w:tr>
      <w:tr>
        <w:trPr>
          <w:trHeight w:val="218"/>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14,365.2</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261.5</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182.0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158.0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244.7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361.5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161.7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96.3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80.6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37.6</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103.4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142.4</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1,458.9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1,432.6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4,581.0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4,580.4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850.6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844.2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1,414.3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1,432.4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261.1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256.3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581.1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577.1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159.4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155.5</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7,902.8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7,902.1</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8"/>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2,240.9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2,132.4</w:t>
            </w:r>
          </w:p>
        </w:tc>
      </w:tr>
      <w:tr>
        <w:trPr>
          <w:trHeight w:val="208"/>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4,978.5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4,870.0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r>
      <w:tr>
        <w:trPr>
          <w:trHeight w:val="208"/>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5,003.5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4,891.9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14,365.2</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95"/>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6"/>
                <w:szCs w:val="16"/>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693.2</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138.6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72.7</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116.3</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139.1</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63.2</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529.9</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163.3</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0.9</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8.2</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5.4</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55.8</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112.9</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0.8</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111.6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108.5</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111.6</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8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231.6</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(283.7)</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money pool borrowings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8"/>
        </w:trPr>
        <w:tc>
          <w:tcPr>
            <w:tcW w:w="8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75.4</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7"/>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32.5</w:t>
            </w:r>
          </w:p>
        </w:tc>
        <w:tc>
          <w:tcPr>
            <w:tcW w:w="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4,507.4</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4,613.8</w:t>
            </w: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250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11.0</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$6.4 and $7.9, respectively</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26.6</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55.0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129.7</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128.5</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130.0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276.0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264.6</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63.5</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53.2</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24.6</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20.9</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18.9</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14.7</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680.3</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666.2</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8,168.5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8,131.2</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388.1</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380.8</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430.0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401.3</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77.1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77.0</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895.2</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859.1</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9,744.0</w:t>
            </w: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220.2</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423.3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130.0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162.2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272.5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0.2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87.0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36.9</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58.3</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776.9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1,050.2</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3,217.6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2,924.4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810.0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110.5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872.6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860.2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197.1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190.8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447.0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444.4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86.7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85.0</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5,741.5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5,413.3</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1,658.9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1,626.2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3,225.6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3,193.0</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9,744.0</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95"/>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6"/>
                <w:szCs w:val="16"/>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420.9</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136.6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67.9</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100.5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4"/>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37.3</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1"/>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342.3</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r>
      <w:tr>
        <w:trPr>
          <w:trHeight w:val="208"/>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78.6</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1.6</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1"/>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8"/>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37.6</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39.1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6.4</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8"/>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32.7</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32.7</w:t>
            </w: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4"/>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32.6</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32.7</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41.3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4.2</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8"/>
        </w:trPr>
        <w:tc>
          <w:tcPr>
            <w:tcW w:w="8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102.1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(187.2)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money pool lending</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(188.0)</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93.6</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11.0</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3,225.6</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2023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the variable interest entities (VIE)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Cash equivalents consists of highly liquid investments with original maturities of three months or less at acquisition. Evergy has restricted cash included in Other within Other Assets on Evergy's consolidated balance sheets to facilitate servicing of Evergy Missouri West Storm Funding I, LLC's (Evergy Missouri West Storm Funding) debt. See Note 12 for additional information on the VIE. The following table summarizes the cash, cash equivalents and restricted cash included on Evergy's 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4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63.7</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65.4</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2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9"/>
                <w:szCs w:val="19"/>
                <w:color w:val="auto"/>
              </w:rPr>
            </w:pP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263.8</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536.9</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800.7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142.1</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280.3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422.4</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84.2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191.8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276.0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34,923.8</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17,049.7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13,098.8</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724.9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(13,493.2)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(6,581.6)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(5,494.3)</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22,155.5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11,193.0</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7,604.5</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1,598.9</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956.2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468.4</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190.5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94.9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23,945.7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12,244.9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8,168.5</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line="232" w:lineRule="exact"/>
              <w:rPr>
                <w:sz w:val="20"/>
                <w:szCs w:val="20"/>
                <w:color w:val="auto"/>
              </w:rPr>
            </w:pPr>
            <w:r>
              <w:rPr>
                <w:rFonts w:ascii="Times New Roman" w:cs="Times New Roman" w:eastAsia="Times New Roman" w:hAnsi="Times New Roman"/>
                <w:sz w:val="18"/>
                <w:szCs w:val="18"/>
                <w:color w:val="auto"/>
              </w:rPr>
              <w:t>Electric plant in service</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34,558.1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16,858.7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13,005.5</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724.9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Accumulated depreciation</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(13,301.6)</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(6,502.7)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(5,404.9)</w:t>
            </w:r>
          </w:p>
        </w:tc>
      </w:tr>
      <w:tr>
        <w:trPr>
          <w:trHeight w:val="223"/>
        </w:trPr>
        <w:tc>
          <w:tcPr>
            <w:tcW w:w="434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Plant in service, net</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21,981.4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11,080.9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7,600.6</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1,543.5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939.1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line="223"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23,728.7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12,121.9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8,131.2</w:t>
            </w:r>
          </w:p>
        </w:tc>
      </w:tr>
    </w:tbl>
    <w:p>
      <w:pPr>
        <w:spacing w:after="0" w:line="81" w:lineRule="exact"/>
        <w:rPr>
          <w:sz w:val="20"/>
          <w:szCs w:val="20"/>
          <w:color w:val="auto"/>
        </w:rPr>
      </w:pPr>
    </w:p>
    <w:p>
      <w:pPr>
        <w:jc w:val="both"/>
        <w:ind w:left="180" w:right="200" w:hanging="172"/>
        <w:spacing w:after="0" w:line="235" w:lineRule="auto"/>
        <w:tabs>
          <w:tab w:leader="none" w:pos="175"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March 31, 2024, Evergy and Evergy Kansas Central classified Property, Plant and Equipment of VIE, net as Property, Plant and Equipment, net. To conform with the current period presentation, amounts previously reported as Property, Plant and Equipment of VIE, net as of December 31, 2023, have been reclassified to Property, Plant and Equipment, net.</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March 31, 2024 and December 31, 2023, represents the planned retirement of Evergy Kansas Central analog meters prior to the end of their remaining useful lives.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shows the detail of other expense for each of the Evergy Companies.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9"/>
                <w:szCs w:val="19"/>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(4.6)</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8"/>
              </w:rPr>
              <w:t>(4.9)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(9.5)</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7"/>
              </w:rPr>
              <w:t>0.5</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8"/>
              </w:rPr>
              <w:t>(4.2)</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(3.7)</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(3.0)</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8"/>
              </w:rPr>
              <w:t>(0.6)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3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(3.6)</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3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restricted stock, convertible notes and a warrant. Evergy computes the dilutive effects of potential issuances of common shares using the treasury stock method, the contingently issuable share method or the if-converted method, as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19"/>
                <w:szCs w:val="19"/>
                <w:color w:val="auto"/>
              </w:rPr>
            </w:pPr>
          </w:p>
        </w:tc>
        <w:tc>
          <w:tcPr>
            <w:tcW w:w="3140" w:type="dxa"/>
            <w:vAlign w:val="bottom"/>
            <w:gridSpan w:val="3"/>
          </w:tcPr>
          <w:p>
            <w:pPr>
              <w:jc w:val="right"/>
              <w:ind w:right="470"/>
              <w:spacing w:after="0"/>
              <w:rPr>
                <w:sz w:val="20"/>
                <w:szCs w:val="20"/>
                <w:color w:val="auto"/>
              </w:rPr>
            </w:pPr>
            <w:r>
              <w:rPr>
                <w:rFonts w:ascii="Times New Roman" w:cs="Times New Roman" w:eastAsia="Times New Roman" w:hAnsi="Times New Roman"/>
                <w:sz w:val="16"/>
                <w:szCs w:val="16"/>
                <w:color w:val="auto"/>
              </w:rPr>
              <w:t>(millions, except per share amounts)</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125.8</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122.7</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230.2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230.4</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3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EPS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0.53</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bl>
    <w:p>
      <w:pPr>
        <w:spacing w:after="0" w:line="2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Anti-dilutive securities excluded from the computation of diluted EPS for the three months ended March 31, 2024 and 2023 were 3,950,000 common shares issuable pursuant to a warrant. Also, there was no dilution resulting from Evergy's convertible notes for the three months ended March 31, 2024 and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May 2024, Evergy's Board of Directors (Evergy Board) declared a quarterly dividend of $0.6425 per share on Evergy's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dividend is payable on June 20, 2024, to shareholders of record as of May 20,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105.3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6"/>
        </w:trPr>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105.1</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45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6"/>
        </w:trPr>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6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6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7"/>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39.9</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w:t>
      </w:r>
    </w:p>
    <w:p>
      <w:pPr>
        <w:spacing w:after="0" w:line="2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April 2024, Evergy Missouri West purchased a joint ownership interest representing approximately 145 MW in Dogwood Energy Center (Dogwood), an operational natural gas combined cycle facility located in Missouri, for approximately $60 million. The purchase was subject to terms and conditions listed in a stipulation and agreement approved by the Public Service Commission of the State of Missouri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479.0</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432.7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160.4</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1,084.0</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30"/>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71.0</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115.4</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1,280.6</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50.4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1,331.0</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r>
      <w:tr>
        <w:trPr>
          <w:trHeight w:val="331"/>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214.3</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183.6</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106.0</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9"/>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510.0</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30"/>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68.1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688.8</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693.2</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156.0</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171.2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361.6</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375.3</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45.6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420.9</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123.8</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175.3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109.8</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125.6</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1067"/>
        </w:trPr>
        <w:tc>
          <w:tcPr>
            <w:tcW w:w="4280" w:type="dxa"/>
            <w:vAlign w:val="bottom"/>
          </w:tcPr>
          <w:p>
            <w:pPr>
              <w:spacing w:after="0"/>
              <w:rPr>
                <w:sz w:val="24"/>
                <w:szCs w:val="24"/>
                <w:color w:val="auto"/>
              </w:rPr>
            </w:pPr>
          </w:p>
        </w:tc>
        <w:tc>
          <w:tcPr>
            <w:tcW w:w="35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The Evergy Companies' other receivables as of March 31, 2024 and December 31, 2023,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5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24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2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24.2</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Borders>
              <w:top w:val="single" w:sz="8" w:color="auto"/>
            </w:tcBorders>
          </w:tcPr>
          <w:p>
            <w:pPr>
              <w:spacing w:after="0"/>
              <w:rPr>
                <w:sz w:val="21"/>
                <w:szCs w:val="21"/>
                <w:color w:val="auto"/>
              </w:rPr>
            </w:pPr>
          </w:p>
        </w:tc>
        <w:tc>
          <w:tcPr>
            <w:tcW w:w="4180" w:type="dxa"/>
            <w:vAlign w:val="bottom"/>
            <w:tcBorders>
              <w:top w:val="single" w:sz="8" w:color="auto"/>
            </w:tcBorders>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5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6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1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8"/>
              </w:rPr>
              <w:t>362.0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1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182.0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8"/>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bl>
    <w:p>
      <w:pPr>
        <w:spacing w:after="0" w:line="274"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In February 2024, Evergy Kansas Central, Evergy Metro and Evergy Missouri West amended the terms of their receivable sale facilities, including extending the expiration of each receivable sale facility from 2024 to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Prior to the amendment to Evergy Kansas Central's facility, it allowed for $185.0 million in aggregate outstanding principal amount of borrowings from mid-November through mid-July and then $200.0 million from mid-July through mid-November. Prior to the amendment to Evergy Metro's facility, it allowed for $130.0 million in aggregate outstanding principal amount of borrowings at any time. Prior to the amendment to Evergy Missouri West's facility, it allowed for $50.0 million in aggregate outstanding principal amount of borrowings from mid-November through mid-July and then $65.0 million from mid-July through mid-November.</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Under the amended terms, effective in March 2024, Evergy Kansas Central's facility allows up to $185.0 million in aggregate outstanding principal amount to be borrowed at any time. To the extent Evergy Kansas Central has qualifying accounts receivable and subject to the bank's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bank's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bank's discretion, Evergy Missouri West's facility allows for an additional $65.0 million in aggregate outstanding principal amount to be borrowed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21" w:lineRule="exact"/>
        <w:rPr>
          <w:sz w:val="20"/>
          <w:szCs w:val="20"/>
          <w:color w:val="auto"/>
        </w:rPr>
      </w:pPr>
    </w:p>
    <w:p>
      <w:pPr>
        <w:ind w:right="50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State Corporation Commission of the State of Kansas (KCC) Proceedings </w:t>
      </w:r>
      <w:r>
        <w:rPr>
          <w:rFonts w:ascii="Times New Roman" w:cs="Times New Roman" w:eastAsia="Times New Roman" w:hAnsi="Times New Roman"/>
          <w:sz w:val="19"/>
          <w:szCs w:val="19"/>
          <w:b w:val="1"/>
          <w:bCs w:val="1"/>
          <w:i w:val="1"/>
          <w:iCs w:val="1"/>
          <w:color w:val="auto"/>
        </w:rPr>
        <w:t>Evergy Kansas Central 2024 Transmission Delivery Charge (TDC)</w:t>
      </w:r>
    </w:p>
    <w:p>
      <w:pPr>
        <w:spacing w:after="0" w:line="1"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In April 2024, the KCC issued an order adjusting Evergy Kansas Central's retail prices to include updated transmission costs as reflected in the Federal Energy Regulatory Commission (FERC) transmission formula rate (TFR). The new prices are effective in May 2024 and are expected to increase Evergy Kansas Central's annual retail revenues by $80.1 million when compared to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2024 TDC</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April 2024, the KCC issued an order adjusting Evergy Metro's retail prices to include updated transmission costs as reflected in the FERC TFR. The new prices are effective in May 2024 and are expected to increase Evergy Metro's annual retail revenues by $7.1 million when compared to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West's 2024 Rate Case Proceeding</w:t>
      </w:r>
    </w:p>
    <w:p>
      <w:pPr>
        <w:spacing w:after="0" w:line="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Energy Center (Crossroads), two natural gas plants. An evidentiary hearing in the case is scheduled to occur beginning in late September 2024 and new rates are expected to be effective in January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 February 2021 Winter Weather Event Securitization</w:t>
      </w:r>
    </w:p>
    <w:p>
      <w:pPr>
        <w:spacing w:after="0" w:line="32"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Evergy Missouri West continued to record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carrying charges on its February 2021 winter weather event regulatory asset until it issued the securitized bonds in February 2024. See Note 7 for additional information regarding the issuance of the securitized bonds.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3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Annual Update</w:t>
      </w:r>
    </w:p>
    <w:p>
      <w:pPr>
        <w:spacing w:after="0" w:line="32" w:lineRule="exact"/>
        <w:rPr>
          <w:sz w:val="20"/>
          <w:szCs w:val="20"/>
          <w:color w:val="auto"/>
        </w:rPr>
      </w:pPr>
    </w:p>
    <w:p>
      <w:pPr>
        <w:ind w:right="1100"/>
        <w:spacing w:after="0" w:line="253" w:lineRule="auto"/>
        <w:rPr>
          <w:sz w:val="20"/>
          <w:szCs w:val="20"/>
          <w:color w:val="auto"/>
        </w:rPr>
      </w:pPr>
      <w:r>
        <w:rPr>
          <w:rFonts w:ascii="Times New Roman" w:cs="Times New Roman" w:eastAsia="Times New Roman" w:hAnsi="Times New Roman"/>
          <w:sz w:val="20"/>
          <w:szCs w:val="20"/>
          <w:color w:val="auto"/>
        </w:rPr>
        <w:t>In the most recent two years, the updated TFR was expected to adjust Evergy Kansas Central's annual transmission revenues by approximately:</w:t>
      </w:r>
    </w:p>
    <w:p>
      <w:pPr>
        <w:spacing w:after="0" w:line="80"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$115.8 million increase effective in January 2024;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$21.7 million decrease effective in March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"Evergy Kansas Central TFR Formal Challenge" within this Note 4 for more information regarding the March 2023 adjustment.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Challenge</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March 2022, certain Evergy Kansas Central TFR customers submitted a formal challenge regarding the implementation of Evergy Kansas Central's TFR, specifically with regard to how Evergy Kansas Central's capital structure was calculated as part of determining the Annual Transmission Revenue Requirement (ATRR). As part of this challenge, the customers requested that Evergy Kansas Central make refunds for over-collections in rate years 2018 through 2022 as a result of the calculation of its capital structure included in the TFR. Evergy Kansas Central disputed that any refunds for 2018 through 2022 were required because Evergy Kansas Central was following its approved TFR formula.</w:t>
      </w:r>
    </w:p>
    <w:p>
      <w:pPr>
        <w:spacing w:after="0" w:line="19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In December 2022, FERC issued an order addressing the challenge to the 2020 through 2022 over-collections which were refunded to customers as part of Evergy Kansas Central's 2023 TFR effective in March 2023. In February 2023, certain Evergy Kansas Central TFR customers submitted a formal complaint with FERC requesting the refund of over-collections related to the 2018 and 2019 rate years. As of March 31, 2024 and December 31, 2023, Evergy and Evergy Kansas Central had recorded a $7.1 million regulatory liability related to the 2018 and 2019 rate year refund request. A decision from FERC regarding this complaint is expected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 Annual Update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most recent two years, the updated TFR was expected to adjust Evergy Metro's annual transmission revenues by approximately:</w:t>
      </w:r>
    </w:p>
    <w:p>
      <w:pPr>
        <w:spacing w:after="0" w:line="99" w:lineRule="exact"/>
        <w:rPr>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 million increase effective in January 2024;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million increase effective in January 2023.</w:t>
      </w:r>
    </w:p>
    <w:p>
      <w:pPr>
        <w:spacing w:after="0" w:line="21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PLANS AND POST-RETIREMENT BENEFITS</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2018. For the plans covering Evergy Metro's employees, the benefits for union employees hired beginning in 2014 are derived from a cash balance account formula and the plans were closed to future non-union employees in 2014.</w:t>
      </w:r>
    </w:p>
    <w:p>
      <w:pPr>
        <w:spacing w:after="0" w:line="14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three months ended March 31, 2024, Evergy, Evergy Kansas Central and Evergy Metro recorded no pension settlement charges. For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three months ended March 31, 2023, Evergy, Evergy Kansas Central and Evergy Metro recorded pension settlement (gains) losses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$(15.9) million, $0.4 million and $(16.3) million, respectively. These settlement charges were the result of accelerated distributions as a result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employee retirements for certain plan participants. Evergy, Evergy Kansas Central and Evergy Metro deferred substantially all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charges to regulatory assets or regulatory liabilities and expect to recover these amounts over future periods pursuant to regulatory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w:t>
      </w:r>
    </w:p>
    <w:p>
      <w:pPr>
        <w:spacing w:after="0" w:line="20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56"/>
        </w:trPr>
        <w:tc>
          <w:tcPr>
            <w:tcW w:w="39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Pr>
          <w:p>
            <w:pPr>
              <w:spacing w:after="0"/>
              <w:rPr>
                <w:sz w:val="21"/>
                <w:szCs w:val="21"/>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0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(gain) loss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For the three months ended March 31, 2024, Evergy, Evergy Kansas Central and Evergy Metro made no cash pension contributions. Evergy expects to make cash pension contributions of $38.6 million in 2024 to satisfy the Employee Retirement Income Security Act of 1974, as amended (ERISA) funding requirements and KCC and MPSC rate orders, of which $11.7 million is expected to be paid by Evergy Kansas Central and $26.9 million is expected to be paid by Evergy Metro.</w:t>
      </w:r>
    </w:p>
    <w:p>
      <w:pPr>
        <w:spacing w:after="0" w:line="1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2024, Evergy, Evergy Kansas Central and Evergy Metro made post-retirement benefit contributions of $0.4 million, $0.2 million and $0.2 million, respectively. Evergy, Evergy Kansas Central and Evergy Metro expect to make additional contributions in 2024 of $0.4 million, $0.2 million and $0.2 million, respectively, to the post-retirement benefit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SHORT-TERM BORROWINGS AND SHORT-TERM BANK LINES OF CREDIT</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Evergy's $2.5 billion master credit facility expires in 2027.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March 31, 2024, Evergy, Evergy Kansas Central, Evergy Metro and Evergy Missouri West were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3) available to the Evergy Companies as of March 31, 2024 and December 31, 2023.</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080" w:type="dxa"/>
            <w:vAlign w:val="bottom"/>
          </w:tcPr>
          <w:p>
            <w:pPr>
              <w:jc w:val="center"/>
              <w:ind w:lef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 Metro</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2180" w:hanging="172"/>
        <w:spacing w:after="0" w:line="238" w:lineRule="auto"/>
        <w:tabs>
          <w:tab w:leader="none" w:pos="161"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March 31, 2024, $292.8 million of Evergy Metro's commercial paper borrowings were classified as long-term debt on Evergy's and Evergy Metro's consolidated balance sheets. See Note 7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In April 2024, Evergy Metro issued, at a discount, $300.0 million of 5.40% Mortgage Bonds, maturing in 2034. Proceeds were used to pay down commercial paper and for general corporate purposes. As of March 31, 2024, $292.8 million of Evergy Metro's commercial paper borrowings were classified as long-term debt on Evergy's and Evergy Metro's consolidated balance sheets as a result of Evergy and Evergy Metro demonstrating their intent and ability to refinance the commercial paper on a long-term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Securitized Bonds</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2022, Evergy Missouri West created a special purpose subsidiary, Evergy Missouri West Storm Funding, a wholly-owned, bankruptcy remote entity solely for the purpose of recovering extraordinary fuel and purchased power costs incurred as part of the February 2021 winter weather event. In February 2024, Evergy Missouri West Storm Funding issued, at a discount, $331.1 million of 5.10% Securitized Utility Tariff Bonds (Securitized Bonds) with a final payment scheduled for 2038, maturing in 2040. The obligations of Evergy Missouri West Storm Funding's Securitized Bonds are repaid through charges imposed on customers in Evergy Missouri West's service territory.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8. DERIVATIVE INSTRUMENTS</w:t>
      </w:r>
    </w:p>
    <w:p>
      <w:pPr>
        <w:spacing w:after="0" w:line="12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8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9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19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top w:val="single" w:sz="8" w:color="auto"/>
            </w:tcBorders>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480" w:type="dxa"/>
            <w:vAlign w:val="bottom"/>
            <w:tcBorders>
              <w:bottom w:val="single" w:sz="8" w:color="auto"/>
            </w:tcBorders>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18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4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7"/>
              </w:rPr>
              <w:t>MWhs</w:t>
            </w:r>
          </w:p>
        </w:tc>
        <w:tc>
          <w:tcPr>
            <w:tcW w:w="18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28.3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MMBtu</w:t>
            </w:r>
          </w:p>
        </w:tc>
        <w:tc>
          <w:tcPr>
            <w:tcW w:w="18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550.1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29"/>
        </w:trPr>
        <w:tc>
          <w:tcPr>
            <w:tcW w:w="3600" w:type="dxa"/>
            <w:vAlign w:val="bottom"/>
            <w:shd w:val="clear" w:color="auto" w:fill="CCEEFF"/>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7"/>
              </w:rPr>
              <w:t>MWhs</w:t>
            </w:r>
          </w:p>
        </w:tc>
        <w:tc>
          <w:tcPr>
            <w:tcW w:w="18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18.8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MMBtu</w:t>
            </w:r>
          </w:p>
        </w:tc>
        <w:tc>
          <w:tcPr>
            <w:tcW w:w="18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550.1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tcBorders>
              <w:bottom w:val="single" w:sz="8" w:color="auto"/>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7"/>
              </w:rPr>
              <w:t>MWhs</w:t>
            </w:r>
          </w:p>
        </w:tc>
        <w:tc>
          <w:tcPr>
            <w:tcW w:w="188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6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15.3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42.2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26.7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89.8</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39.6</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27.5</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82.5</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115"/>
        </w:trPr>
        <w:tc>
          <w:tcPr>
            <w:tcW w:w="34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10.5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42.3</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26.7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85.1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39.6</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27.5</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81.3</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8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8"/>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8"/>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of gain (loss) recognized in income for the change in fair value of derivatives not designated as hedging instruments for the Evergy Companies.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4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(millions)</w:t>
            </w:r>
          </w:p>
        </w:tc>
        <w:tc>
          <w:tcPr>
            <w:tcW w:w="1160" w:type="dxa"/>
            <w:vAlign w:val="bottom"/>
          </w:tcPr>
          <w:p>
            <w:pPr>
              <w:spacing w:after="0"/>
              <w:rPr>
                <w:sz w:val="19"/>
                <w:szCs w:val="19"/>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4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Commodity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48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Commodity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3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2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March 31, 2024, if counterparty groups completely failed to perform on contracts, Evergy's and Evergy Kansas Central's maximum exposure related to derivative assets was $36.4 million. As of March 31, 2024, the potential loss after the consideration of applicable master netting arrangements and collateral received for Evergy and Evergy Kansas Central was $29.4 million.</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March 31, 2024, was $39.8 million for which Evergy and Evergy Kansas Central have posted $2.6 million collateral in the normal course of business. If the credit-risk-related contingent features underlying these agreements were triggered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20"/>
          <w:szCs w:val="20"/>
          <w:color w:val="auto"/>
        </w:rPr>
        <w:t>as of March 31, 2024, Evergy and Evergy Kansas Central could be required to post an additional $37.1 million of collateral to their counterparties.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6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12,469.9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11,853.3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4,581.0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4,580.4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4,176.6</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3,217.6</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2,924.4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w:t>
            </w:r>
          </w:p>
        </w:tc>
      </w:tr>
    </w:tbl>
    <w:p>
      <w:pPr>
        <w:spacing w:after="0" w:line="3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spacing w:after="0" w:line="10" w:lineRule="exact"/>
        <w:rPr>
          <w:rFonts w:ascii="Times New Roman" w:cs="Times New Roman" w:eastAsia="Times New Roman" w:hAnsi="Times New Roman"/>
          <w:sz w:val="20"/>
          <w:szCs w:val="20"/>
          <w:color w:val="auto"/>
          <w:vertAlign w:val="superscript"/>
        </w:rPr>
      </w:pPr>
    </w:p>
    <w:p>
      <w:pPr>
        <w:ind w:left="180" w:right="6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March 31, 2024 and December 31, 2023, includes $85.7 million and $87.0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41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74.0</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29.5</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40.1</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375.9</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19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44.1</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443.8</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47.3</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42.8</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governments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430.0</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383.3</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46.7</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449.4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54.7</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805.9</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692.7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46.7</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6"/>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36.4</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Natural gas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903.6</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93.5</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1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Power</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39.7</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Natural gas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8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365.1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300.2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3"/>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430.5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413.7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governments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401.3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353.5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8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417.0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858.1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784.8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60" w:hanging="172"/>
        <w:spacing w:after="0" w:line="230" w:lineRule="auto"/>
        <w:tabs>
          <w:tab w:leader="none" w:pos="17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five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9"/>
                <w:szCs w:val="19"/>
                <w:color w:val="auto"/>
              </w:rPr>
            </w:pP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30.3</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36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20.5</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imposition of remedial requirements. The Evergy Companies believe that all of their operations are in substantial compliance with current federal, state and local environmental standards.</w:t>
      </w:r>
    </w:p>
    <w:p>
      <w:pPr>
        <w:spacing w:after="0" w:line="14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Mercury and Air Toxics Standards (MATS)</w:t>
      </w:r>
    </w:p>
    <w:p>
      <w:pPr>
        <w:spacing w:after="0" w:line="3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In April 2024, the EPA finalized a rule to tighten certain aspects of the MATS rule. The EPA is lowering the emission limit for particulate matter (PM), requiring the use of PM continuous emissions monitors (CEMS) and lowering the mercury emission limit for lignite coal-fired electric generating units (EGUs). The Evergy Companies are in the process of reviewing the details of the final rule, however, the cost to comply does not appear to be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Implementation Plans (ITSIP)</w:t>
      </w:r>
    </w:p>
    <w:p>
      <w:pPr>
        <w:spacing w:after="0" w:line="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the ITSIPs submitted by nineteen states including Missouri and Oklahoma. In April 2022, the EPA published a final approval of the Kansas ITSIP in the Federal Register. The Missouri Department of Natural Resources (MDNR) submitted a supplemental ITSIP to the EPA in November 2022. In February 2023, the EPA published a final rule disapproving the ITSIPs submitted by 19 states, including the final disapproval of the Missouri and Oklahoma ITSIPs. In April 2023, the Attorneys General of Missouri and Oklahoma filed Petitions for Review in the U.S. Courts of Appeals for the Eighth and Tenth Circuits, respectively, challenging the EPA's disapproval. In May 2023, the Eighth Circuit granted a stay of the EPA's disapproval of the Missouri ITSIP. Similarly, in July 2023, the Tenth Circuit granted a stay of the EPA's disapproval of the Oklahoma ITSIP. Due to uncertainty regarding the stays of the EPA's disapprovals of the Missouri and Oklahoma ITSIPs, the Evergy Companies are unable to accurately assess the impact on their operations or consolidated financial results, but the cost to comply could be material. In January 2024, the EPA proposed to disapprove the ITSIP for Kansas and four other states. The Kansas ITSIP was previously approved in April 2022. The Evergy Companies are in the process of reviewing this proposed disapproval of the Kansas ITSIP; however, the impact on the Evergy Companies' operations could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Federal Implementation Plans (ITFIP)</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Clean Air Act to impose an ITFIP on a state for which SIP disapprovals have been stayed by the courts. Accordingly, the EPA issued interim final rules staying the effectiveness of the ITFIP in both Missouri and Oklahoma while the stays issued by the Eighth and Tenth Circuits in the ITSIP disapproval cases remain in place. During this time, both states will continue to operate under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existing CSAPR program. While Kansas was not originally included in the ITFIP, in January 2024, the EPA issued a proposal to include Kansas in the ITFIP. If finalized, the ITFIP for Kansas would become effective for the 2025 ozone season beginning in May 2025. The Evergy Companies are in the process of reviewing the details of this proposal; however, the impact on the Evergy Companies' operations and the cost to comply could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32"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9"/>
          <w:szCs w:val="19"/>
          <w:color w:val="auto"/>
        </w:rPr>
        <w:t>In March 2024, the EPA published in the Federal Register the final rule which strengthens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The EPA is lowering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 (micrograms per cubic meter) to 9.0 µg/m3. The final rule took effect in May 2024. The Evergy Companies are in the process of reviewing this final rule, however, due to uncertainty regarding the long-term implementation of this final rule, the Evergy Companies are unable to accurately assess the impacts on their operations or consolidated financial results, but the cost to comply with lower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2021. 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requested no additional emission reductions by electric utilities based on the significant reductions that were achieved during the first implementation period. The Kansas Department of Health and Environment (KDHE) submitted the Kansas SIP revision in July 2021. In January 2024, the EPA issued a proposal to disapprove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 The overall cost of those modifications could be material to the Evergy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3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Burning coal and other fossil fuels releases carbon dioxide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and other gases referred to as greenhouse gases (GHG). Various regulations under the CAA limit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limitations on emissions from new and reconstructed stationary combustion turbines. The GHG guidelines set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retiring between 2032 and 2038, the BSER established emission limitation is based on co-firing natural gas beginning in 2030. For units operating in 2039 and after, BSER is the application of CCS starting in 2032.</w:t>
      </w:r>
    </w:p>
    <w:p>
      <w:pPr>
        <w:spacing w:after="0" w:line="14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20"/>
          <w:szCs w:val="20"/>
          <w:color w:val="auto"/>
        </w:rPr>
        <w:t>The Evergy Companies are in the process of reviewing the final GHG regulation and guidelines however, due to uncertainty regarding the implementation of these final rules, the Evergy Companies are unable to accurately assess the impacts on their operations or consolidated financial results, but the cost to comply could be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w:t>
      </w:r>
    </w:p>
    <w:p>
      <w:pPr>
        <w:spacing w:after="0" w:line="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The Evergy Companies discharge some of the water used in generation and other operations containing substances deemed to be pollutants. In April 2024, the EPA finalized an update to the ELG to address the vacated limitations and prior reviews of the existing rule by the current administration. Flue Gas Desulfurization (FGD) wastewater, bottom ash transport wastewater (BATW), coal residual leachate (CRL), and legacy wastewater are addressed in the rulemaking. FGD, BATW and CRL at operating facilities are required to achieve zero liquid discharge as soon as feasible and no later than December 2029. The Evergy Companies have reviewed the modifications to limitations on FGD wastewater and bottom ash transport water and the Evergy Companies do not believe the impact to be material. The Evergy Companies are reviewing the limitations on CRL, its impact on their operations and financial results and believe the cost to comply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Coal Combustion Residuals (CCRs)</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The cost to comply with these proposed determinations by the EPA could be material.</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In April 2024, the EPA finalized an expansion to the CCR regulation focused on legacy surface impoundments and historic placements of CCR. This regulation expands applicability of the 2015 CCR regulation to two newly defined types of CCR disposal units. The Evergy Companies are reviewing the final regulation and anticipate having additional CCR units requiring evaluation and potential remediation. The cost to comply with this regulation by the EPA could be material.</w:t>
      </w:r>
    </w:p>
    <w:p>
      <w:pPr>
        <w:spacing w:after="0" w:line="18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The Evergy Companies have recorded asset retirement obligations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RELATED PARTY TRANSACTIONS AND RELATIONSHIPS</w:t>
      </w:r>
    </w:p>
    <w:p>
      <w:pPr>
        <w:spacing w:after="0" w:line="11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3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20"/>
          <w:szCs w:val="20"/>
          <w:color w:val="auto"/>
        </w:rPr>
        <w:t>Employees of Evergy Kansas Central and Evergy Metro manage Evergy Missouri West's business and operate its facilities at cost, including Evergy Missouri West's 18% ownership interest in Evergy Metro's Iatan Nos. 1 and 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Employees of Evergy Kansas Central manage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expenses and capital costs billed for jointly-owned plants and shared services are detailed in the following table.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7"/>
                <w:szCs w:val="17"/>
                <w:color w:val="auto"/>
              </w:rPr>
            </w:pPr>
          </w:p>
        </w:tc>
      </w:tr>
      <w:tr>
        <w:trPr>
          <w:trHeight w:val="23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2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220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2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2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48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58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258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6"/>
        </w:trPr>
        <w:tc>
          <w:tcPr>
            <w:tcW w:w="54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5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25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3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As of March 31, 2024 and December 31, 2023, Evergy Metro had no outstanding receivables or payables under the money pool. As of March 31, 2024, Evergy Kansas Central had a $319.2 million outstanding payable to Evergy, Inc. under the money pool. As of December 31, 2023, Evergy Kansas Central had a $261.4 million outstanding payable to Evergy, Inc. under the money pool.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 from Evergy</w:t>
            </w:r>
          </w:p>
        </w:tc>
        <w:tc>
          <w:tcPr>
            <w:tcW w:w="2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52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8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2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VARIABLE INTEREST ENTITIES</w:t>
      </w:r>
    </w:p>
    <w:p>
      <w:pPr>
        <w:spacing w:after="0" w:line="1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p>
      <w:pPr>
        <w:spacing w:after="0" w:line="2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In 2022, Evergy Missouri West created Evergy Missouri West Storm Funding solely for the purpose of recovering extraordinary fuel and purchased power costs incurred as part of the February 2021 winter weather event. In February 2024, Evergy Missouri West Storm Funding issued, at a discount, $331.1 million of 5.10% Securitized Bonds with a final payment scheduled for 2038, maturing in 2040. The obligations of Evergy Missouri West Storm Funding's Securitization Bonds are repaid through charges imposed on customers in Evergy Missouri West's service territory and collected by Evergy Missouri West on behalf of Evergy Missouri West Storm Funding.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Evergy Missouri West Storm Funding is considered a VIE primarily because, as described above, Evergy Missouri West has the power to direct the activities of Evergy Missouri West Storm Funding that most significantly impact economic performance and Evergy Missouri West has the obligation to absorb losses or the right to receive benefits from Evergy Missouri West Storm Funding that could potentially be significant. Therefore, Evergy Missouri West is considered the primary beneficiary and consolidates Evergy Missouri West Storm Funding.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impact of Evergy Missouri West Storm Funding on Evergy's consolidated balance sheet as of March 31, 2024. There was no impact on Evergy's consolidated balance sheet as of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20" w:type="dxa"/>
            <w:vAlign w:val="bottom"/>
            <w:tcBorders>
              <w:top w:val="single" w:sz="8" w:color="auto"/>
            </w:tcBorders>
          </w:tcPr>
          <w:p>
            <w:pPr>
              <w:spacing w:after="0"/>
              <w:rPr>
                <w:sz w:val="21"/>
                <w:szCs w:val="21"/>
                <w:color w:val="auto"/>
              </w:rPr>
            </w:pPr>
          </w:p>
        </w:tc>
        <w:tc>
          <w:tcPr>
            <w:tcW w:w="35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March 31</w:t>
            </w:r>
          </w:p>
        </w:tc>
      </w:tr>
      <w:tr>
        <w:trPr>
          <w:trHeight w:val="238"/>
        </w:trPr>
        <w:tc>
          <w:tcPr>
            <w:tcW w:w="6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60" w:type="dxa"/>
            <w:vAlign w:val="bottom"/>
          </w:tcPr>
          <w:p>
            <w:pPr>
              <w:spacing w:after="0"/>
              <w:rPr>
                <w:sz w:val="18"/>
                <w:szCs w:val="18"/>
                <w:color w:val="auto"/>
              </w:rPr>
            </w:pPr>
          </w:p>
        </w:tc>
        <w:tc>
          <w:tcPr>
            <w:tcW w:w="1460" w:type="dxa"/>
            <w:vAlign w:val="bottom"/>
          </w:tcPr>
          <w:p>
            <w:pPr>
              <w:jc w:val="center"/>
              <w:ind w:right="211"/>
              <w:spacing w:after="0"/>
              <w:rPr>
                <w:sz w:val="20"/>
                <w:szCs w:val="20"/>
                <w:color w:val="auto"/>
              </w:rPr>
            </w:pPr>
            <w:r>
              <w:rPr>
                <w:rFonts w:ascii="Times New Roman" w:cs="Times New Roman" w:eastAsia="Times New Roman" w:hAnsi="Times New Roman"/>
                <w:sz w:val="16"/>
                <w:szCs w:val="16"/>
                <w:color w:val="auto"/>
              </w:rPr>
              <w:t>(millions)</w:t>
            </w: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5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5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35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6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35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TAXES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income tax expense are detailed in the following tables.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auto"/>
              <w:bottom w:val="single" w:sz="8" w:color="auto"/>
            </w:tcBorders>
          </w:tcPr>
          <w:p>
            <w:pPr>
              <w:spacing w:after="0"/>
              <w:rPr>
                <w:sz w:val="20"/>
                <w:szCs w:val="20"/>
                <w:color w:val="auto"/>
              </w:rPr>
            </w:pPr>
          </w:p>
        </w:tc>
        <w:tc>
          <w:tcPr>
            <w:tcW w:w="8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320" w:type="dxa"/>
            <w:vAlign w:val="bottom"/>
          </w:tcPr>
          <w:p>
            <w:pPr>
              <w:spacing w:after="0"/>
              <w:rPr>
                <w:sz w:val="19"/>
                <w:szCs w:val="19"/>
                <w:color w:val="auto"/>
              </w:rPr>
            </w:pPr>
          </w:p>
        </w:tc>
        <w:tc>
          <w:tcPr>
            <w:tcW w:w="17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12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18.3</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12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81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shd w:val="clear" w:color="auto" w:fill="CCEEFF"/>
          </w:tcPr>
          <w:p>
            <w:pPr>
              <w:spacing w:after="0"/>
              <w:rPr>
                <w:sz w:val="20"/>
                <w:szCs w:val="20"/>
                <w:color w:val="auto"/>
              </w:rPr>
            </w:pPr>
          </w:p>
        </w:tc>
      </w:tr>
      <w:tr>
        <w:trPr>
          <w:trHeight w:val="561"/>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8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320" w:type="dxa"/>
            <w:vAlign w:val="bottom"/>
          </w:tcPr>
          <w:p>
            <w:pPr>
              <w:spacing w:after="0"/>
              <w:rPr>
                <w:sz w:val="19"/>
                <w:szCs w:val="19"/>
                <w:color w:val="auto"/>
              </w:rPr>
            </w:pPr>
          </w:p>
        </w:tc>
        <w:tc>
          <w:tcPr>
            <w:tcW w:w="17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1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320" w:type="dxa"/>
            <w:vAlign w:val="bottom"/>
          </w:tcPr>
          <w:p>
            <w:pPr>
              <w:spacing w:after="0"/>
              <w:rPr>
                <w:sz w:val="19"/>
                <w:szCs w:val="19"/>
                <w:color w:val="auto"/>
              </w:rPr>
            </w:pP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2.0</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51"/>
              <w:spacing w:after="0"/>
              <w:rPr>
                <w:sz w:val="20"/>
                <w:szCs w:val="20"/>
                <w:color w:val="auto"/>
              </w:rPr>
            </w:pPr>
            <w:r>
              <w:rPr>
                <w:rFonts w:ascii="Times New Roman" w:cs="Times New Roman" w:eastAsia="Times New Roman" w:hAnsi="Times New Roman"/>
                <w:sz w:val="18"/>
                <w:szCs w:val="18"/>
                <w:color w:val="auto"/>
                <w:w w:val="97"/>
              </w:rPr>
              <w:t>3.3</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5.3</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4.8</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1"/>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1.9</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1"/>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6.4</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26"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auto"/>
              <w:bottom w:val="single" w:sz="8" w:color="auto"/>
            </w:tcBorders>
          </w:tcPr>
          <w:p>
            <w:pPr>
              <w:spacing w:after="0"/>
              <w:rPr>
                <w:sz w:val="20"/>
                <w:szCs w:val="20"/>
                <w:color w:val="auto"/>
              </w:rPr>
            </w:pPr>
          </w:p>
        </w:tc>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3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21.0 %</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21.0 %</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COLI policies</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3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3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AFUDC equity</w:t>
            </w:r>
          </w:p>
        </w:tc>
        <w:tc>
          <w:tcPr>
            <w:tcW w:w="3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3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6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5.6 %</w:t>
            </w:r>
          </w:p>
        </w:tc>
        <w:tc>
          <w:tcPr>
            <w:tcW w:w="1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5"/>
              </w:rPr>
              <w:t>7.9 %</w:t>
            </w:r>
          </w:p>
        </w:tc>
        <w:tc>
          <w:tcPr>
            <w:tcW w:w="20" w:type="dxa"/>
            <w:vAlign w:val="bottom"/>
            <w:tcBorders>
              <w:bottom w:val="single" w:sz="8" w:color="auto"/>
            </w:tcBorders>
          </w:tcPr>
          <w:p>
            <w:pPr>
              <w:spacing w:after="0"/>
              <w:rPr>
                <w:sz w:val="20"/>
                <w:szCs w:val="20"/>
                <w:color w:val="auto"/>
              </w:rPr>
            </w:pPr>
          </w:p>
        </w:tc>
      </w:tr>
      <w:tr>
        <w:trPr>
          <w:trHeight w:val="560"/>
        </w:trPr>
        <w:tc>
          <w:tcPr>
            <w:tcW w:w="20" w:type="dxa"/>
            <w:vAlign w:val="bottom"/>
          </w:tcPr>
          <w:p>
            <w:pPr>
              <w:spacing w:after="0"/>
              <w:rPr>
                <w:sz w:val="24"/>
                <w:szCs w:val="24"/>
                <w:color w:val="auto"/>
              </w:rPr>
            </w:pP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3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3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36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3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3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3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3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3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3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3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3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3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3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3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16.4 %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2023 Form 10-K. None of the registrants make any representation as to information related solely to Evergy, Evergy Kansas Central or Evergy Metro other than itself.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3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3" w:lineRule="exact"/>
        <w:rPr>
          <w:sz w:val="20"/>
          <w:szCs w:val="20"/>
          <w:color w:val="auto"/>
        </w:rPr>
      </w:pPr>
    </w:p>
    <w:p>
      <w:pPr>
        <w:ind w:left="660" w:right="14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07"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Kansas and Missouri. The Evergy Companies assess financial performance and allocate resources on a consolidated basis (i.e., operate in one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2024 Rate Case Proceeding</w:t>
      </w:r>
    </w:p>
    <w:p>
      <w:pPr>
        <w:spacing w:after="0" w:line="3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two natural gas plants. An evidentiary hearing in the case is scheduled to occur beginning in late September 2024 and new rates are expected to be effective in January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Securitized Bonds</w:t>
      </w:r>
    </w:p>
    <w:p>
      <w:pPr>
        <w:spacing w:after="0" w:line="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February 2024, Evergy Missouri West Storm Funding issued, at a discount, $331.1 million of 5.10% Securitized Bonds in order to recover the extraordinary fuel and purchased power costs incurred as part of the February 2021 winter weather event. See Notes 4 and 7 to the consolidated financial statements for additional information regarding the securitized bonds.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w:t>
      </w:r>
    </w:p>
    <w:p>
      <w:pPr>
        <w:spacing w:after="0" w:line="3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In April 2024, Evergy Missouri West purchased a joint ownership interest representing approximately 145 MW in Dogwood, an operational natural gas combined cycle facility located in Missouri, for approximately $60 million. The purchase was subject to terms and conditions listed in a stipulation and agreement approved by the MPSC allowing Evergy Missouri West to recover in rates a return of and return on the original cost, net of accumulated deprecation,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Kansas Legislation</w:t>
      </w:r>
    </w:p>
    <w:p>
      <w:pPr>
        <w:spacing w:after="0" w:line="3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April 2024, Kansas H.B. 2527 was signed into law by the Governor of Kansas. Most notably, H.B. 2527 includes a plant-in service accounting (PISA) provision that can be elected by Kansas electric public utilities to defer and recover as regulatory assets 90% of depreciation expense and associated return on investment linked to qualifying electric plants in service. Qualifying electric plant includes all rate base additions by an electric public utility, but not including transmission facilities or new electric generating units. The deferred depreciation and return on the associated regulatory asset are required to be included in determining the utility's rate base during subsequent general rate proceedings. The return on the deferred regulatory asset balances will be calculated using the weighted average cost of capital. Utilities that elect the PISA provision can make qualifying deferrals of depreciation and return from July 2024 through December 2030. Evergy Kansas Central and Evergy Metro expect to elect the PISA provision in their Kansas jurisdictions.</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Additionally, the bill establishes new mechanisms for the recovery of costs associated with new gas-fired generating units. If the KCC decides investment in a new gas-fired generating unit is reasonable, the utility would be able to recover the return on 100% of the associated construction costs at its weighted average cost of capital. The cost recovery from customers could begin a year after construction begins. Rates could be adjusted every six months until new base rates reflecting the plant's costs are established.</w:t>
      </w:r>
    </w:p>
    <w:p>
      <w:pPr>
        <w:spacing w:after="0" w:line="186"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20"/>
          <w:szCs w:val="20"/>
          <w:color w:val="auto"/>
        </w:rPr>
        <w:t>In April 2024, Kansas S.B. 410 was signed into law by the Governor of Kansas. Most notably, S.B. 410 includes an exemption from all property and ad valorem taxes on certain electric generation facilities for which construction or installation begins on or after January 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Wolf Creek's most recent refueling outage began in March 2024 and the unit is expected to return to service in May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earnings per common share (EPS).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2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40" w:type="dxa"/>
            <w:vAlign w:val="bottom"/>
            <w:gridSpan w:val="5"/>
          </w:tcPr>
          <w:p>
            <w:pPr>
              <w:jc w:val="right"/>
              <w:ind w:right="510"/>
              <w:spacing w:after="0"/>
              <w:rPr>
                <w:sz w:val="20"/>
                <w:szCs w:val="20"/>
                <w:color w:val="auto"/>
              </w:rPr>
            </w:pPr>
            <w:r>
              <w:rPr>
                <w:rFonts w:ascii="Times New Roman" w:cs="Times New Roman" w:eastAsia="Times New Roman" w:hAnsi="Times New Roman"/>
                <w:sz w:val="16"/>
                <w:szCs w:val="16"/>
                <w:color w:val="auto"/>
              </w:rPr>
              <w:t>(millions, except per share amounts)</w:t>
            </w:r>
          </w:p>
        </w:tc>
      </w:tr>
      <w:tr>
        <w:trPr>
          <w:trHeight w:val="23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3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0.53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bl>
    <w:p>
      <w:pPr>
        <w:spacing w:after="0" w:line="2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decreased for the three months ended March 31, 2024, compared to the same period in 2023, primarily due to higher depreciation and taxes other than income tax expense in the first quarter of 2024, 2023 mark-to-market gains related to forward contracts for natural gas and electricity and higher transmission and distribution expense; partially offset by new Evergy Kansas Central retail rates effective in December 2023, lower pension non-service costs and lower income tax expense.</w:t>
      </w:r>
    </w:p>
    <w:p>
      <w:pPr>
        <w:spacing w:after="0" w:line="1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Diluted EPS decreased for the three months ended March 31, 2024, compared to the same period in 2023, primarily due to the decrease in net income attributable to Evergy, Inc. discussed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 gross margin (non-GAAP) should be viewed as a supplement to, and not a substitute for, gross margin, which is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directly comparable financial measure prepared in accordance with GAAP. Gross margin under GAAP is defined as the excess of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cost of goods sold.</w:t>
      </w:r>
    </w:p>
    <w:p>
      <w:pPr>
        <w:spacing w:after="0" w:line="20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3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assists in the comparability of results and is consistent with how management reviews performance.</w:t>
      </w:r>
    </w:p>
    <w:p>
      <w:pPr>
        <w:spacing w:after="0" w:line="18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March 31, 2024 were $124.7 million or $0.54 per share. For the three months ended March 31, 2023, Evergy's adjusted earnings (non-GAAP) and adjusted EPS (non-GAAP) were $136.1 million or $0.59 per share.</w:t>
      </w:r>
    </w:p>
    <w:p>
      <w:pPr>
        <w:spacing w:after="0" w:line="181"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6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mark-to-market impacts of economic hedges related to Evergy Kansas Central's 8% ownership share of JEC; and</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resulting from non-regulated energy marketing margins from the February 2021 winter weather event.</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between net income attributable to Evergy, Inc. and diluted EPS as determined in accordance with GAAP and adjusted earnings (non-GAAP) and adjusted EPS (non-GAAP),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15"/>
                <w:szCs w:val="15"/>
                <w:color w:val="auto"/>
              </w:rPr>
            </w:pPr>
          </w:p>
        </w:tc>
        <w:tc>
          <w:tcPr>
            <w:tcW w:w="100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6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75"/>
        </w:trPr>
        <w:tc>
          <w:tcPr>
            <w:tcW w:w="6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Non-regulated energy marketing costs related to February 2021 winter weather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event, pre-tax</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 expense</w:t>
            </w:r>
            <w:r>
              <w:rPr>
                <w:rFonts w:ascii="Times New Roman" w:cs="Times New Roman" w:eastAsia="Times New Roman" w:hAnsi="Times New Roman"/>
                <w:sz w:val="23"/>
                <w:szCs w:val="23"/>
                <w:color w:val="auto"/>
                <w:vertAlign w:val="superscript"/>
              </w:rPr>
              <w:t>(c)</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60" w:hanging="172"/>
        <w:spacing w:after="0" w:line="223" w:lineRule="auto"/>
        <w:tabs>
          <w:tab w:leader="none" w:pos="17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ind w:left="180" w:right="140" w:hanging="172"/>
        <w:spacing w:after="0" w:line="233"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non-regulated energy marketing incentive compensation costs related to the February 2021 winter weather event that are included in operating and maintenance expense on the consolidated statements of comprehensive income.</w:t>
      </w:r>
    </w:p>
    <w:p>
      <w:pPr>
        <w:ind w:left="160" w:hanging="152"/>
        <w:spacing w:after="0" w:line="200" w:lineRule="auto"/>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10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to the consolidated financial statements for information regarding 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231.5</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w:t>
            </w:r>
          </w:p>
        </w:tc>
        <w:tc>
          <w:tcPr>
            <w:tcW w:w="2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1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3,742</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4,290</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2,047</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1,084.0</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10,106</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3,294</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1,331.0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13,400</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20" w:hanging="161"/>
        <w:spacing w:after="0" w:line="210" w:lineRule="auto"/>
        <w:tabs>
          <w:tab w:leader="none" w:pos="15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$95.6 million and $98.1 million for the three months ended March 31, 2024 and 2023, respectively.</w:t>
      </w:r>
    </w:p>
    <w:p>
      <w:pPr>
        <w:spacing w:after="0" w:line="228" w:lineRule="exact"/>
        <w:rPr>
          <w:sz w:val="20"/>
          <w:szCs w:val="20"/>
          <w:color w:val="auto"/>
        </w:rPr>
      </w:pPr>
    </w:p>
    <w:p>
      <w:pPr>
        <w:jc w:val="both"/>
        <w:ind w:left="1" w:right="280"/>
        <w:spacing w:after="0" w:line="261" w:lineRule="auto"/>
        <w:rPr>
          <w:sz w:val="20"/>
          <w:szCs w:val="20"/>
          <w:color w:val="auto"/>
        </w:rPr>
      </w:pPr>
      <w:r>
        <w:rPr>
          <w:rFonts w:ascii="Times New Roman" w:cs="Times New Roman" w:eastAsia="Times New Roman" w:hAnsi="Times New Roman"/>
          <w:sz w:val="20"/>
          <w:szCs w:val="20"/>
          <w:color w:val="auto"/>
        </w:rPr>
        <w:t>Evergy's gross margin (GAAP) decreased $21.6 million for the three months ended March 31, 2024, compared to the same period in 2023 and Evergy's utility gross margin (non-GAAP) increased $20.5 million for the three months ended March 31, 2024, compared to the same period in 2023, both measures were driven by:</w:t>
      </w:r>
    </w:p>
    <w:p>
      <w:pPr>
        <w:spacing w:after="0" w:line="73" w:lineRule="exact"/>
        <w:rPr>
          <w:sz w:val="20"/>
          <w:szCs w:val="20"/>
          <w:color w:val="auto"/>
        </w:rPr>
      </w:pPr>
    </w:p>
    <w:p>
      <w:pPr>
        <w:ind w:left="661" w:hanging="328"/>
        <w:spacing w:after="0" w:line="269"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$11.0 million decrease due to 2023 mark-to-market gains related to forward contracts for natural gas and electricity entered into as economic hedges against fuel price volatility related to Evergy Kansas Central's 8% ownership share of JEC; partially offset by</w:t>
      </w:r>
    </w:p>
    <w:p>
      <w:pPr>
        <w:spacing w:after="0" w:line="64" w:lineRule="exact"/>
        <w:rPr>
          <w:rFonts w:ascii="Times New Roman" w:cs="Times New Roman" w:eastAsia="Times New Roman" w:hAnsi="Times New Roman"/>
          <w:sz w:val="20"/>
          <w:szCs w:val="20"/>
          <w:color w:val="auto"/>
        </w:rPr>
      </w:pPr>
    </w:p>
    <w:p>
      <w:pPr>
        <w:ind w:left="661" w:right="240" w:hanging="328"/>
        <w:spacing w:after="0" w:line="261"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$31.5 million net increase primarily from new retail rates in Kansas effective in December 2023 consisting of $39.9 million primarily from higher Evergy Kansas Central retail rates, partially offset by $6.7 million primarily from lower Evergy Metro retail rates.</w:t>
      </w:r>
    </w:p>
    <w:p>
      <w:pPr>
        <w:spacing w:after="0" w:line="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decrease in Evergy's gross margin (GAAP) was also driven by:</w:t>
      </w:r>
    </w:p>
    <w:p>
      <w:pPr>
        <w:spacing w:after="0" w:line="108" w:lineRule="exact"/>
        <w:rPr>
          <w:sz w:val="20"/>
          <w:szCs w:val="20"/>
          <w:color w:val="auto"/>
        </w:rPr>
      </w:pPr>
    </w:p>
    <w:p>
      <w:pPr>
        <w:ind w:left="661" w:right="720" w:hanging="328"/>
        <w:spacing w:after="0" w:line="288" w:lineRule="auto"/>
        <w:tabs>
          <w:tab w:leader="none" w:pos="64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$17.7 million increase in operating and maintenance expenses which are determined to be directly attributable to revenue producing activities primarily driven by a $10.4 million increase in transmission and distribution operating and maintenance expenses and a $4.3 million increase in plant operating and maintenance expense at Wolf Creek as further described below;</w:t>
      </w:r>
    </w:p>
    <w:p>
      <w:pPr>
        <w:spacing w:after="0" w:line="36" w:lineRule="exact"/>
        <w:rPr>
          <w:rFonts w:ascii="Times New Roman" w:cs="Times New Roman" w:eastAsia="Times New Roman" w:hAnsi="Times New Roman"/>
          <w:sz w:val="19"/>
          <w:szCs w:val="19"/>
          <w:color w:val="auto"/>
        </w:rPr>
      </w:pPr>
    </w:p>
    <w:p>
      <w:pPr>
        <w:ind w:left="641" w:hanging="308"/>
        <w:spacing w:after="0"/>
        <w:tabs>
          <w:tab w:leader="none" w:pos="64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$12.7 million increase in depreciation and amortization as further described below; and</w:t>
      </w:r>
    </w:p>
    <w:p>
      <w:pPr>
        <w:spacing w:after="0" w:line="121"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$11.7 million increase in taxes other than income tax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1"/>
          </w:cols>
          <w:pgMar w:left="319"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32"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Evergy's operating and maintenance expense increased $15.2 million for the three months ended March 31, 2024, compared to the same period in 2023, primarily driven by:</w:t>
      </w:r>
    </w:p>
    <w:p>
      <w:pPr>
        <w:spacing w:after="0" w:line="80" w:lineRule="exact"/>
        <w:rPr>
          <w:sz w:val="20"/>
          <w:szCs w:val="20"/>
          <w:color w:val="auto"/>
        </w:rPr>
      </w:pPr>
    </w:p>
    <w:p>
      <w:pPr>
        <w:ind w:left="660" w:right="24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$10.4 million increase in transmission and distribution operating and maintenance expenses primarily at Evergy Kansas Central driven by higher labor expense primarily due to a decrease in labor capitalization and higher employee headcount; and</w:t>
      </w:r>
    </w:p>
    <w:p>
      <w:pPr>
        <w:spacing w:after="0" w:line="64" w:lineRule="exact"/>
        <w:rPr>
          <w:rFonts w:ascii="Times New Roman" w:cs="Times New Roman" w:eastAsia="Times New Roman" w:hAnsi="Times New Roman"/>
          <w:sz w:val="20"/>
          <w:szCs w:val="20"/>
          <w:color w:val="auto"/>
        </w:rPr>
      </w:pPr>
    </w:p>
    <w:p>
      <w:pPr>
        <w:ind w:left="660" w:right="46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 million increase in plant operating and maintenance expense at Wolf Creek at Evergy Kansas Central and Evergy Metro primarily due to higher material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Evergy's depreciation and amortization expense increased $12.7 million for the three months ended March 31, 2024, compared to the same period in 2023, primarily driven by:</w:t>
      </w:r>
    </w:p>
    <w:p>
      <w:pPr>
        <w:spacing w:after="0" w:line="80" w:lineRule="exact"/>
        <w:rPr>
          <w:sz w:val="20"/>
          <w:szCs w:val="20"/>
          <w:color w:val="auto"/>
        </w:rPr>
      </w:pPr>
    </w:p>
    <w:p>
      <w:pPr>
        <w:ind w:left="660" w:right="32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$7.4 million increase primarily due to a change in depreciation rates as a result of Evergy Kansas Central's and Evergy Metro's 2023 rate cases effective in December 2023;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 million increase primarily due to capital additions.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2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Evergy's taxes other than income tax increased $11.7 million for the three months ended March 31, 2024, compared to the same period in 2023, primarily driven by</w:t>
      </w:r>
    </w:p>
    <w:p>
      <w:pPr>
        <w:spacing w:after="0" w:line="74" w:lineRule="exact"/>
        <w:rPr>
          <w:sz w:val="20"/>
          <w:szCs w:val="20"/>
          <w:color w:val="auto"/>
        </w:rPr>
      </w:pPr>
    </w:p>
    <w:p>
      <w:pPr>
        <w:ind w:left="660" w:right="60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$7.5 million increase at Evergy Kansas Central primarily due to the rebasing of property taxes as a result of Evergy Kansas Central's 2023 rate case effective in December 2023; and</w:t>
      </w:r>
    </w:p>
    <w:p>
      <w:pPr>
        <w:spacing w:after="0" w:line="64"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 million increase at Evergy Metro primarily due to an increase in property taxes primarily driven by higher assessed property valuations.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26"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20"/>
          <w:szCs w:val="20"/>
          <w:color w:val="auto"/>
        </w:rPr>
        <w:t>Evergy's other income, net increased $4.3 million for the three months ended March 31, 2024, compared to the same period in 2023, primarily driven by:</w:t>
      </w:r>
    </w:p>
    <w:p>
      <w:pPr>
        <w:spacing w:after="0" w:line="74" w:lineRule="exact"/>
        <w:rPr>
          <w:sz w:val="20"/>
          <w:szCs w:val="20"/>
          <w:color w:val="auto"/>
        </w:rPr>
      </w:pPr>
    </w:p>
    <w:p>
      <w:pPr>
        <w:ind w:left="660" w:right="20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$10.2 million decrease in pension non-service costs primarily due to the resetting of pension expense in retail rates as a result of Evergy Kansas Central's and Evergy Metro's 2023 rate cases effective in December 2023; partially offset by</w:t>
      </w:r>
    </w:p>
    <w:p>
      <w:pPr>
        <w:spacing w:after="0" w:line="64"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 million decrease in investment earnings primarily driven by a $2.0 million decrease in interest and dividend income primarily due to an decrease in carrying charges related to Evergy Missouri West's costs associated with the February 2021 winter weather event to be recovered through securitized bonds issued in February 2024; and</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 million decrease due to recording lower Evergy Kansas Central corporate-owned life insurance (COLI) benefits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$10.1 million for the three months ended March 31,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$15.8 million increase due to the issuance of Evergy, Inc.'s $1.4 billion of 4.50% Convertible Notes in December 2023; and</w:t>
      </w:r>
    </w:p>
    <w:p>
      <w:pPr>
        <w:spacing w:after="0" w:line="121" w:lineRule="exact"/>
        <w:rPr>
          <w:rFonts w:ascii="Times New Roman" w:cs="Times New Roman" w:eastAsia="Times New Roman" w:hAnsi="Times New Roman"/>
          <w:sz w:val="20"/>
          <w:szCs w:val="20"/>
          <w:color w:val="auto"/>
        </w:rPr>
      </w:pPr>
    </w:p>
    <w:p>
      <w:pPr>
        <w:ind w:left="660" w:right="28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$4.6 million increase due to the issuance of Evergy Kansas Central's $400.0 million of 5.70% First Mortgage Bonds (FMBs) in March 2023; partially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$9.7 million decrease in interest expense on short-term borrowings primarily due to lower short-term debt balances in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32" w:lineRule="exact"/>
        <w:rPr>
          <w:sz w:val="20"/>
          <w:szCs w:val="20"/>
          <w:color w:val="auto"/>
        </w:rPr>
      </w:pPr>
    </w:p>
    <w:p>
      <w:pPr>
        <w:ind w:right="540"/>
        <w:spacing w:after="0" w:line="253" w:lineRule="auto"/>
        <w:rPr>
          <w:sz w:val="20"/>
          <w:szCs w:val="20"/>
          <w:color w:val="auto"/>
        </w:rPr>
      </w:pPr>
      <w:r>
        <w:rPr>
          <w:rFonts w:ascii="Times New Roman" w:cs="Times New Roman" w:eastAsia="Times New Roman" w:hAnsi="Times New Roman"/>
          <w:sz w:val="20"/>
          <w:szCs w:val="20"/>
          <w:color w:val="auto"/>
        </w:rPr>
        <w:t>Evergy's income tax expense decreased $5.1 million for the three months ended March 31, 2024, compared to the same period in 2023, primarily driven by lower Evergy Metro pre-tax income in the first quarter of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2023 Form 10-K for more information on Evergy's sources and uses of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2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As of March 31, 2024, Evergy had $1,406.8 million of available borrowing capacity under its master credit facility. The available borrowing capacity under the master credit facility consisted of $199.3 million for Evergy, Inc., $487.5 million for Evergy Kansas Central, $337.0 million for Evergy Metro and $383.0 million for Evergy Missouri West. The Evergy Companies' borrowing capacity under the master credit facility also supports their issuance of commercial paper. See Note 6 to the consolidated financial statements for more information regarding the master credit facility.</w:t>
      </w:r>
    </w:p>
    <w:p>
      <w:pPr>
        <w:spacing w:after="0" w:line="1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7 to the consolidated financial statements for information regarding significant debt issuances.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Ratings</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In May 2024, Moody's Investor Service changed Evergy Missouri West's outlook from Stable to Negative, and affirmed credit ratings as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Borders>
              <w:top w:val="single" w:sz="8" w:color="auto"/>
            </w:tcBorders>
          </w:tcPr>
          <w:p>
            <w:pPr>
              <w:spacing w:after="0"/>
              <w:rPr>
                <w:sz w:val="21"/>
                <w:szCs w:val="21"/>
                <w:color w:val="auto"/>
              </w:rPr>
            </w:pPr>
          </w:p>
        </w:tc>
        <w:tc>
          <w:tcPr>
            <w:tcW w:w="5520" w:type="dxa"/>
            <w:vAlign w:val="bottom"/>
            <w:tcBorders>
              <w:top w:val="single" w:sz="8" w:color="auto"/>
            </w:tcBorders>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40"/>
        </w:trPr>
        <w:tc>
          <w:tcPr>
            <w:tcW w:w="572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jc w:val="center"/>
              <w:ind w:left="3470"/>
              <w:spacing w:after="0" w:line="240" w:lineRule="exact"/>
              <w:rPr>
                <w:sz w:val="20"/>
                <w:szCs w:val="20"/>
                <w:color w:val="auto"/>
              </w:rPr>
            </w:pPr>
            <w:r>
              <w:rPr>
                <w:rFonts w:ascii="Times New Roman" w:cs="Times New Roman" w:eastAsia="Times New Roman" w:hAnsi="Times New Roman"/>
                <w:sz w:val="18"/>
                <w:szCs w:val="18"/>
                <w:b w:val="1"/>
                <w:bCs w:val="1"/>
                <w:color w:val="auto"/>
                <w:w w:val="96"/>
              </w:rPr>
              <w:t>Investors Service</w:t>
            </w:r>
            <w:r>
              <w:rPr>
                <w:rFonts w:ascii="Times New Roman" w:cs="Times New Roman" w:eastAsia="Times New Roman" w:hAnsi="Times New Roman"/>
                <w:sz w:val="23"/>
                <w:szCs w:val="23"/>
                <w:b w:val="1"/>
                <w:bCs w:val="1"/>
                <w:color w:val="auto"/>
                <w:w w:val="96"/>
                <w:vertAlign w:val="superscript"/>
              </w:rPr>
              <w:t>(a)</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5520" w:type="dxa"/>
            <w:vAlign w:val="bottom"/>
            <w:shd w:val="clear" w:color="auto" w:fill="CCEEFF"/>
          </w:tcPr>
          <w:p>
            <w:pPr>
              <w:spacing w:after="0"/>
              <w:rPr>
                <w:sz w:val="19"/>
                <w:szCs w:val="19"/>
                <w:color w:val="auto"/>
              </w:rPr>
            </w:pP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Credit Rating</w:t>
            </w:r>
          </w:p>
        </w:tc>
        <w:tc>
          <w:tcPr>
            <w:tcW w:w="552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7"/>
              </w:rPr>
              <w:t>Baa2</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Debt</w:t>
            </w:r>
          </w:p>
        </w:tc>
        <w:tc>
          <w:tcPr>
            <w:tcW w:w="5520" w:type="dxa"/>
            <w:vAlign w:val="bottom"/>
            <w:shd w:val="clear" w:color="auto" w:fill="CCEEFF"/>
          </w:tcPr>
          <w:p>
            <w:pPr>
              <w:jc w:val="center"/>
              <w:ind w:left="3490"/>
              <w:spacing w:after="0"/>
              <w:rPr>
                <w:sz w:val="20"/>
                <w:szCs w:val="20"/>
                <w:color w:val="auto"/>
              </w:rPr>
            </w:pPr>
            <w:r>
              <w:rPr>
                <w:rFonts w:ascii="Times New Roman" w:cs="Times New Roman" w:eastAsia="Times New Roman" w:hAnsi="Times New Roman"/>
                <w:sz w:val="18"/>
                <w:szCs w:val="18"/>
                <w:color w:val="auto"/>
                <w:w w:val="99"/>
              </w:rPr>
              <w:t>A3</w:t>
            </w:r>
          </w:p>
        </w:tc>
      </w:tr>
      <w:tr>
        <w:trPr>
          <w:trHeight w:val="237"/>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5520" w:type="dxa"/>
            <w:vAlign w:val="bottom"/>
            <w:tcBorders>
              <w:bottom w:val="single" w:sz="8" w:color="auto"/>
            </w:tcBorders>
          </w:tcPr>
          <w:p>
            <w:pPr>
              <w:jc w:val="center"/>
              <w:ind w:left="3470"/>
              <w:spacing w:after="0"/>
              <w:rPr>
                <w:sz w:val="20"/>
                <w:szCs w:val="20"/>
                <w:color w:val="auto"/>
              </w:rPr>
            </w:pPr>
            <w:r>
              <w:rPr>
                <w:rFonts w:ascii="Times New Roman" w:cs="Times New Roman" w:eastAsia="Times New Roman" w:hAnsi="Times New Roman"/>
                <w:sz w:val="18"/>
                <w:szCs w:val="18"/>
                <w:color w:val="auto"/>
                <w:w w:val="95"/>
              </w:rPr>
              <w:t>P-2</w:t>
            </w: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A securities rating is not a recommendation to buy, sell or hold securities and may be subject to revision or withdrawal at any time by the assigning rating agency.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2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 xml:space="preserve">For the three months ended March 31, 2024, Evergy made no cash pension contributions. </w:t>
      </w:r>
      <w:r>
        <w:rPr>
          <w:rFonts w:ascii="Times New Roman" w:cs="Times New Roman" w:eastAsia="Times New Roman" w:hAnsi="Times New Roman"/>
          <w:sz w:val="20"/>
          <w:szCs w:val="20"/>
          <w:color w:val="202122"/>
        </w:rPr>
        <w:t>Evergy expects to make cash pension contributions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02122"/>
        </w:rPr>
        <w:t xml:space="preserve">of </w:t>
      </w:r>
      <w:r>
        <w:rPr>
          <w:rFonts w:ascii="Times New Roman" w:cs="Times New Roman" w:eastAsia="Times New Roman" w:hAnsi="Times New Roman"/>
          <w:sz w:val="20"/>
          <w:szCs w:val="20"/>
          <w:color w:val="000000"/>
        </w:rPr>
        <w:t>$38.6 million</w:t>
      </w:r>
      <w:r>
        <w:rPr>
          <w:rFonts w:ascii="Times New Roman" w:cs="Times New Roman" w:eastAsia="Times New Roman" w:hAnsi="Times New Roman"/>
          <w:sz w:val="20"/>
          <w:szCs w:val="20"/>
          <w:color w:val="202122"/>
        </w:rPr>
        <w:t xml:space="preserve"> in </w:t>
      </w:r>
      <w:r>
        <w:rPr>
          <w:rFonts w:ascii="Times New Roman" w:cs="Times New Roman" w:eastAsia="Times New Roman" w:hAnsi="Times New Roman"/>
          <w:sz w:val="20"/>
          <w:szCs w:val="20"/>
          <w:color w:val="000000"/>
        </w:rPr>
        <w:t>2024</w:t>
      </w:r>
      <w:r>
        <w:rPr>
          <w:rFonts w:ascii="Times New Roman" w:cs="Times New Roman" w:eastAsia="Times New Roman" w:hAnsi="Times New Roman"/>
          <w:sz w:val="20"/>
          <w:szCs w:val="20"/>
          <w:color w:val="202122"/>
        </w:rPr>
        <w:t xml:space="preserve">. </w:t>
      </w:r>
      <w:r>
        <w:rPr>
          <w:rFonts w:ascii="Times New Roman" w:cs="Times New Roman" w:eastAsia="Times New Roman" w:hAnsi="Times New Roman"/>
          <w:sz w:val="20"/>
          <w:szCs w:val="20"/>
          <w:color w:val="000000"/>
        </w:rPr>
        <w:t>For the three months ended March 31, 2024, Evergy made post-retirement benefit contributions of $0.4 million.</w:t>
      </w:r>
      <w:r>
        <w:rPr>
          <w:rFonts w:ascii="Times New Roman" w:cs="Times New Roman" w:eastAsia="Times New Roman" w:hAnsi="Times New Roman"/>
          <w:sz w:val="20"/>
          <w:szCs w:val="20"/>
          <w:color w:val="202122"/>
        </w:rPr>
        <w:t xml:space="preserve"> </w:t>
      </w:r>
      <w:r>
        <w:rPr>
          <w:rFonts w:ascii="Times New Roman" w:cs="Times New Roman" w:eastAsia="Times New Roman" w:hAnsi="Times New Roman"/>
          <w:sz w:val="20"/>
          <w:szCs w:val="20"/>
          <w:color w:val="000000"/>
        </w:rPr>
        <w:t>Evergy expects to make additional post-retirement benefit contributions of $0.4 million in 2024. See Note 5 to the consolidated financial statements for additional information on Evergy's pension and post-retirement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As of March 31, 2024, Evergy was in compliance with all debt covenants under the master credit facility and certain debt instruments that contain restrictions that require the maintenance of certain capitalization and leverage ratios. See Note 6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317.3</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362.9</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(583.2)</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(496.9)</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303.6</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137.2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0"/>
          <w:szCs w:val="20"/>
          <w:color w:val="auto"/>
        </w:rPr>
        <w:t>Evergy's cash flows from operating activities decreased $45.6 million for the three months ended March 31, 2024, compared to the same period in 2023, primarily driven by a decrease in cash receipts for retail electric sales in 2024 primarily due to the collection of lower December receivables in January 2024 compared to the same period in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3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Evergy's cash flows used in investing activities increased $86.3 million for the three months ended March 31, 2024, compared to the same period in 2023, primarily driven by:</w:t>
      </w:r>
    </w:p>
    <w:p>
      <w:pPr>
        <w:spacing w:after="0" w:line="80" w:lineRule="exact"/>
        <w:rPr>
          <w:sz w:val="20"/>
          <w:szCs w:val="20"/>
          <w:color w:val="auto"/>
        </w:rPr>
      </w:pPr>
    </w:p>
    <w:p>
      <w:pPr>
        <w:ind w:left="660" w:right="180" w:hanging="328"/>
        <w:spacing w:after="0" w:line="261"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$90.9 million increase in additions to property, plant and equipment due to increases at Evergy Kansas Central and Evergy Missouri West of $53.6 million and $39.2 million, respectively, primarily due to increased spending for a variety of capital projects including transmission and distribution projects related to grid resiliency and other infrastructure improvements.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Evergy's cash flows from financing activities increased $166.4 million for the three months ended March 31, 2024, compared to the same period in 2023, primarily driven by:</w:t>
      </w:r>
    </w:p>
    <w:p>
      <w:pPr>
        <w:spacing w:after="0" w:line="74" w:lineRule="exact"/>
        <w:rPr>
          <w:sz w:val="20"/>
          <w:szCs w:val="20"/>
          <w:color w:val="auto"/>
        </w:rPr>
      </w:pPr>
    </w:p>
    <w:p>
      <w:pPr>
        <w:ind w:left="660" w:right="50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$300.0 million increase due to lower retirements of long-term debt, net due to Evergy Metro's repayment of $300.0 million of 3.15% Senior Notes in March 2023; partially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$74.5 million decrease in short-term debt borrowings due to lower commercial paper borrowings for the first quarter of 2024; and</w:t>
      </w:r>
    </w:p>
    <w:p>
      <w:pPr>
        <w:spacing w:after="0" w:line="107"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$67.6 million decrease in proceeds from long-term debt, net due to Evergy Kansas Central's issuance of $400.0 million of 5.70% FMBs in March 2023; partially offset by Evergy Missouri West's issuance of $331.1 million of 5.10% Securitized Bonds in February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138.6</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40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7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60" w:type="dxa"/>
            <w:vAlign w:val="bottom"/>
            <w:tcBorders>
              <w:top w:val="single" w:sz="8" w:color="auto"/>
            </w:tcBorders>
          </w:tcPr>
          <w:p>
            <w:pPr>
              <w:spacing w:after="0"/>
              <w:rPr>
                <w:sz w:val="21"/>
                <w:szCs w:val="21"/>
                <w:color w:val="auto"/>
              </w:rPr>
            </w:pPr>
          </w:p>
        </w:tc>
      </w:tr>
      <w:tr>
        <w:trPr>
          <w:trHeight w:val="238"/>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6"/>
                <w:szCs w:val="16"/>
                <w:color w:val="auto"/>
              </w:rPr>
              <w:t>(millions)</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9"/>
              </w:rPr>
              <w:t>(thousands)</w:t>
            </w: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1,501</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9"/>
              </w:rPr>
              <w:t>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3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1,658</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1,274</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510.0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4,443</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2,546</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693.2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6,989</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(138.6)</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213.9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219.3</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28.9</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w:t>
            </w:r>
          </w:p>
        </w:tc>
        <w:tc>
          <w:tcPr>
            <w:tcW w:w="13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26" w:lineRule="auto"/>
        <w:tabs>
          <w:tab w:leader="none" w:pos="142"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$50.6 million and $53.7 million for the three months ended March 31, 2024 and 2023, respectively.</w:t>
      </w:r>
    </w:p>
    <w:p>
      <w:pPr>
        <w:spacing w:after="0" w:line="189" w:lineRule="exact"/>
        <w:rPr>
          <w:sz w:val="20"/>
          <w:szCs w:val="20"/>
          <w:color w:val="auto"/>
        </w:rPr>
      </w:pPr>
    </w:p>
    <w:p>
      <w:pPr>
        <w:ind w:left="1" w:right="80"/>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decreased $5.4 million for the three months ended March 31, 2024, compared to the same period in 2023, and Evergy Kansas Central's utility gross margin (non-GAAP) increased $28.9 million for the three months ended March 31, 2024, compared to the same period in 2023, both measures were driven by:</w:t>
      </w:r>
    </w:p>
    <w:p>
      <w:pPr>
        <w:spacing w:after="0" w:line="73" w:lineRule="exact"/>
        <w:rPr>
          <w:sz w:val="20"/>
          <w:szCs w:val="20"/>
          <w:color w:val="auto"/>
        </w:rPr>
      </w:pPr>
    </w:p>
    <w:p>
      <w:pPr>
        <w:ind w:left="661" w:right="20" w:hanging="328"/>
        <w:spacing w:after="0" w:line="269" w:lineRule="auto"/>
        <w:tabs>
          <w:tab w:leader="none" w:pos="6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$11.0 million decrease due to 2023 mark-to-market gains related to forward contracts for natural gas and electricity entered into as economic hedges against fuel price volatility related to Evergy Kansas Central's 8% ownership share of JEC; partially offset by</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$39.9 million increase primarily from new Evergy Kansas Central retail rates effective in December 2023.</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decrease in Evergy Kansas Central's gross margin (GAAP) was also driven by:</w:t>
      </w:r>
    </w:p>
    <w:p>
      <w:pPr>
        <w:spacing w:after="0" w:line="108" w:lineRule="exact"/>
        <w:rPr>
          <w:sz w:val="20"/>
          <w:szCs w:val="20"/>
          <w:color w:val="auto"/>
        </w:rPr>
      </w:pPr>
    </w:p>
    <w:p>
      <w:pPr>
        <w:ind w:left="641" w:hanging="308"/>
        <w:spacing w:after="0"/>
        <w:tabs>
          <w:tab w:leader="none" w:pos="64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$15.0 million increase in depreciation and amortization expense as described further below; and</w:t>
      </w:r>
    </w:p>
    <w:p>
      <w:pPr>
        <w:spacing w:after="0" w:line="121" w:lineRule="exact"/>
        <w:rPr>
          <w:rFonts w:ascii="Times New Roman" w:cs="Times New Roman" w:eastAsia="Times New Roman" w:hAnsi="Times New Roman"/>
          <w:sz w:val="20"/>
          <w:szCs w:val="20"/>
          <w:color w:val="auto"/>
        </w:rPr>
      </w:pPr>
    </w:p>
    <w:p>
      <w:pPr>
        <w:ind w:left="661" w:right="80" w:hanging="328"/>
        <w:spacing w:after="0" w:line="261" w:lineRule="auto"/>
        <w:tabs>
          <w:tab w:leader="none" w:pos="64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$11.8 million increase in operating and maintenance expenses which are determined to be directly attributable to revenue producing activities primarily driven by a $6.8 million increase in transmission and distribution operating and maintenance expenses and a $2.1 million increase in operating and maintenance expense at Wolf Creek as described further below; and</w:t>
      </w:r>
    </w:p>
    <w:p>
      <w:pPr>
        <w:spacing w:after="0" w:line="7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$7.5 million increase in taxes other than income tax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Evergy Kansas Central's operating and maintenance expense increased $8.7 million for the three months ended March 31, 2024, compared to the same period in 2023, primarily driven by:</w:t>
      </w:r>
    </w:p>
    <w:p>
      <w:pPr>
        <w:spacing w:after="0" w:line="80" w:lineRule="exact"/>
        <w:rPr>
          <w:sz w:val="20"/>
          <w:szCs w:val="20"/>
          <w:color w:val="auto"/>
        </w:rPr>
      </w:pPr>
    </w:p>
    <w:p>
      <w:pPr>
        <w:ind w:left="660" w:right="50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$6.8 million increase in transmission and distribution operating and maintenance expenses primarily due to higher labor costs driven by a decrease in labor capitalization and higher employee headcount;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 million increase in plant operating and maintenance expense at Wolf Creek primarily due to higher material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2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$15.0 million for the three months ended March 31, 2024, compared to the same period in 2023, driven by:</w:t>
      </w:r>
    </w:p>
    <w:p>
      <w:pPr>
        <w:spacing w:after="0" w:line="60" w:lineRule="exact"/>
        <w:rPr>
          <w:sz w:val="20"/>
          <w:szCs w:val="20"/>
          <w:color w:val="auto"/>
        </w:rPr>
      </w:pPr>
    </w:p>
    <w:p>
      <w:pPr>
        <w:ind w:left="66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$10.1 million increase primarily due to a change in depreciation rates as a result of Evergy Kansas Central's 2023 rate case effective in December 2023; and</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$4.9 million increase primarily due to capital additions.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32"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20"/>
          <w:szCs w:val="20"/>
          <w:color w:val="auto"/>
        </w:rPr>
        <w:t>Evergy Kansas Central's taxes other than income tax increased $7.5 million for the three months ended March 31, 2024, compared to the same period in 2023, primarily driven by the rebasing of property taxes as a result of Evergy Kansas Central's 2023 rate case effective in December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Income, Net</w:t>
      </w:r>
    </w:p>
    <w:p>
      <w:pPr>
        <w:spacing w:after="0" w:line="2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Evergy Kansas Central's other income, net increased $4.8 million for the three months ended March 31, 2024, compared to the same period in 2023, primarily driven by:</w:t>
      </w:r>
    </w:p>
    <w:p>
      <w:pPr>
        <w:spacing w:after="0" w:line="60" w:lineRule="exact"/>
        <w:rPr>
          <w:sz w:val="20"/>
          <w:szCs w:val="20"/>
          <w:color w:val="auto"/>
        </w:rPr>
      </w:pPr>
    </w:p>
    <w:p>
      <w:pPr>
        <w:ind w:left="660" w:right="40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 million decrease in pension non-service costs primarily due to the resetting of pension expense in retail rates as a result of Evergy Kansas Central's 2023 rate cases effective in December 2023; and</w:t>
      </w:r>
    </w:p>
    <w:p>
      <w:pPr>
        <w:spacing w:after="0" w:line="38"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 million increase in equity allowance for funds used during construction (AFUDC) principally driven by lower short-term debt balances in 2024;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 million decrease due to recording lower COLI benefits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3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Evergy Kansas Central's interest expense increased $3.4 million for the three months ended March 31,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$4.6 million increase due to the issuance of $400.0 million of 5.70% FMBs in March 2023;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$4.4 million increase due to the issuance of $300.0 million of 5.90% FMBs in November 2023; partially offset by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 million decrease in interest expense on short-term borrowings primarily due to lower short-term debt balances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2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Evergy Kansas Central's income tax expense decreased $6.3 million for the three months ended March 31, 2024, compared to the same period in 2023, primarily driven by a $5.1 million decrease primarily due to higher wind and other income tax credits in the first quarter of 2024 principally driven by the acquisition of the Persimmon Creek wind farm in 2023.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60" w:type="dxa"/>
            <w:vAlign w:val="bottom"/>
            <w:tcBorders>
              <w:top w:val="single" w:sz="8" w:color="auto"/>
            </w:tcBorders>
          </w:tcPr>
          <w:p>
            <w:pPr>
              <w:spacing w:after="0"/>
              <w:rPr>
                <w:sz w:val="21"/>
                <w:szCs w:val="21"/>
                <w:color w:val="auto"/>
              </w:rPr>
            </w:pPr>
          </w:p>
        </w:tc>
      </w:tr>
      <w:tr>
        <w:trPr>
          <w:trHeight w:val="23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1,311</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1,800</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438</w:t>
            </w:r>
          </w:p>
        </w:tc>
        <w:tc>
          <w:tcPr>
            <w:tcW w:w="14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39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361.6</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3,562</w:t>
            </w:r>
          </w:p>
        </w:tc>
        <w:tc>
          <w:tcPr>
            <w:tcW w:w="1400" w:type="dxa"/>
            <w:vAlign w:val="bottom"/>
            <w:tcBorders>
              <w:top w:val="single" w:sz="8" w:color="auto"/>
            </w:tcBorders>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11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743</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4,305</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(136.6)</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94.2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291.0</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0719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ind w:left="161" w:right="60" w:hanging="161"/>
        <w:spacing w:after="0" w:line="227" w:lineRule="auto"/>
        <w:tabs>
          <w:tab w:leader="none" w:pos="14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$15.6 million and $17.7 million for the three months ended March 31, 2024 and 2023, respectively.</w:t>
      </w:r>
    </w:p>
    <w:p>
      <w:pPr>
        <w:spacing w:after="0" w:line="172" w:lineRule="exact"/>
        <w:rPr>
          <w:sz w:val="20"/>
          <w:szCs w:val="20"/>
          <w:color w:val="auto"/>
        </w:rPr>
      </w:pPr>
    </w:p>
    <w:p>
      <w:pPr>
        <w:ind w:left="1" w:right="2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decreased $13.3 million for the three months ended March 31, 2024, compared to the same period in 2023, and Evergy Metro's utility gross margin (non-GAAP) decreased $6.7 million for the three months ended March 31, 2024, compared to the same period in 2023, both measures were driven by:</w:t>
      </w:r>
    </w:p>
    <w:p>
      <w:pPr>
        <w:spacing w:after="0" w:line="53" w:lineRule="exact"/>
        <w:rPr>
          <w:sz w:val="20"/>
          <w:szCs w:val="20"/>
          <w:color w:val="auto"/>
        </w:rPr>
      </w:pPr>
    </w:p>
    <w:p>
      <w:pPr>
        <w:ind w:left="1" w:right="2760" w:firstLine="332"/>
        <w:spacing w:after="0" w:line="359"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$6.7 million decrease primarily from new Evergy Metro retail rates effective in December 2023. Additionally, the decrease in Evergy Metro's gross margin (GAAP) was also driven by:</w:t>
      </w:r>
    </w:p>
    <w:p>
      <w:pPr>
        <w:ind w:left="661" w:right="20" w:hanging="328"/>
        <w:spacing w:after="0" w:line="268"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$4.7 million increase in operating and maintenance expenses which are determined to be directly attributable to revenue producing activities primarily driven by a $2.8 million increase in transmission and distribution operating and maintenance expense as further described below; and</w:t>
      </w:r>
    </w:p>
    <w:p>
      <w:pPr>
        <w:spacing w:after="0" w:line="5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 million increase in taxes other than income tax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19" w:top="118"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Operating and Maintenance</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Metro's operating and maintenance expense increased $2.6 million for the three months ended March 31, 2024, compared to the same period in 2023, primarily driven by:</w:t>
      </w:r>
    </w:p>
    <w:p>
      <w:pPr>
        <w:spacing w:after="0" w:line="80" w:lineRule="exact"/>
        <w:rPr>
          <w:sz w:val="20"/>
          <w:szCs w:val="20"/>
          <w:color w:val="auto"/>
        </w:rPr>
      </w:pPr>
    </w:p>
    <w:p>
      <w:pPr>
        <w:jc w:val="both"/>
        <w:ind w:left="660" w:right="100" w:hanging="328"/>
        <w:spacing w:after="0" w:line="26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 million increase in transmission and distribution operating and maintenance expenses primarily due to a $1.5 million increase in vegetation management costs and higher labor costs driven by a decrease in labor capitalization and higher employee headcount; and</w:t>
      </w:r>
    </w:p>
    <w:p>
      <w:pPr>
        <w:spacing w:after="0" w:line="73" w:lineRule="exact"/>
        <w:rPr>
          <w:rFonts w:ascii="Times New Roman" w:cs="Times New Roman" w:eastAsia="Times New Roman" w:hAnsi="Times New Roman"/>
          <w:sz w:val="20"/>
          <w:szCs w:val="20"/>
          <w:color w:val="auto"/>
        </w:rPr>
      </w:pPr>
    </w:p>
    <w:p>
      <w:pPr>
        <w:ind w:left="660" w:right="32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 million increase in plant operating and maintenance expense at Wolf Creek primarily due to higher material costs; partially offset by</w:t>
      </w:r>
    </w:p>
    <w:p>
      <w:pPr>
        <w:spacing w:after="0" w:line="64"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 million decrease due to higher costs billed primarily to Evergy Missouri West for common use assets related to facilities and software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Taxes Other than Income Tax</w:t>
      </w:r>
    </w:p>
    <w:p>
      <w:pPr>
        <w:spacing w:after="0" w:line="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Evergy Metro's taxes other than income tax increased $3.8 million for the three months ended March 31, 2024, compared to the same period in 2023, primarily driven by an increase in property taxes primarily driven by higher assessed property valuations.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Other Expense, Net</w:t>
      </w:r>
    </w:p>
    <w:p>
      <w:pPr>
        <w:spacing w:after="0" w:line="2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Evergy Metro's other expense, net decreased $5.4 million for the three months ended March 31, 2024, compared to the same period in 2023, primarily driven by:</w:t>
      </w:r>
    </w:p>
    <w:p>
      <w:pPr>
        <w:spacing w:after="0" w:line="74" w:lineRule="exact"/>
        <w:rPr>
          <w:sz w:val="20"/>
          <w:szCs w:val="20"/>
          <w:color w:val="auto"/>
        </w:rPr>
      </w:pPr>
    </w:p>
    <w:p>
      <w:pPr>
        <w:ind w:left="660" w:right="40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$5.7 million decrease in pension non-service costs primarily due to the resetting of pension expense in retail rates as a result of Evergy Metro's 2023 rate case effective in December 2023; partially offset by</w:t>
      </w:r>
    </w:p>
    <w:p>
      <w:pPr>
        <w:spacing w:after="0" w:line="64" w:lineRule="exact"/>
        <w:rPr>
          <w:rFonts w:ascii="Times New Roman" w:cs="Times New Roman" w:eastAsia="Times New Roman" w:hAnsi="Times New Roman"/>
          <w:sz w:val="20"/>
          <w:szCs w:val="20"/>
          <w:color w:val="auto"/>
        </w:rPr>
      </w:pPr>
    </w:p>
    <w:p>
      <w:pPr>
        <w:ind w:left="660" w:right="50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 million decrease in equity AFUDC principally driven by higher short-term debt and lower construction work in progress balances in the first quarter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26"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Evergy Metro's interest expense increased $7.0 million for the three months ended March 31, 2024, compared to the same period in 2023, primarily driven by:</w:t>
      </w:r>
    </w:p>
    <w:p>
      <w:pPr>
        <w:spacing w:after="0" w:line="74" w:lineRule="exact"/>
        <w:rPr>
          <w:sz w:val="20"/>
          <w:szCs w:val="20"/>
          <w:color w:val="auto"/>
        </w:rPr>
      </w:pPr>
    </w:p>
    <w:p>
      <w:pPr>
        <w:ind w:left="660" w:right="44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 million increase in interest expense on short-term borrowings primarily due to higher short-term debt balances in the first quarter of 2024;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$3.7 million increase due to the issuance of $300.0 million of 4.95% Mortgage Bonds in April 2023; partially offset by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 million decrease due to the repayment of $300.0 million of 3.15% Senior Notes at maturity in March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2023 Form 10-K and therefore are not represented here.</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2023 Form 10-K. Evergy's exposure to market risk has not changed materially since December 31, 2023.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March 31, 2024, that has materially affected, or is reasonably likely to materially affect, its internal control over financial reporting.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March 31, 2024, that has materially affected, or is reasonably likely to materially affect, its internal control over financial reporting.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March 31, 2024, that has materially affected, or is reasonably likely to materially affect, its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32"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2023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2023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2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78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40" w:type="dxa"/>
            <w:vAlign w:val="bottom"/>
          </w:tcPr>
          <w:p>
            <w:pPr>
              <w:jc w:val="center"/>
              <w:ind w:left="3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6"/>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2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auto"/>
            </w:tcBorders>
            <w:vMerge w:val="continue"/>
          </w:tcPr>
          <w:p>
            <w:pPr>
              <w:spacing w:after="0"/>
              <w:rPr>
                <w:sz w:val="21"/>
                <w:szCs w:val="21"/>
                <w:color w:val="auto"/>
              </w:rPr>
            </w:pPr>
          </w:p>
        </w:tc>
        <w:tc>
          <w:tcPr>
            <w:tcW w:w="2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27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1 - 29</w:t>
            </w:r>
          </w:p>
        </w:tc>
        <w:tc>
          <w:tcPr>
            <w:tcW w:w="2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6,666</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50.26</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27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73,729</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49.12</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80,395</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49.21</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 w:hanging="152"/>
        <w:spacing w:after="0"/>
        <w:tabs>
          <w:tab w:leader="none" w:pos="16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Shareholder Meeting Results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annual meeting of shareholders was held on May 7, 2024. In accordance with the recommendations of the Board, the shareholders</w:t>
      </w:r>
    </w:p>
    <w:p>
      <w:pPr>
        <w:spacing w:after="0" w:line="6" w:lineRule="exact"/>
        <w:rPr>
          <w:sz w:val="20"/>
          <w:szCs w:val="20"/>
          <w:color w:val="auto"/>
        </w:rPr>
      </w:pPr>
    </w:p>
    <w:p>
      <w:pPr>
        <w:ind w:right="220" w:firstLine="8"/>
        <w:spacing w:after="0" w:line="253" w:lineRule="auto"/>
        <w:tabs>
          <w:tab w:leader="none" w:pos="2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elected eleven directors; (ii) approved, on an advisory and non-binding basis, the 2023 compensation of Evergy's named executive officers; and (iii) ratified the appointment of Deloitte &amp; Touche LLP as independent registered public accountants for 2024. The proposals voted upon at the annual meeting, as well as the voting results for each proposal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on the Proxy Card. </w:t>
      </w:r>
      <w:r>
        <w:rPr>
          <w:rFonts w:ascii="Times New Roman" w:cs="Times New Roman" w:eastAsia="Times New Roman" w:hAnsi="Times New Roman"/>
          <w:sz w:val="20"/>
          <w:szCs w:val="20"/>
          <w:color w:val="auto"/>
        </w:rPr>
        <w:t>The eleven persons named below were elected, as proposed in the proxy statement, to serve as directors until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annual meeting in 2024, and until their successors are elected and qualified. The voting regarding the election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80" w:type="dxa"/>
            <w:vAlign w:val="bottom"/>
          </w:tcPr>
          <w:p>
            <w:pPr>
              <w:spacing w:after="0"/>
              <w:rPr>
                <w:sz w:val="20"/>
                <w:szCs w:val="20"/>
                <w:color w:val="auto"/>
              </w:rPr>
            </w:pPr>
          </w:p>
        </w:tc>
      </w:tr>
      <w:tr>
        <w:trPr>
          <w:trHeight w:val="23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A. Campbell</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164,172,532</w:t>
            </w:r>
          </w:p>
        </w:tc>
        <w:tc>
          <w:tcPr>
            <w:tcW w:w="2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7,010,769</w:t>
            </w:r>
          </w:p>
        </w:tc>
        <w:tc>
          <w:tcPr>
            <w:tcW w:w="5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321,821</w:t>
            </w:r>
          </w:p>
        </w:tc>
        <w:tc>
          <w:tcPr>
            <w:tcW w:w="2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Borders>
              <w:top w:val="single" w:sz="8" w:color="CCEEFF"/>
            </w:tcBorders>
            <w:shd w:val="clear" w:color="auto" w:fill="CCEEFF"/>
          </w:tcPr>
          <w:p>
            <w:pPr>
              <w:spacing w:after="0"/>
              <w:rPr>
                <w:sz w:val="19"/>
                <w:szCs w:val="19"/>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Anthony Isaac</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165,183,915</w:t>
            </w:r>
          </w:p>
        </w:tc>
        <w:tc>
          <w:tcPr>
            <w:tcW w:w="280" w:type="dxa"/>
            <w:vAlign w:val="bottom"/>
          </w:tcPr>
          <w:p>
            <w:pPr>
              <w:spacing w:after="0"/>
              <w:rPr>
                <w:sz w:val="19"/>
                <w:szCs w:val="19"/>
                <w:color w:val="auto"/>
              </w:rPr>
            </w:pP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5,989,728</w:t>
            </w: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331,479</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Pr>
          <w:p>
            <w:pPr>
              <w:spacing w:after="0"/>
              <w:rPr>
                <w:sz w:val="19"/>
                <w:szCs w:val="19"/>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 Keglevic</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167,025,646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4,141,419</w:t>
            </w:r>
          </w:p>
        </w:tc>
        <w:tc>
          <w:tcPr>
            <w:tcW w:w="258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338,057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shd w:val="clear" w:color="auto" w:fill="CCEEFF"/>
          </w:tcPr>
          <w:p>
            <w:pPr>
              <w:spacing w:after="0"/>
              <w:rPr>
                <w:sz w:val="19"/>
                <w:szCs w:val="19"/>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 Landrieu</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169,542,450</w:t>
            </w:r>
          </w:p>
        </w:tc>
        <w:tc>
          <w:tcPr>
            <w:tcW w:w="280" w:type="dxa"/>
            <w:vAlign w:val="bottom"/>
          </w:tcPr>
          <w:p>
            <w:pPr>
              <w:spacing w:after="0"/>
              <w:rPr>
                <w:sz w:val="19"/>
                <w:szCs w:val="19"/>
                <w:color w:val="auto"/>
              </w:rPr>
            </w:pP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1,569,147</w:t>
            </w: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393,525</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Pr>
          <w:p>
            <w:pPr>
              <w:spacing w:after="0"/>
              <w:rPr>
                <w:sz w:val="19"/>
                <w:szCs w:val="19"/>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A.J. Lawrence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163,837,341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7,355,892</w:t>
            </w:r>
          </w:p>
        </w:tc>
        <w:tc>
          <w:tcPr>
            <w:tcW w:w="258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311,889</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shd w:val="clear" w:color="auto" w:fill="CCEEFF"/>
          </w:tcPr>
          <w:p>
            <w:pPr>
              <w:spacing w:after="0"/>
              <w:rPr>
                <w:sz w:val="19"/>
                <w:szCs w:val="19"/>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D. Murtlow</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167,723,063</w:t>
            </w:r>
          </w:p>
        </w:tc>
        <w:tc>
          <w:tcPr>
            <w:tcW w:w="280" w:type="dxa"/>
            <w:vAlign w:val="bottom"/>
          </w:tcPr>
          <w:p>
            <w:pPr>
              <w:spacing w:after="0"/>
              <w:rPr>
                <w:sz w:val="19"/>
                <w:szCs w:val="19"/>
                <w:color w:val="auto"/>
              </w:rPr>
            </w:pP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3,472,369</w:t>
            </w: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309,690</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Pr>
          <w:p>
            <w:pPr>
              <w:spacing w:after="0"/>
              <w:rPr>
                <w:sz w:val="19"/>
                <w:szCs w:val="19"/>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J. Price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165,947,984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5,187,641</w:t>
            </w:r>
          </w:p>
        </w:tc>
        <w:tc>
          <w:tcPr>
            <w:tcW w:w="258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369,497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shd w:val="clear" w:color="auto" w:fill="CCEEFF"/>
          </w:tcPr>
          <w:p>
            <w:pPr>
              <w:spacing w:after="0"/>
              <w:rPr>
                <w:sz w:val="19"/>
                <w:szCs w:val="19"/>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Scarola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170,255,408</w:t>
            </w:r>
          </w:p>
        </w:tc>
        <w:tc>
          <w:tcPr>
            <w:tcW w:w="280" w:type="dxa"/>
            <w:vAlign w:val="bottom"/>
          </w:tcPr>
          <w:p>
            <w:pPr>
              <w:spacing w:after="0"/>
              <w:rPr>
                <w:sz w:val="19"/>
                <w:szCs w:val="19"/>
                <w:color w:val="auto"/>
              </w:rPr>
            </w:pP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931,138</w:t>
            </w: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318,576</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Pr>
          <w:p>
            <w:pPr>
              <w:spacing w:after="0"/>
              <w:rPr>
                <w:sz w:val="19"/>
                <w:szCs w:val="19"/>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A. Sharma</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170,460,585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705,993</w:t>
            </w:r>
          </w:p>
        </w:tc>
        <w:tc>
          <w:tcPr>
            <w:tcW w:w="258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338,544</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shd w:val="clear" w:color="auto" w:fill="CCEEFF"/>
          </w:tcPr>
          <w:p>
            <w:pPr>
              <w:spacing w:after="0"/>
              <w:rPr>
                <w:sz w:val="19"/>
                <w:szCs w:val="19"/>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John Wilder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170,055,323</w:t>
            </w:r>
          </w:p>
        </w:tc>
        <w:tc>
          <w:tcPr>
            <w:tcW w:w="280" w:type="dxa"/>
            <w:vAlign w:val="bottom"/>
          </w:tcPr>
          <w:p>
            <w:pPr>
              <w:spacing w:after="0"/>
              <w:rPr>
                <w:sz w:val="20"/>
                <w:szCs w:val="20"/>
                <w:color w:val="auto"/>
              </w:rPr>
            </w:pP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1,045,026</w:t>
            </w: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404,773</w:t>
            </w:r>
          </w:p>
        </w:tc>
        <w:tc>
          <w:tcPr>
            <w:tcW w:w="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24,913,796</w:t>
            </w:r>
          </w:p>
        </w:tc>
        <w:tc>
          <w:tcPr>
            <w:tcW w:w="280" w:type="dxa"/>
            <w:vAlign w:val="bottom"/>
          </w:tcPr>
          <w:p>
            <w:pPr>
              <w:spacing w:after="0"/>
              <w:rPr>
                <w:sz w:val="20"/>
                <w:szCs w:val="20"/>
                <w:color w:val="auto"/>
              </w:rPr>
            </w:pPr>
          </w:p>
        </w:tc>
      </w:tr>
    </w:tbl>
    <w:p>
      <w:pPr>
        <w:spacing w:after="0" w:line="26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Item 2 on the Proxy Card. </w:t>
      </w:r>
      <w:r>
        <w:rPr>
          <w:rFonts w:ascii="Times New Roman" w:cs="Times New Roman" w:eastAsia="Times New Roman" w:hAnsi="Times New Roman"/>
          <w:sz w:val="20"/>
          <w:szCs w:val="20"/>
          <w:color w:val="auto"/>
        </w:rPr>
        <w:t>In an advisory and non-binding "say on pay" vote, shareholders approved the 2023 compensation of Evergy's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named executive officers, with the following vote: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Number of Votes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920" w:type="dxa"/>
            <w:vAlign w:val="bottom"/>
            <w:tcBorders>
              <w:top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164,378,851</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6,461,801</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664,470</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24,913,796</w:t>
            </w: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on the Proxy Card. </w:t>
      </w:r>
      <w:r>
        <w:rPr>
          <w:rFonts w:ascii="Times New Roman" w:cs="Times New Roman" w:eastAsia="Times New Roman" w:hAnsi="Times New Roman"/>
          <w:sz w:val="20"/>
          <w:szCs w:val="20"/>
          <w:color w:val="auto"/>
        </w:rPr>
        <w:t>Shareholders voted for the ratification and confirmation of the appointment of Deloitte &amp; Touche LLP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independent registered public accounting firm for 2024, with the following vote: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Number of Votes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920" w:type="dxa"/>
            <w:vAlign w:val="bottom"/>
            <w:tcBorders>
              <w:top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191,076,557</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4,886,019</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456,342</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For the three months ended March 31, 2024,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3"/>
            <w:vMerge w:val="restart"/>
          </w:tcPr>
          <w:p>
            <w:pPr>
              <w:ind w:left="100"/>
              <w:spacing w:after="0"/>
              <w:rPr>
                <w:sz w:val="20"/>
                <w:szCs w:val="20"/>
                <w:color w:val="auto"/>
              </w:rPr>
            </w:pPr>
            <w:r>
              <w:rPr>
                <w:rFonts w:ascii="Times New Roman" w:cs="Times New Roman" w:eastAsia="Times New Roman" w:hAnsi="Times New Roman"/>
                <w:sz w:val="20"/>
                <w:szCs w:val="20"/>
                <w:color w:val="auto"/>
              </w:rPr>
              <w:t>Description of Document</w:t>
            </w:r>
          </w:p>
        </w:tc>
        <w:tc>
          <w:tcPr>
            <w:tcW w:w="1980" w:type="dxa"/>
            <w:vAlign w:val="bottom"/>
            <w:gridSpan w:val="3"/>
            <w:vMerge w:val="restart"/>
          </w:tcPr>
          <w:p>
            <w:pPr>
              <w:ind w:left="94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3"/>
            <w:vMerge w:val="continue"/>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60" w:type="dxa"/>
            <w:vAlign w:val="bottom"/>
            <w:gridSpan w:val="16"/>
          </w:tcPr>
          <w:p>
            <w:pPr>
              <w:spacing w:after="0"/>
              <w:rPr>
                <w:rFonts w:ascii="Times New Roman" w:cs="Times New Roman" w:eastAsia="Times New Roman" w:hAnsi="Times New Roman"/>
                <w:sz w:val="20"/>
                <w:szCs w:val="20"/>
                <w:color w:val="0000FF"/>
              </w:rPr>
            </w:pPr>
            <w:hyperlink r:id="rId87">
              <w:r>
                <w:rPr>
                  <w:rFonts w:ascii="Times New Roman" w:cs="Times New Roman" w:eastAsia="Times New Roman" w:hAnsi="Times New Roman"/>
                  <w:sz w:val="20"/>
                  <w:szCs w:val="20"/>
                  <w:color w:val="0000FF"/>
                </w:rPr>
                <w:t>Twenty-First Supplemental Indenture, dated as of April 5, 2024, between Evergy</w:t>
              </w:r>
            </w:hyperlink>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80" w:type="dxa"/>
            <w:vAlign w:val="bottom"/>
            <w:gridSpan w:val="2"/>
            <w:shd w:val="clear" w:color="auto" w:fill="0000FF"/>
          </w:tcPr>
          <w:p>
            <w:pPr>
              <w:spacing w:after="0"/>
              <w:rPr>
                <w:sz w:val="2"/>
                <w:szCs w:val="2"/>
                <w:color w:val="auto"/>
              </w:rPr>
            </w:pPr>
          </w:p>
        </w:tc>
        <w:tc>
          <w:tcPr>
            <w:tcW w:w="122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gridSpan w:val="3"/>
            <w:vMerge w:val="restart"/>
          </w:tcPr>
          <w:p>
            <w:pPr>
              <w:ind w:left="160"/>
              <w:spacing w:after="0" w:line="203" w:lineRule="exact"/>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60" w:type="dxa"/>
            <w:vAlign w:val="bottom"/>
            <w:gridSpan w:val="16"/>
          </w:tcPr>
          <w:p>
            <w:pPr>
              <w:spacing w:after="0" w:line="176" w:lineRule="exact"/>
              <w:rPr>
                <w:rFonts w:ascii="Times New Roman" w:cs="Times New Roman" w:eastAsia="Times New Roman" w:hAnsi="Times New Roman"/>
                <w:sz w:val="20"/>
                <w:szCs w:val="20"/>
                <w:color w:val="0000FF"/>
              </w:rPr>
            </w:pPr>
            <w:hyperlink r:id="rId87">
              <w:r>
                <w:rPr>
                  <w:rFonts w:ascii="Times New Roman" w:cs="Times New Roman" w:eastAsia="Times New Roman" w:hAnsi="Times New Roman"/>
                  <w:sz w:val="20"/>
                  <w:szCs w:val="20"/>
                  <w:color w:val="0000FF"/>
                </w:rPr>
                <w:t>Metro and UMB Bank, N.A. (formerly United Missouri Bank of Kansas City, N.A.),</w:t>
              </w:r>
            </w:hyperlink>
          </w:p>
        </w:tc>
        <w:tc>
          <w:tcPr>
            <w:tcW w:w="1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70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rPr>
            </w:pPr>
            <w:hyperlink r:id="rId87">
              <w:r>
                <w:rPr>
                  <w:rFonts w:ascii="Times New Roman" w:cs="Times New Roman" w:eastAsia="Times New Roman" w:hAnsi="Times New Roman"/>
                  <w:sz w:val="20"/>
                  <w:szCs w:val="20"/>
                  <w:color w:val="0000FF"/>
                </w:rPr>
                <w:t>as trustee (Exhibit 4.1 to Evergy's and Evergy Metro's Form 8-K filed on April 5,</w:t>
              </w:r>
            </w:hyperlink>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Borders>
              <w:top w:val="single" w:sz="8" w:color="0000FF"/>
            </w:tcBorders>
            <w:gridSpan w:val="2"/>
          </w:tcPr>
          <w:p>
            <w:pPr>
              <w:spacing w:after="0" w:line="183" w:lineRule="exact"/>
              <w:rPr>
                <w:rFonts w:ascii="Times New Roman" w:cs="Times New Roman" w:eastAsia="Times New Roman" w:hAnsi="Times New Roman"/>
                <w:sz w:val="20"/>
                <w:szCs w:val="20"/>
                <w:color w:val="0000FF"/>
              </w:rPr>
            </w:pPr>
            <w:hyperlink r:id="rId87">
              <w:r>
                <w:rPr>
                  <w:rFonts w:ascii="Times New Roman" w:cs="Times New Roman" w:eastAsia="Times New Roman" w:hAnsi="Times New Roman"/>
                  <w:sz w:val="20"/>
                  <w:szCs w:val="20"/>
                  <w:color w:val="0000FF"/>
                </w:rPr>
                <w:t>2024)</w:t>
              </w:r>
            </w:hyperlink>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60" w:type="dxa"/>
            <w:vAlign w:val="bottom"/>
            <w:gridSpan w:val="16"/>
          </w:tcPr>
          <w:p>
            <w:pPr>
              <w:spacing w:after="0"/>
              <w:rPr>
                <w:rFonts w:ascii="Times New Roman" w:cs="Times New Roman" w:eastAsia="Times New Roman" w:hAnsi="Times New Roman"/>
                <w:sz w:val="20"/>
                <w:szCs w:val="20"/>
                <w:color w:val="0000FF"/>
              </w:rPr>
            </w:pPr>
            <w:hyperlink r:id="rId88">
              <w:r>
                <w:rPr>
                  <w:rFonts w:ascii="Times New Roman" w:cs="Times New Roman" w:eastAsia="Times New Roman" w:hAnsi="Times New Roman"/>
                  <w:sz w:val="20"/>
                  <w:szCs w:val="20"/>
                  <w:color w:val="0000FF"/>
                </w:rPr>
                <w:t>Form of Evergy, Inc. 2024 Time-Based Restricted Stock Unit Agreement (Cliff</w:t>
              </w:r>
            </w:hyperlink>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80" w:type="dxa"/>
            <w:vAlign w:val="bottom"/>
            <w:tcBorders>
              <w:top w:val="single" w:sz="8" w:color="0000FF"/>
              <w:bottom w:val="single" w:sz="8" w:color="0000FF"/>
            </w:tcBorders>
            <w:gridSpan w:val="9"/>
          </w:tcPr>
          <w:p>
            <w:pPr>
              <w:spacing w:after="0" w:line="176" w:lineRule="exact"/>
              <w:rPr>
                <w:rFonts w:ascii="Times New Roman" w:cs="Times New Roman" w:eastAsia="Times New Roman" w:hAnsi="Times New Roman"/>
                <w:sz w:val="20"/>
                <w:szCs w:val="20"/>
                <w:color w:val="0000FF"/>
                <w:w w:val="98"/>
              </w:rPr>
            </w:pPr>
            <w:hyperlink r:id="rId88">
              <w:r>
                <w:rPr>
                  <w:rFonts w:ascii="Times New Roman" w:cs="Times New Roman" w:eastAsia="Times New Roman" w:hAnsi="Times New Roman"/>
                  <w:sz w:val="20"/>
                  <w:szCs w:val="20"/>
                  <w:color w:val="0000FF"/>
                  <w:w w:val="98"/>
                </w:rPr>
                <w:t>Vesting) (Exhibit 10.11 to Evergy's Form 10-K for the period ended December</w:t>
              </w:r>
            </w:hyperlink>
          </w:p>
        </w:tc>
        <w:tc>
          <w:tcPr>
            <w:tcW w:w="240" w:type="dxa"/>
            <w:vAlign w:val="bottom"/>
            <w:tcBorders>
              <w:bottom w:val="single" w:sz="8" w:color="0000FF"/>
            </w:tcBorders>
            <w:gridSpan w:val="4"/>
          </w:tcPr>
          <w:p>
            <w:pPr>
              <w:jc w:val="right"/>
              <w:spacing w:after="0" w:line="176" w:lineRule="exact"/>
              <w:rPr>
                <w:rFonts w:ascii="Times New Roman" w:cs="Times New Roman" w:eastAsia="Times New Roman" w:hAnsi="Times New Roman"/>
                <w:sz w:val="20"/>
                <w:szCs w:val="20"/>
                <w:color w:val="0000FF"/>
                <w:w w:val="87"/>
              </w:rPr>
            </w:pPr>
            <w:hyperlink r:id="rId88">
              <w:r>
                <w:rPr>
                  <w:rFonts w:ascii="Times New Roman" w:cs="Times New Roman" w:eastAsia="Times New Roman" w:hAnsi="Times New Roman"/>
                  <w:sz w:val="20"/>
                  <w:szCs w:val="20"/>
                  <w:color w:val="0000FF"/>
                  <w:w w:val="87"/>
                </w:rPr>
                <w:t>31,</w:t>
              </w:r>
            </w:hyperlink>
          </w:p>
        </w:tc>
        <w:tc>
          <w:tcPr>
            <w:tcW w:w="20" w:type="dxa"/>
            <w:vAlign w:val="bottom"/>
            <w:tcBorders>
              <w:bottom w:val="single" w:sz="8" w:color="0000FF"/>
            </w:tcBorders>
          </w:tcPr>
          <w:p>
            <w:pPr>
              <w:spacing w:after="0"/>
              <w:rPr>
                <w:sz w:val="15"/>
                <w:szCs w:val="15"/>
                <w:color w:val="auto"/>
              </w:rPr>
            </w:pPr>
          </w:p>
        </w:tc>
        <w:tc>
          <w:tcPr>
            <w:tcW w:w="320" w:type="dxa"/>
            <w:vAlign w:val="bottom"/>
            <w:gridSpan w:val="2"/>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spacing w:after="0" w:line="183" w:lineRule="exact"/>
              <w:rPr>
                <w:rFonts w:ascii="Times New Roman" w:cs="Times New Roman" w:eastAsia="Times New Roman" w:hAnsi="Times New Roman"/>
                <w:sz w:val="20"/>
                <w:szCs w:val="20"/>
                <w:color w:val="0000FF"/>
              </w:rPr>
            </w:pPr>
            <w:hyperlink r:id="rId88">
              <w:r>
                <w:rPr>
                  <w:rFonts w:ascii="Times New Roman" w:cs="Times New Roman" w:eastAsia="Times New Roman" w:hAnsi="Times New Roman"/>
                  <w:sz w:val="20"/>
                  <w:szCs w:val="20"/>
                  <w:color w:val="0000FF"/>
                </w:rPr>
                <w:t>2023)</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3"/>
          </w:tcPr>
          <w:p>
            <w:pPr>
              <w:ind w:left="160"/>
              <w:spacing w:after="0" w:line="183" w:lineRule="exact"/>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60" w:type="dxa"/>
            <w:vAlign w:val="bottom"/>
            <w:gridSpan w:val="16"/>
          </w:tcPr>
          <w:p>
            <w:pPr>
              <w:spacing w:after="0"/>
              <w:rPr>
                <w:rFonts w:ascii="Times New Roman" w:cs="Times New Roman" w:eastAsia="Times New Roman" w:hAnsi="Times New Roman"/>
                <w:sz w:val="20"/>
                <w:szCs w:val="20"/>
                <w:color w:val="0000FF"/>
              </w:rPr>
            </w:pPr>
            <w:hyperlink r:id="rId89">
              <w:r>
                <w:rPr>
                  <w:rFonts w:ascii="Times New Roman" w:cs="Times New Roman" w:eastAsia="Times New Roman" w:hAnsi="Times New Roman"/>
                  <w:sz w:val="20"/>
                  <w:szCs w:val="20"/>
                  <w:color w:val="0000FF"/>
                </w:rPr>
                <w:t>Form of Evergy, Inc. 2024 Time-Based Restricted Stock Unit Agreement (Tranche</w:t>
              </w:r>
            </w:hyperlink>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540" w:type="dxa"/>
            <w:vAlign w:val="bottom"/>
            <w:tcBorders>
              <w:top w:val="single" w:sz="8" w:color="0000FF"/>
              <w:bottom w:val="single" w:sz="8" w:color="0000FF"/>
            </w:tcBorders>
            <w:gridSpan w:val="14"/>
          </w:tcPr>
          <w:p>
            <w:pPr>
              <w:spacing w:after="0" w:line="176" w:lineRule="exact"/>
              <w:rPr>
                <w:rFonts w:ascii="Times New Roman" w:cs="Times New Roman" w:eastAsia="Times New Roman" w:hAnsi="Times New Roman"/>
                <w:sz w:val="20"/>
                <w:szCs w:val="20"/>
                <w:color w:val="0000FF"/>
                <w:w w:val="98"/>
              </w:rPr>
            </w:pPr>
            <w:hyperlink r:id="rId89">
              <w:r>
                <w:rPr>
                  <w:rFonts w:ascii="Times New Roman" w:cs="Times New Roman" w:eastAsia="Times New Roman" w:hAnsi="Times New Roman"/>
                  <w:sz w:val="20"/>
                  <w:szCs w:val="20"/>
                  <w:color w:val="0000FF"/>
                  <w:w w:val="98"/>
                </w:rPr>
                <w:t>Vesting) (Exhibit 10.12 to Evergy's Form 10-K for the period ended December 31,</w:t>
              </w:r>
            </w:hyperlink>
          </w:p>
        </w:tc>
        <w:tc>
          <w:tcPr>
            <w:tcW w:w="320" w:type="dxa"/>
            <w:vAlign w:val="bottom"/>
            <w:gridSpan w:val="2"/>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2"/>
          </w:tcPr>
          <w:p>
            <w:pPr>
              <w:spacing w:after="0" w:line="183" w:lineRule="exact"/>
              <w:rPr>
                <w:rFonts w:ascii="Times New Roman" w:cs="Times New Roman" w:eastAsia="Times New Roman" w:hAnsi="Times New Roman"/>
                <w:sz w:val="20"/>
                <w:szCs w:val="20"/>
                <w:color w:val="0000FF"/>
              </w:rPr>
            </w:pPr>
            <w:hyperlink r:id="rId89">
              <w:r>
                <w:rPr>
                  <w:rFonts w:ascii="Times New Roman" w:cs="Times New Roman" w:eastAsia="Times New Roman" w:hAnsi="Times New Roman"/>
                  <w:sz w:val="20"/>
                  <w:szCs w:val="20"/>
                  <w:color w:val="0000FF"/>
                </w:rPr>
                <w:t>2023)</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3"/>
          </w:tcPr>
          <w:p>
            <w:pPr>
              <w:ind w:left="160"/>
              <w:spacing w:after="0" w:line="183" w:lineRule="exact"/>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60" w:type="dxa"/>
            <w:vAlign w:val="bottom"/>
            <w:gridSpan w:val="16"/>
          </w:tcPr>
          <w:p>
            <w:pPr>
              <w:spacing w:after="0"/>
              <w:rPr>
                <w:rFonts w:ascii="Times New Roman" w:cs="Times New Roman" w:eastAsia="Times New Roman" w:hAnsi="Times New Roman"/>
                <w:sz w:val="20"/>
                <w:szCs w:val="20"/>
                <w:color w:val="0000FF"/>
              </w:rPr>
            </w:pPr>
            <w:hyperlink r:id="rId90">
              <w:r>
                <w:rPr>
                  <w:rFonts w:ascii="Times New Roman" w:cs="Times New Roman" w:eastAsia="Times New Roman" w:hAnsi="Times New Roman"/>
                  <w:sz w:val="20"/>
                  <w:szCs w:val="20"/>
                  <w:color w:val="0000FF"/>
                </w:rPr>
                <w:t>Form of Evergy, Inc. 2024 Performance-Based Restricted Stock Unit Agreement</w:t>
              </w:r>
            </w:hyperlink>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0" w:type="dxa"/>
            <w:vAlign w:val="bottom"/>
            <w:tcBorders>
              <w:top w:val="single" w:sz="8" w:color="0000FF"/>
            </w:tcBorders>
            <w:gridSpan w:val="11"/>
          </w:tcPr>
          <w:p>
            <w:pPr>
              <w:spacing w:after="0" w:line="176" w:lineRule="exact"/>
              <w:rPr>
                <w:rFonts w:ascii="Times New Roman" w:cs="Times New Roman" w:eastAsia="Times New Roman" w:hAnsi="Times New Roman"/>
                <w:sz w:val="20"/>
                <w:szCs w:val="20"/>
                <w:color w:val="0000FF"/>
                <w:w w:val="99"/>
              </w:rPr>
            </w:pPr>
            <w:hyperlink r:id="rId90">
              <w:r>
                <w:rPr>
                  <w:rFonts w:ascii="Times New Roman" w:cs="Times New Roman" w:eastAsia="Times New Roman" w:hAnsi="Times New Roman"/>
                  <w:sz w:val="20"/>
                  <w:szCs w:val="20"/>
                  <w:color w:val="0000FF"/>
                  <w:w w:val="99"/>
                </w:rPr>
                <w:t>(Exhibit 10.13 to Evergy's Form 10-K for the period ended December 31, 2023)</w:t>
              </w:r>
            </w:hyperlink>
          </w:p>
        </w:tc>
        <w:tc>
          <w:tcPr>
            <w:tcW w:w="12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3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8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60" w:type="dxa"/>
            <w:vAlign w:val="bottom"/>
            <w:gridSpan w:val="16"/>
          </w:tcPr>
          <w:p>
            <w:pPr>
              <w:spacing w:after="0"/>
              <w:rPr>
                <w:rFonts w:ascii="Times New Roman" w:cs="Times New Roman" w:eastAsia="Times New Roman" w:hAnsi="Times New Roman"/>
                <w:sz w:val="20"/>
                <w:szCs w:val="20"/>
                <w:color w:val="0000FF"/>
              </w:rPr>
            </w:pPr>
            <w:hyperlink r:id="rId91">
              <w:r>
                <w:rPr>
                  <w:rFonts w:ascii="Times New Roman" w:cs="Times New Roman" w:eastAsia="Times New Roman" w:hAnsi="Times New Roman"/>
                  <w:sz w:val="20"/>
                  <w:szCs w:val="20"/>
                  <w:color w:val="0000FF"/>
                </w:rPr>
                <w:t>Form of Evergy, Inc. 2024 Annual Incentive Plan (Exhibit 10.14 to Evergy's Form</w:t>
              </w:r>
            </w:hyperlink>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520" w:type="dxa"/>
            <w:vAlign w:val="bottom"/>
            <w:tcBorders>
              <w:top w:val="single" w:sz="8" w:color="0000FF"/>
            </w:tcBorders>
            <w:gridSpan w:val="13"/>
          </w:tcPr>
          <w:p>
            <w:pPr>
              <w:spacing w:after="0" w:line="176" w:lineRule="exact"/>
              <w:rPr>
                <w:rFonts w:ascii="Times New Roman" w:cs="Times New Roman" w:eastAsia="Times New Roman" w:hAnsi="Times New Roman"/>
                <w:sz w:val="20"/>
                <w:szCs w:val="20"/>
                <w:color w:val="0000FF"/>
              </w:rPr>
            </w:pPr>
            <w:hyperlink r:id="rId91">
              <w:r>
                <w:rPr>
                  <w:rFonts w:ascii="Times New Roman" w:cs="Times New Roman" w:eastAsia="Times New Roman" w:hAnsi="Times New Roman"/>
                  <w:sz w:val="20"/>
                  <w:szCs w:val="20"/>
                  <w:color w:val="0000FF"/>
                </w:rPr>
                <w:t>10-K for the period ended December 31, 2023)</w:t>
              </w:r>
            </w:hyperlink>
          </w:p>
        </w:tc>
        <w:tc>
          <w:tcPr>
            <w:tcW w:w="340" w:type="dxa"/>
            <w:vAlign w:val="bottom"/>
            <w:gridSpan w:val="3"/>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38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45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20" w:type="dxa"/>
            <w:vAlign w:val="bottom"/>
            <w:gridSpan w:val="9"/>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780" w:type="dxa"/>
            <w:vAlign w:val="bottom"/>
            <w:gridSpan w:val="8"/>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780" w:type="dxa"/>
            <w:vAlign w:val="bottom"/>
            <w:gridSpan w:val="8"/>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840" w:type="dxa"/>
            <w:vAlign w:val="bottom"/>
            <w:tcBorders>
              <w:top w:val="single" w:sz="8" w:color="0000FF"/>
            </w:tcBorders>
            <w:gridSpan w:val="5"/>
          </w:tcPr>
          <w:p>
            <w:pPr>
              <w:spacing w:after="0"/>
              <w:rPr>
                <w:sz w:val="24"/>
                <w:szCs w:val="24"/>
                <w:color w:val="auto"/>
              </w:rPr>
            </w:pPr>
          </w:p>
        </w:tc>
        <w:tc>
          <w:tcPr>
            <w:tcW w:w="1780" w:type="dxa"/>
            <w:vAlign w:val="bottom"/>
            <w:gridSpan w:val="8"/>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620" w:type="dxa"/>
            <w:vAlign w:val="bottom"/>
            <w:gridSpan w:val="13"/>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640" w:type="dxa"/>
            <w:vAlign w:val="bottom"/>
            <w:gridSpan w:val="14"/>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ectPr>
          <w:pgSz w:w="11900" w:h="16838" w:orient="portrait"/>
          <w:cols w:equalWidth="0" w:num="1">
            <w:col w:w="10660"/>
          </w:cols>
          <w:pgMar w:left="320" w:top="9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9" w:right="91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69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71"/>
        </w:trPr>
        <w:tc>
          <w:tcPr>
            <w:tcW w:w="14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1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Evergy</w:t>
            </w:r>
          </w:p>
        </w:tc>
      </w:tr>
      <w:tr>
        <w:trPr>
          <w:trHeight w:val="193"/>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r>
      <w:tr>
        <w:trPr>
          <w:trHeight w:val="258"/>
        </w:trPr>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1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Evergy Metro</w:t>
            </w:r>
          </w:p>
        </w:tc>
      </w:tr>
    </w:tbl>
    <w:p>
      <w:pPr>
        <w:spacing w:after="0" w:line="174" w:lineRule="exact"/>
        <w:rPr>
          <w:sz w:val="20"/>
          <w:szCs w:val="20"/>
          <w:color w:val="auto"/>
        </w:rPr>
      </w:pPr>
    </w:p>
    <w:p>
      <w:pPr>
        <w:ind w:right="60" w:firstLine="8"/>
        <w:spacing w:after="0" w:line="268" w:lineRule="auto"/>
        <w:tabs>
          <w:tab w:leader="none" w:pos="1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94" w:lineRule="exact"/>
        <w:rPr>
          <w:sz w:val="20"/>
          <w:szCs w:val="20"/>
          <w:color w:val="auto"/>
        </w:rPr>
      </w:pPr>
    </w:p>
    <w:p>
      <w:pPr>
        <w:jc w:val="both"/>
        <w:ind w:firstLine="8"/>
        <w:spacing w:after="0" w:line="261" w:lineRule="auto"/>
        <w:tabs>
          <w:tab w:leader="none" w:pos="24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00" w:lineRule="exact"/>
        <w:rPr>
          <w:rFonts w:ascii="Times New Roman" w:cs="Times New Roman" w:eastAsia="Times New Roman" w:hAnsi="Times New Roman"/>
          <w:sz w:val="20"/>
          <w:szCs w:val="20"/>
          <w:color w:val="auto"/>
        </w:rPr>
      </w:pPr>
    </w:p>
    <w:p>
      <w:pPr>
        <w:ind w:right="560" w:firstLine="8"/>
        <w:spacing w:after="0" w:line="283" w:lineRule="auto"/>
        <w:tabs>
          <w:tab w:leader="none" w:pos="34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or arrangement.</w:t>
      </w:r>
    </w:p>
    <w:p>
      <w:pPr>
        <w:spacing w:after="0" w:line="14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20"/>
        <w:spacing w:after="0"/>
        <w:tabs>
          <w:tab w:leader="none" w:pos="880" w:val="left"/>
          <w:tab w:leader="none" w:pos="40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8, 2024</w:t>
      </w:r>
      <w:r>
        <w:rPr>
          <w:sz w:val="20"/>
          <w:szCs w:val="20"/>
          <w:color w:val="auto"/>
        </w:rPr>
        <w:tab/>
      </w:r>
      <w:r>
        <w:rPr>
          <w:rFonts w:ascii="Times New Roman" w:cs="Times New Roman" w:eastAsia="Times New Roman" w:hAnsi="Times New Roman"/>
          <w:sz w:val="20"/>
          <w:szCs w:val="20"/>
          <w:u w:val="single" w:color="auto"/>
          <w:color w:val="auto"/>
        </w:rPr>
        <w:t>By: /s/ Kirkland B. Andrews</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(Kirkland B. Andrews)</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8, 2024</w:t>
      </w:r>
      <w:r>
        <w:rPr>
          <w:sz w:val="20"/>
          <w:szCs w:val="20"/>
          <w:color w:val="auto"/>
        </w:rPr>
        <w:tab/>
      </w:r>
      <w:r>
        <w:rPr>
          <w:rFonts w:ascii="Times New Roman" w:cs="Times New Roman" w:eastAsia="Times New Roman" w:hAnsi="Times New Roman"/>
          <w:sz w:val="20"/>
          <w:szCs w:val="20"/>
          <w:u w:val="single" w:color="auto"/>
          <w:color w:val="auto"/>
        </w:rPr>
        <w:t>By: /s/ Kirkland B. Andrews</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(Kirkland B. Andrews)</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8, 2024</w:t>
      </w:r>
      <w:r>
        <w:rPr>
          <w:sz w:val="20"/>
          <w:szCs w:val="20"/>
          <w:color w:val="auto"/>
        </w:rPr>
        <w:tab/>
      </w:r>
      <w:r>
        <w:rPr>
          <w:rFonts w:ascii="Times New Roman" w:cs="Times New Roman" w:eastAsia="Times New Roman" w:hAnsi="Times New Roman"/>
          <w:sz w:val="20"/>
          <w:szCs w:val="20"/>
          <w:u w:val="single" w:color="auto"/>
          <w:color w:val="auto"/>
        </w:rPr>
        <w:t>By: /s/ Kirkland B. Andrews</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(Kirkland B. Andrews)</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118" w:right="45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8, 2024</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1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8, 2024</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04"/>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7"/>
              </w:rPr>
              <w:t>Executive Vice President and</w:t>
            </w:r>
          </w:p>
        </w:tc>
      </w:tr>
    </w:tbl>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8, 2024</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04"/>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7"/>
              </w:rPr>
              <w:t>Executive Vice President and</w:t>
            </w:r>
          </w:p>
        </w:tc>
      </w:tr>
    </w:tbl>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8, 2024</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04"/>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w w:val="97"/>
              </w:rPr>
              <w:t>Executive Vice President and</w:t>
            </w:r>
          </w:p>
        </w:tc>
      </w:tr>
    </w:tbl>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March 31, 2024,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bl>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March 31, 2024,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March 31, 2024,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Kirkland B. Andrews</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8, 2024</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4"/>
    </w:lvl>
    <w:lvl w:ilvl="1">
      <w:lvlJc w:val="left"/>
      <w:lvlText w:val="•"/>
      <w:numFmt w:val="bullet"/>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lvl w:ilvl="1">
      <w:lvlJc w:val="left"/>
      <w:lvlText w:val="(%2)"/>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87" Type="http://schemas.openxmlformats.org/officeDocument/2006/relationships/hyperlink" Target="https://www.sec.gov/Archives/edgar/data/1711269/000119312524088500/d780883dex41.htm" TargetMode="External"/><Relationship Id="rId88" Type="http://schemas.openxmlformats.org/officeDocument/2006/relationships/hyperlink" Target="https://www.sec.gov/Archives/edgar/data/1711269/000171126924000007/evrg-12312023xex1011timexb.htm" TargetMode="External"/><Relationship Id="rId89" Type="http://schemas.openxmlformats.org/officeDocument/2006/relationships/hyperlink" Target="https://www.sec.gov/Archives/edgar/data/1711269/000171126924000007/evrg-12312023xex1012timexb.htm" TargetMode="External"/><Relationship Id="rId90" Type="http://schemas.openxmlformats.org/officeDocument/2006/relationships/hyperlink" Target="https://www.sec.gov/Archives/edgar/data/1711269/000171126924000007/evrg-12312023xex1013perfor.htm" TargetMode="External"/><Relationship Id="rId91" Type="http://schemas.openxmlformats.org/officeDocument/2006/relationships/hyperlink" Target="https://www.sec.gov/Archives/edgar/data/1711269/000171126924000007/evrg-12312023xex1014execu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2024-05-09T05:17:33Z</dcterms:created>
  <dcterms:modified xsi:type="dcterms:W3CDTF">2024-05-09T05:17:33Z</dcterms:modified>
</cp:coreProperties>
</file>