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8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6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118" w:right="33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60"/>
          </w:cols>
          <w:pgMar w:left="320" w:top="118" w:right="33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60"/>
          </w:cols>
          <w:pgMar w:left="320" w:top="118"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60"/>
          </w:cols>
          <w:pgMar w:left="320" w:top="11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On April 30, 2026, Evergy, Inc. had 230,513,025 shares of common stock outstanding. On April 30, 2026, Evergy Metro, Inc. and Evergy Kansas Central, Inc. each had one share of common stock outstanding and held by Evergy, Inc.</w:t>
      </w:r>
    </w:p>
    <w:p>
      <w:pPr>
        <w:spacing w:after="0" w:line="149" w:lineRule="exact"/>
        <w:rPr>
          <w:sz w:val="20"/>
          <w:szCs w:val="20"/>
          <w:color w:val="auto"/>
        </w:rPr>
      </w:pPr>
    </w:p>
    <w:p>
      <w:pPr>
        <w:ind w:left="20" w:right="60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2025 for each of Evergy, Evergy Kansas Central and Evergy Metro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Number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2"/>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Receivables</w:t>
            </w:r>
          </w:p>
        </w:tc>
        <w:tc>
          <w:tcPr>
            <w:tcW w:w="5780" w:type="dxa"/>
            <w:vAlign w:val="bottom"/>
            <w:gridSpan w:val="1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3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2"/>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16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3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Shareholders' Equity</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1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Taxes</w:t>
            </w:r>
          </w:p>
        </w:tc>
        <w:tc>
          <w:tcPr>
            <w:tcW w:w="516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1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3"/>
              </w:rPr>
              <w:t>Segment Information</w:t>
            </w:r>
          </w:p>
        </w:tc>
        <w:tc>
          <w:tcPr>
            <w:tcW w:w="516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10"/>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gridSpan w:val="1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18" w:right="8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18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impairments of long-lived assets or goodwill; credit ratings; inflation rates; effectiveness of risk management policies and procedures and the ability of counterparties to satisfy their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contractual commitments including new large data 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2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3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8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860" w:type="dxa"/>
            <w:vAlign w:val="bottom"/>
          </w:tcPr>
          <w:p>
            <w:pPr>
              <w:spacing w:after="0"/>
              <w:rPr>
                <w:sz w:val="24"/>
                <w:szCs w:val="24"/>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ATM Program</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At-the-market equity offering program</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capture and sequestration</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Cross-State Air Pollution Rule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CWIP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Construction work in progress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EGU</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Electric generating unit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ERISA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ESA</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Electric service agreement</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6"/>
        </w:trPr>
        <w:tc>
          <w:tcPr>
            <w:tcW w:w="306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8040" w:type="dxa"/>
            <w:vAlign w:val="bottom"/>
            <w:gridSpan w:val="3"/>
          </w:tcPr>
          <w:p>
            <w:pPr>
              <w:ind w:left="42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060" w:type="dxa"/>
            <w:vAlign w:val="bottom"/>
            <w:gridSpan w:val="2"/>
            <w:vMerge w:val="continue"/>
          </w:tcPr>
          <w:p>
            <w:pPr>
              <w:spacing w:after="0"/>
              <w:rPr>
                <w:sz w:val="17"/>
                <w:szCs w:val="17"/>
                <w:color w:val="auto"/>
              </w:rPr>
            </w:pPr>
          </w:p>
        </w:tc>
        <w:tc>
          <w:tcPr>
            <w:tcW w:w="8040" w:type="dxa"/>
            <w:vAlign w:val="bottom"/>
            <w:gridSpan w:val="3"/>
          </w:tcPr>
          <w:p>
            <w:pPr>
              <w:ind w:left="42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804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060" w:type="dxa"/>
            <w:vAlign w:val="bottom"/>
            <w:gridSpan w:val="2"/>
            <w:vMerge w:val="continue"/>
          </w:tcPr>
          <w:p>
            <w:pPr>
              <w:spacing w:after="0"/>
              <w:rPr>
                <w:sz w:val="21"/>
                <w:szCs w:val="21"/>
                <w:color w:val="auto"/>
              </w:rPr>
            </w:pP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FER</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Facility Evaluation Report</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Federal implementation plan</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c>
          <w:tcPr>
            <w:tcW w:w="0" w:type="dxa"/>
            <w:vAlign w:val="bottom"/>
          </w:tcPr>
          <w:p>
            <w:pPr>
              <w:spacing w:after="0"/>
              <w:rPr>
                <w:sz w:val="1"/>
                <w:szCs w:val="1"/>
                <w:color w:val="auto"/>
              </w:rPr>
            </w:pPr>
          </w:p>
        </w:tc>
      </w:tr>
      <w:tr>
        <w:trPr>
          <w:trHeight w:val="257"/>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Jeffrey Energy Center</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KDHE</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Kilovolt</w:t>
            </w:r>
          </w:p>
        </w:tc>
        <w:tc>
          <w:tcPr>
            <w:tcW w:w="0" w:type="dxa"/>
            <w:vAlign w:val="bottom"/>
          </w:tcPr>
          <w:p>
            <w:pPr>
              <w:spacing w:after="0"/>
              <w:rPr>
                <w:sz w:val="1"/>
                <w:szCs w:val="1"/>
                <w:color w:val="auto"/>
              </w:rPr>
            </w:pPr>
          </w:p>
        </w:tc>
      </w:tr>
      <w:tr>
        <w:trPr>
          <w:trHeight w:val="262"/>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LLPS</w:t>
            </w:r>
          </w:p>
        </w:tc>
        <w:tc>
          <w:tcPr>
            <w:tcW w:w="804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Large Load Power Service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77"/>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8"/>
              </w:rPr>
              <w:t>Missouri Department of Natural Resources</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NPNS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Normal purchases and normal sales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PISA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Plant-in-service accounting</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58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18.4</w:t>
            </w:r>
          </w:p>
        </w:tc>
        <w:tc>
          <w:tcPr>
            <w:tcW w:w="4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19.8</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$11.1 and $15.3, respectively</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201.2</w:t>
            </w:r>
          </w:p>
        </w:tc>
        <w:tc>
          <w:tcPr>
            <w:tcW w:w="4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214.2</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402.0</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853.6</w:t>
            </w:r>
          </w:p>
        </w:tc>
        <w:tc>
          <w:tcPr>
            <w:tcW w:w="4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828.9</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$16.9 and $16.7 related to variable interest entity, respectively</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261.2</w:t>
            </w:r>
          </w:p>
        </w:tc>
        <w:tc>
          <w:tcPr>
            <w:tcW w:w="4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217.4</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79.2</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77.9</w:t>
            </w:r>
          </w:p>
        </w:tc>
      </w:tr>
      <w:tr>
        <w:trPr>
          <w:trHeight w:val="214"/>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63.6</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47.4</w:t>
            </w:r>
          </w:p>
        </w:tc>
      </w:tr>
      <w:tr>
        <w:trPr>
          <w:trHeight w:val="211"/>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1,879.2</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1,815.8</w:t>
            </w:r>
          </w:p>
        </w:tc>
      </w:tr>
      <w:tr>
        <w:trPr>
          <w:trHeight w:val="20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$117.6 and $119.4 related to variable interest entity, respectively</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26,803.9</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26,301.5</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$273.6 and $277.9 related to variable interest entity, respectively</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1,913.5</w:t>
            </w:r>
          </w:p>
        </w:tc>
        <w:tc>
          <w:tcPr>
            <w:tcW w:w="4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1,885.3</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995.3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1,016.8</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8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553.0</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592.5</w:t>
            </w:r>
          </w:p>
        </w:tc>
      </w:tr>
      <w:tr>
        <w:trPr>
          <w:trHeight w:val="208"/>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5,798.4</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5,831.2</w:t>
            </w:r>
          </w:p>
        </w:tc>
      </w:tr>
      <w:tr>
        <w:trPr>
          <w:trHeight w:val="218"/>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34,481.5</w:t>
            </w: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33,948.5</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$17.0 and $17.0 related to variable interest entity,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367.0</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commercial paper</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1,960.3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1,394.0</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402.0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431.8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654.3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287.6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includes $5.2 and $1.3 related to variable interest entity, respectively</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211.5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158.3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148.4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advances for construction</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196.3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161.6</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175.6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213.5</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4,218.0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3,695.9</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includes $279.2 and $279.2 related to variable interest entity, respectively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13,147.0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13,039.2</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2,000.8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2,020.7</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154.1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2,809.6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2,824.6</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266.4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1,320.0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1,308.1</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359.4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20,057.3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19,984.8</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20" w:type="dxa"/>
            <w:vAlign w:val="bottom"/>
          </w:tcPr>
          <w:p>
            <w:pPr>
              <w:spacing w:after="0"/>
              <w:rPr>
                <w:sz w:val="14"/>
                <w:szCs w:val="14"/>
                <w:color w:val="auto"/>
              </w:rPr>
            </w:pP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7,217.2</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7,273.1</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230,510,138 and 230,262,674 shares issued, stated value</w:t>
            </w: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2,956.0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2,966.2</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(16.6)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10,156.6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10,221.3</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10,206.2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10,267.8</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34,481.5</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33,948.5</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195"/>
        </w:trPr>
        <w:tc>
          <w:tcPr>
            <w:tcW w:w="8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color w:val="auto"/>
              </w:rPr>
              <w:t>(millions, except per share amounts)</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1,443.7</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1,374.5</w:t>
            </w: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360.0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109.6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243.2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305.3</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107.2</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8"/>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1,125.3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318.4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w:t>
            </w: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18.8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(8.7)</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8"/>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174.5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155.6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4"/>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154.6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4"/>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151.5</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162"/>
        </w:trPr>
        <w:tc>
          <w:tcPr>
            <w:tcW w:w="8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 ATTRIBUTABLE TO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3"/>
        </w:trPr>
        <w:tc>
          <w:tcPr>
            <w:tcW w:w="8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EVERGY, INC. (see Note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0.66</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0.64</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230.7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r>
      <w:tr>
        <w:trPr>
          <w:trHeight w:val="225"/>
        </w:trPr>
        <w:tc>
          <w:tcPr>
            <w:tcW w:w="8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235.6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r>
      <w:tr>
        <w:trPr>
          <w:trHeight w:val="214"/>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154.6</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4"/>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1"/>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156.0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r>
      <w:tr>
        <w:trPr>
          <w:trHeight w:val="214"/>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152.9</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154.6</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305.3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from investments in early-stage clean energy and energy solution companies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on induced conversion of convertible notes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(191.8)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126.4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362.5</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w:t>
            </w:r>
          </w:p>
        </w:tc>
      </w:tr>
      <w:tr>
        <w:trPr>
          <w:trHeight w:val="20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(851.9)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nonrefundable contributions in aid of construction</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(756.6)</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66.3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555.0</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term loan facility</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(309.5)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refundable advances for construction</w:t>
            </w: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400.7</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09"/>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27.0</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8"/>
        </w:trPr>
        <w:tc>
          <w:tcPr>
            <w:tcW w:w="8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33.6</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229,983,615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101,120</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($0.6675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shd w:val="clear" w:color="auto" w:fill="CCEEFF"/>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230,084,735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230,262,674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stock, net of issuance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210,542</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on common stock ($0.6950 per share)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obligation of convertible notes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230,510,138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54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4.9</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8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$5.3 and $7.3, respectively</w:t>
            </w:r>
          </w:p>
        </w:tc>
        <w:tc>
          <w:tcPr>
            <w:tcW w:w="140" w:type="dxa"/>
            <w:vAlign w:val="bottom"/>
          </w:tcPr>
          <w:p>
            <w:pPr>
              <w:spacing w:after="0"/>
              <w:rPr>
                <w:sz w:val="18"/>
                <w:szCs w:val="18"/>
                <w:color w:val="auto"/>
              </w:rPr>
            </w:pP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135.5</w:t>
            </w:r>
          </w:p>
        </w:tc>
        <w:tc>
          <w:tcPr>
            <w:tcW w:w="4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136.6</w:t>
            </w:r>
          </w:p>
        </w:tc>
      </w:tr>
      <w:tr>
        <w:trPr>
          <w:trHeight w:val="218"/>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38.8</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59.8</w:t>
            </w:r>
          </w:p>
        </w:tc>
      </w:tr>
      <w:tr>
        <w:trPr>
          <w:trHeight w:val="214"/>
        </w:trPr>
        <w:tc>
          <w:tcPr>
            <w:tcW w:w="8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tcPr>
          <w:p>
            <w:pPr>
              <w:spacing w:after="0"/>
              <w:rPr>
                <w:sz w:val="18"/>
                <w:szCs w:val="18"/>
                <w:color w:val="auto"/>
              </w:rPr>
            </w:pP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213.0</w:t>
            </w:r>
          </w:p>
        </w:tc>
        <w:tc>
          <w:tcPr>
            <w:tcW w:w="4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213.0</w:t>
            </w:r>
          </w:p>
        </w:tc>
      </w:tr>
      <w:tr>
        <w:trPr>
          <w:trHeight w:val="218"/>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441.8</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437.9</w:t>
            </w:r>
          </w:p>
        </w:tc>
      </w:tr>
      <w:tr>
        <w:trPr>
          <w:trHeight w:val="214"/>
        </w:trPr>
        <w:tc>
          <w:tcPr>
            <w:tcW w:w="8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77.9</w:t>
            </w:r>
          </w:p>
        </w:tc>
        <w:tc>
          <w:tcPr>
            <w:tcW w:w="4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76.7</w:t>
            </w:r>
          </w:p>
        </w:tc>
      </w:tr>
      <w:tr>
        <w:trPr>
          <w:trHeight w:val="218"/>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38.0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36.9</w:t>
            </w:r>
          </w:p>
        </w:tc>
      </w:tr>
      <w:tr>
        <w:trPr>
          <w:trHeight w:val="214"/>
        </w:trPr>
        <w:tc>
          <w:tcPr>
            <w:tcW w:w="8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24.5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17.5</w:t>
            </w:r>
          </w:p>
        </w:tc>
      </w:tr>
      <w:tr>
        <w:trPr>
          <w:trHeight w:val="211"/>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974.4</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983.7</w:t>
            </w:r>
          </w:p>
        </w:tc>
      </w:tr>
      <w:tr>
        <w:trPr>
          <w:trHeight w:val="208"/>
        </w:trPr>
        <w:tc>
          <w:tcPr>
            <w:tcW w:w="8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 includes $117.6 and $119.4 related to variable interest entity, respectively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13,640.5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13,460.1</w:t>
            </w:r>
          </w:p>
        </w:tc>
      </w:tr>
      <w:tr>
        <w:trPr>
          <w:trHeight w:val="211"/>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528.9</w:t>
            </w:r>
          </w:p>
        </w:tc>
        <w:tc>
          <w:tcPr>
            <w:tcW w:w="4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523.8</w:t>
            </w:r>
          </w:p>
        </w:tc>
      </w:tr>
      <w:tr>
        <w:trPr>
          <w:trHeight w:val="218"/>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461.0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466.0</w:t>
            </w:r>
          </w:p>
        </w:tc>
      </w:tr>
      <w:tr>
        <w:trPr>
          <w:trHeight w:val="214"/>
        </w:trPr>
        <w:tc>
          <w:tcPr>
            <w:tcW w:w="8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331.3</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340.0</w:t>
            </w:r>
          </w:p>
        </w:tc>
      </w:tr>
      <w:tr>
        <w:trPr>
          <w:trHeight w:val="211"/>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1,321.2</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1,329.8</w:t>
            </w:r>
          </w:p>
        </w:tc>
      </w:tr>
      <w:tr>
        <w:trPr>
          <w:trHeight w:val="217"/>
        </w:trPr>
        <w:tc>
          <w:tcPr>
            <w:tcW w:w="8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15,936.1</w:t>
            </w: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15,773.6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350.0</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350.0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372.9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321.9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213.0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198.6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256.4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27.9</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204.9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134.6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100.5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61.8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64.7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22.2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advances for construction</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91.1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106.7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130.2</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1,763.7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1,682.2</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4,883.8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4,883.1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746.6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760.9</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47.8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1,556.9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1,557.9</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160.4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171.7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658.6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654.0</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168.1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176.9</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8,222.2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8,253.2</w:t>
            </w:r>
          </w:p>
        </w:tc>
      </w:tr>
      <w:tr>
        <w:trPr>
          <w:trHeight w:val="19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4"/>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3,163.0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3,054.1</w:t>
            </w:r>
          </w:p>
        </w:tc>
      </w:tr>
      <w:tr>
        <w:trPr>
          <w:trHeight w:val="211"/>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5,900.6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5,791.7</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49.6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46.5</w:t>
            </w:r>
          </w:p>
        </w:tc>
      </w:tr>
      <w:tr>
        <w:trPr>
          <w:trHeight w:val="211"/>
        </w:trPr>
        <w:tc>
          <w:tcPr>
            <w:tcW w:w="8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5,950.2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5,838.2</w:t>
            </w:r>
          </w:p>
        </w:tc>
      </w:tr>
      <w:tr>
        <w:trPr>
          <w:trHeight w:val="217"/>
        </w:trPr>
        <w:tc>
          <w:tcPr>
            <w:tcW w:w="8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15,936.1</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15,773.6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195"/>
        </w:trPr>
        <w:tc>
          <w:tcPr>
            <w:tcW w:w="8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940" w:type="dxa"/>
            <w:vAlign w:val="bottom"/>
          </w:tcPr>
          <w:p>
            <w:pPr>
              <w:spacing w:after="0"/>
              <w:rPr>
                <w:sz w:val="16"/>
                <w:szCs w:val="16"/>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773.1</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709.1</w:t>
            </w: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130.7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109.6</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120.9</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153.0</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57.2</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8"/>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571.4</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14.7</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(4.5)</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8"/>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10.9</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64.2</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148.4</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4"/>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1"/>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147.0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4"/>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143.9</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2025</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147.0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153.0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18"/>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8"/>
        </w:trPr>
        <w:tc>
          <w:tcPr>
            <w:tcW w:w="8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319.6</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w:t>
            </w:r>
          </w:p>
        </w:tc>
      </w:tr>
      <w:tr>
        <w:trPr>
          <w:trHeight w:val="211"/>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(367.8)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nonrefundable contributions in aid of construction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(293.8)</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09"/>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8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0"/>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8"/>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8"/>
        </w:trPr>
        <w:tc>
          <w:tcPr>
            <w:tcW w:w="8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5,284.9</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5,385.8</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5,838.2</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3,163.0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250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$3.9 and $5.7, respectively</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35.6</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45.9</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144.0</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125.3</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139.0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139.0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293.5</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279.9</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37.1</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42.6</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31.1</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30.6</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22.5</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23.1</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705.1</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689.7</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8,535.6</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8,448.9</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570.1</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538.6</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534.3</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550.8</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89.8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124.2</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1,194.2</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1,213.6</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10,434.9</w:t>
            </w: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10,352.2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Pr>
          <w:p>
            <w:pPr>
              <w:spacing w:after="0"/>
              <w:rPr>
                <w:sz w:val="18"/>
                <w:szCs w:val="18"/>
                <w:color w:val="auto"/>
              </w:rPr>
            </w:pPr>
          </w:p>
        </w:tc>
        <w:tc>
          <w:tcPr>
            <w:tcW w:w="246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349.7</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245.3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139.0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139.0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257.9</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85.1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53.6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55.0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38.0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advances for construction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86.2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75.9</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56.7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69.8</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992.6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941.6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3,272.0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3,271.4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732.0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743.8</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104.0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1,132.9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1,141.3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90.2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91.4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513.5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506.5</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105.2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95.0</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5,949.8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5,954.2</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1,926.4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1,890.2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3,492.5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3,456.4</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10,434.9</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10,352.2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195"/>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6"/>
                <w:szCs w:val="16"/>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445.4</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r>
      <w:tr>
        <w:trPr>
          <w:trHeight w:val="20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152.7</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r>
      <w:tr>
        <w:trPr>
          <w:trHeight w:val="214"/>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72.1</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4"/>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1"/>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368.3</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r>
      <w:tr>
        <w:trPr>
          <w:trHeight w:val="20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77.1</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19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4"/>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1"/>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(0.8)</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37.3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39.0</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8"/>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4"/>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8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2025</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(134.7)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8"/>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43.0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4"/>
        </w:trPr>
        <w:tc>
          <w:tcPr>
            <w:tcW w:w="8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5.8</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9"/>
        </w:trPr>
        <w:tc>
          <w:tcPr>
            <w:tcW w:w="8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74.2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r>
      <w:tr>
        <w:trPr>
          <w:trHeight w:val="209"/>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23.4</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nonrefundable contributions in aid of construction</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8"/>
        </w:trPr>
        <w:tc>
          <w:tcPr>
            <w:tcW w:w="8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(185.1)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104.4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refundable advances for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8"/>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8"/>
        </w:trPr>
        <w:tc>
          <w:tcPr>
            <w:tcW w:w="8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109.9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w:t>
            </w:r>
          </w:p>
        </w:tc>
        <w:tc>
          <w:tcPr>
            <w:tcW w:w="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3,376.2</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3,363.0</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3,456.4</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7"/>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2025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Cash equivalents consist of highly liquid investments with original maturities of three months or less at acquisition. Evergy has restricted cash included in Other Current Assets and Other Non-current Assets on Evergy's consolidated balance sheets to facilitate the servicing of Evergy Missouri West Storm Funding I, LLC's debt and the funding requirements for a jointly-owned generation facility. The following table summarizes the cash, cash equivalents and restricted cash included on Evergy's 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4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33.6</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26"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9"/>
                <w:szCs w:val="19"/>
                <w:color w:val="auto"/>
              </w:rPr>
            </w:pP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239.2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614.4</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853.6</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122.5</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319.3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441.8</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80.2</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213.3</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293.5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for each of the Evergy Companies.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38,558.8</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19,098.6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14,087.5</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739.8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(15,200.8)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(7,422.4)</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(6,197.2)</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24,097.8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12,401.1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7,890.3</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2,473.3</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1,123.1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528.8</w:t>
            </w: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232.8</w:t>
            </w: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116.3</w:t>
            </w: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116.5</w:t>
            </w:r>
          </w:p>
        </w:tc>
      </w:tr>
      <w:tr>
        <w:trPr>
          <w:trHeight w:val="230"/>
        </w:trPr>
        <w:tc>
          <w:tcPr>
            <w:tcW w:w="43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26,803.9</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13,640.5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8,535.6</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38,218.9</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18,893.6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14,001.3</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739.8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(14,986.6)</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(7,308.5)</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(6,110.5)</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23,972.1</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12,310.0</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7,890.8</w:t>
            </w: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2,120.6</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1,045.8</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453.6</w:t>
            </w:r>
          </w:p>
        </w:tc>
      </w:tr>
      <w:tr>
        <w:trPr>
          <w:trHeight w:val="229"/>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208.8</w:t>
            </w: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104.3</w:t>
            </w:r>
          </w:p>
        </w:tc>
        <w:tc>
          <w:tcPr>
            <w:tcW w:w="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104.5</w:t>
            </w:r>
          </w:p>
        </w:tc>
      </w:tr>
      <w:tr>
        <w:trPr>
          <w:trHeight w:val="230"/>
        </w:trPr>
        <w:tc>
          <w:tcPr>
            <w:tcW w:w="43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26,301.5</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13,460.1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8,448.9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and Other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tables below show the detail of other income and other expense, respectively, for each of the Evergy Companies.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3"/>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8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r>
      <w:tr>
        <w:trPr>
          <w:trHeight w:val="238"/>
        </w:trPr>
        <w:tc>
          <w:tcPr>
            <w:tcW w:w="8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26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18.8</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policy benefit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AFUDC equity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4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4"/>
        </w:trPr>
        <w:tc>
          <w:tcPr>
            <w:tcW w:w="8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60" w:type="dxa"/>
            <w:vAlign w:val="bottom"/>
          </w:tcPr>
          <w:p>
            <w:pPr>
              <w:spacing w:after="0"/>
              <w:rPr>
                <w:sz w:val="20"/>
                <w:szCs w:val="20"/>
                <w:color w:val="auto"/>
              </w:rPr>
            </w:pPr>
          </w:p>
        </w:tc>
      </w:tr>
      <w:tr>
        <w:trPr>
          <w:trHeight w:val="238"/>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9"/>
                <w:szCs w:val="19"/>
                <w:color w:val="auto"/>
              </w:rPr>
            </w:pPr>
          </w:p>
        </w:tc>
        <w:tc>
          <w:tcPr>
            <w:tcW w:w="1480" w:type="dxa"/>
            <w:vAlign w:val="bottom"/>
            <w:gridSpan w:val="2"/>
          </w:tcPr>
          <w:p>
            <w:pPr>
              <w:jc w:val="center"/>
              <w:ind w:left="511"/>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9"/>
                <w:szCs w:val="19"/>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(2.0)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cost</w:t>
            </w:r>
          </w:p>
        </w:tc>
        <w:tc>
          <w:tcPr>
            <w:tcW w:w="260" w:type="dxa"/>
            <w:vAlign w:val="bottom"/>
          </w:tcPr>
          <w:p>
            <w:pPr>
              <w:spacing w:after="0"/>
              <w:rPr>
                <w:sz w:val="19"/>
                <w:szCs w:val="19"/>
                <w:color w:val="auto"/>
              </w:rPr>
            </w:pP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(6.3)</w:t>
            </w:r>
          </w:p>
        </w:tc>
        <w:tc>
          <w:tcPr>
            <w:tcW w:w="440" w:type="dxa"/>
            <w:vAlign w:val="bottom"/>
          </w:tcPr>
          <w:p>
            <w:pPr>
              <w:spacing w:after="0"/>
              <w:rPr>
                <w:sz w:val="19"/>
                <w:szCs w:val="19"/>
                <w:color w:val="auto"/>
              </w:rPr>
            </w:pPr>
          </w:p>
        </w:tc>
        <w:tc>
          <w:tcPr>
            <w:tcW w:w="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(0.4)</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(8.7)</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7"/>
              </w:rPr>
              <w:t>1.6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0.6</w:t>
            </w: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cost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(6.0)</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8"/>
              </w:rPr>
              <w:t>(0.1)</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(4.5)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(2.4)</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 cost</w:t>
            </w:r>
          </w:p>
        </w:tc>
        <w:tc>
          <w:tcPr>
            <w:tcW w:w="260" w:type="dxa"/>
            <w:vAlign w:val="bottom"/>
          </w:tcPr>
          <w:p>
            <w:pPr>
              <w:spacing w:after="0"/>
              <w:rPr>
                <w:sz w:val="19"/>
                <w:szCs w:val="19"/>
                <w:color w:val="auto"/>
              </w:rPr>
            </w:pPr>
          </w:p>
        </w:tc>
        <w:tc>
          <w:tcPr>
            <w:tcW w:w="104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(0.3)</w:t>
            </w:r>
          </w:p>
        </w:tc>
        <w:tc>
          <w:tcPr>
            <w:tcW w:w="440" w:type="dxa"/>
            <w:vAlign w:val="bottom"/>
          </w:tcPr>
          <w:p>
            <w:pPr>
              <w:spacing w:after="0"/>
              <w:rPr>
                <w:sz w:val="19"/>
                <w:szCs w:val="19"/>
                <w:color w:val="auto"/>
              </w:rPr>
            </w:pPr>
          </w:p>
        </w:tc>
        <w:tc>
          <w:tcPr>
            <w:tcW w:w="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(0.1)</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8"/>
              </w:rPr>
              <w:t>(2.8)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 in Early-Stage Clean Energy and Energy Solution Companies</w:t>
      </w:r>
    </w:p>
    <w:p>
      <w:pPr>
        <w:spacing w:after="0" w:line="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From time to time, Evergy has made limited non-regulated equity and debt investments in early-stage clean energy and energy solution companies. These investments are recorded in Other Non-current Assets on Evergy’s consolidated balance sheets and as of March 31, 2026, and December 31, 2025, the total value of these investments was $41.2 million and $41.3 million, respectively. These investments have historically not had a significant impact on Evergy’s results of operations.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For the three months ended March 31, 2026, Evergy recorded $0.2 million of unrealized gains in investment earnings (loss) on its consolidated statements of comprehensive income, resulting from an increase in fair value of certain investments. For the three months ended March 31, 2025, Evergy recorded $3.6 million of unrealized losses in investment earnings (loss) on its consolidated statements of comprehensive income, resulting from a decrease in fair value of certain investments.</w:t>
      </w:r>
    </w:p>
    <w:p>
      <w:pPr>
        <w:spacing w:after="0" w:line="186"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Evergy is in the process of disposing these investments and could experience additional losses or gains on these investments as a result of further changes in their value or upon their ultimate liquidation.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convertible notes and forward sale agreements entered into through Evergy's at-the-market equity offering program (ATM Program). Evergy computes the dilutive effects of potential issuances of common shares using the treasury stock method and the if-converted method, as applicable.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20" w:type="dxa"/>
            <w:vAlign w:val="bottom"/>
          </w:tcPr>
          <w:p>
            <w:pPr>
              <w:spacing w:after="0"/>
              <w:rPr>
                <w:sz w:val="19"/>
                <w:szCs w:val="19"/>
                <w:color w:val="auto"/>
              </w:rPr>
            </w:pPr>
          </w:p>
        </w:tc>
        <w:tc>
          <w:tcPr>
            <w:tcW w:w="3140" w:type="dxa"/>
            <w:vAlign w:val="bottom"/>
            <w:gridSpan w:val="3"/>
          </w:tcPr>
          <w:p>
            <w:pPr>
              <w:jc w:val="right"/>
              <w:ind w:right="470"/>
              <w:spacing w:after="0"/>
              <w:rPr>
                <w:sz w:val="20"/>
                <w:szCs w:val="20"/>
                <w:color w:val="auto"/>
              </w:rPr>
            </w:pPr>
            <w:r>
              <w:rPr>
                <w:rFonts w:ascii="Times New Roman" w:cs="Times New Roman" w:eastAsia="Times New Roman" w:hAnsi="Times New Roman"/>
                <w:sz w:val="16"/>
                <w:szCs w:val="16"/>
                <w:color w:val="auto"/>
              </w:rPr>
              <w:t>(millions, except per share amounts)</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154.6</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151.5</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230.7</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235.6</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0.66</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7"/>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0.64</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bl>
    <w:p>
      <w:pPr>
        <w:spacing w:after="0" w:line="274"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effect of dilutive securities for the three months ended March 31, 2026 and 2025, included 4.2 million shares and 1.3 million shares, respectively, resulting from Evergy's convertible notes.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anti-dilutive securities excluded from the computation of diluted EPS.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gridSpan w:val="2"/>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5780" w:type="dxa"/>
            <w:vAlign w:val="bottom"/>
          </w:tcPr>
          <w:p>
            <w:pPr>
              <w:spacing w:after="0"/>
              <w:rPr>
                <w:sz w:val="20"/>
                <w:szCs w:val="20"/>
                <w:color w:val="auto"/>
              </w:rPr>
            </w:pPr>
          </w:p>
        </w:tc>
        <w:tc>
          <w:tcPr>
            <w:tcW w:w="4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r>
      <w:tr>
        <w:trPr>
          <w:trHeight w:val="238"/>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45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5780" w:type="dxa"/>
            <w:vAlign w:val="bottom"/>
          </w:tcPr>
          <w:p>
            <w:pPr>
              <w:spacing w:after="0"/>
              <w:rPr>
                <w:sz w:val="17"/>
                <w:szCs w:val="17"/>
                <w:color w:val="auto"/>
              </w:rPr>
            </w:pPr>
          </w:p>
        </w:tc>
        <w:tc>
          <w:tcPr>
            <w:tcW w:w="546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color w:val="auto"/>
              </w:rPr>
              <w:t>(shares in millions)</w:t>
            </w:r>
          </w:p>
        </w:tc>
      </w:tr>
      <w:tr>
        <w:trPr>
          <w:trHeight w:val="23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with performance measures</w:t>
            </w:r>
          </w:p>
        </w:tc>
        <w:tc>
          <w:tcPr>
            <w:tcW w:w="45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 with time-based vesting</w:t>
            </w:r>
          </w:p>
        </w:tc>
        <w:tc>
          <w:tcPr>
            <w:tcW w:w="45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119.3</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210.0</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Issuance of common stock for reinvested dividends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453"/>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67.4</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98.7</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7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50.9</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May 2026, Evergy's Board of Directors (Evergy Board) declared a quarterly dividend of $0.6950 per share on Evergy's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dividend is payable June 18, 2026, to shareholders of record as of May 22, 2026.</w:t>
      </w:r>
    </w:p>
    <w:p>
      <w:pPr>
        <w:spacing w:after="0" w:line="20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In May 2026, Evergy Kansas Central's Board of Directors and Evergy Metro's Board of Directors each declared a cash dividend to Evergy of up to $50.0 million payable on or before June 17,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482.7</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440.1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160.3</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1,094.5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r>
      <w:tr>
        <w:trPr>
          <w:trHeight w:val="230"/>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133.6</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3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1,350.5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r>
      <w:tr>
        <w:trPr>
          <w:trHeight w:val="23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operating revenues</w:t>
            </w:r>
          </w:p>
        </w:tc>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93.2</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450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1,443.7</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r>
      <w:tr>
        <w:trPr>
          <w:trHeight w:val="43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217.3</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188.5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2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108.7</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4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520.3</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4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124.7</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737.6</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r>
      <w:tr>
        <w:trPr>
          <w:trHeight w:val="230"/>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operating revenues</w:t>
            </w:r>
          </w:p>
        </w:tc>
        <w:tc>
          <w:tcPr>
            <w:tcW w:w="4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450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773.1</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972"/>
        </w:trPr>
        <w:tc>
          <w:tcPr>
            <w:tcW w:w="4380" w:type="dxa"/>
            <w:vAlign w:val="bottom"/>
          </w:tcPr>
          <w:p>
            <w:pPr>
              <w:spacing w:after="0"/>
              <w:rPr>
                <w:sz w:val="24"/>
                <w:szCs w:val="24"/>
                <w:color w:val="auto"/>
              </w:rPr>
            </w:pPr>
          </w:p>
        </w:tc>
        <w:tc>
          <w:tcPr>
            <w:tcW w:w="424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r>
      <w:tr>
        <w:trPr>
          <w:trHeight w:val="230"/>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29"/>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169.4</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8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357.1</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3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388.0</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9"/>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operating revenues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57.4</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445.4</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Large Load Customers</w:t>
      </w:r>
    </w:p>
    <w:p>
      <w:pPr>
        <w:spacing w:after="0" w:line="2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the first quarter of 2026, the Evergy Companies signed electric service agreements (ESAs) with multiple large load customers to serve data centers with a projected peak steady state load of approximately 2,500 MWs. The ESAs relate to three new projects and the expansion of two separate projects previously announced. The ESAs’ terms reflect the applicable provisions of the Evergy Companies’ Large Load Power Service (LLPS) rate plans. The service of these large load customers, inclusive of an optional transitional load period not to exceed five years, has commenced or is expected to commence at dates ranging from 2026 to 2028.</w:t>
      </w:r>
    </w:p>
    <w:p>
      <w:pPr>
        <w:spacing w:after="0" w:line="179"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auto"/>
        </w:rPr>
        <w:t>Most of the Evergy Companies’ retail contracts are on demand, with customer bills that vary each month based on an approved tariff and usage. Certain retail customers, primarily large load customers with expected load in excess of 75 MWs, have agreements that require a minimum amount of consideration to be paid through the end of a contract term longer than one year. The aggregate amount of the remaining contractual minimum consideration for these large load customer contracts and their remaining terms are detailed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220" w:type="dxa"/>
            <w:vAlign w:val="bottom"/>
            <w:tcBorders>
              <w:top w:val="single" w:sz="8" w:color="auto"/>
            </w:tcBorders>
            <w:gridSpan w:val="3"/>
            <w:vMerge w:val="restart"/>
          </w:tcPr>
          <w:p>
            <w:pPr>
              <w:jc w:val="center"/>
              <w:ind w:left="2212"/>
              <w:spacing w:after="0"/>
              <w:rPr>
                <w:sz w:val="20"/>
                <w:szCs w:val="20"/>
                <w:color w:val="auto"/>
              </w:rPr>
            </w:pPr>
            <w:r>
              <w:rPr>
                <w:rFonts w:ascii="Times New Roman" w:cs="Times New Roman" w:eastAsia="Times New Roman" w:hAnsi="Times New Roman"/>
                <w:sz w:val="18"/>
                <w:szCs w:val="18"/>
                <w:b w:val="1"/>
                <w:bCs w:val="1"/>
                <w:color w:val="auto"/>
                <w:w w:val="96"/>
              </w:rPr>
              <w:t>Remaining Term</w:t>
            </w:r>
            <w:r>
              <w:rPr>
                <w:rFonts w:ascii="Times New Roman" w:cs="Times New Roman" w:eastAsia="Times New Roman" w:hAnsi="Times New Roman"/>
                <w:sz w:val="23"/>
                <w:szCs w:val="23"/>
                <w:b w:val="1"/>
                <w:bCs w:val="1"/>
                <w:color w:val="auto"/>
                <w:w w:val="96"/>
                <w:vertAlign w:val="superscript"/>
              </w:rPr>
              <w:t>(a)</w:t>
            </w:r>
          </w:p>
        </w:tc>
        <w:tc>
          <w:tcPr>
            <w:tcW w:w="4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jc w:val="center"/>
              <w:ind w:right="132"/>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Performance</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vMerge w:val="continue"/>
          </w:tcPr>
          <w:p>
            <w:pPr>
              <w:spacing w:after="0"/>
              <w:rPr>
                <w:sz w:val="21"/>
                <w:szCs w:val="21"/>
                <w:color w:val="auto"/>
              </w:rPr>
            </w:pPr>
          </w:p>
        </w:tc>
        <w:tc>
          <w:tcPr>
            <w:tcW w:w="4220" w:type="dxa"/>
            <w:vAlign w:val="bottom"/>
            <w:tcBorders>
              <w:bottom w:val="single" w:sz="8" w:color="auto"/>
            </w:tcBorders>
            <w:gridSpan w:val="3"/>
            <w:vMerge w:val="continue"/>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center"/>
              <w:ind w:right="132"/>
              <w:spacing w:after="0" w:line="243" w:lineRule="exact"/>
              <w:rPr>
                <w:sz w:val="20"/>
                <w:szCs w:val="20"/>
                <w:color w:val="auto"/>
              </w:rPr>
            </w:pPr>
            <w:r>
              <w:rPr>
                <w:rFonts w:ascii="Times New Roman" w:cs="Times New Roman" w:eastAsia="Times New Roman" w:hAnsi="Times New Roman"/>
                <w:sz w:val="18"/>
                <w:szCs w:val="18"/>
                <w:b w:val="1"/>
                <w:bCs w:val="1"/>
                <w:color w:val="auto"/>
                <w:w w:val="96"/>
              </w:rPr>
              <w:t>Obligations</w:t>
            </w:r>
            <w:r>
              <w:rPr>
                <w:rFonts w:ascii="Times New Roman" w:cs="Times New Roman" w:eastAsia="Times New Roman" w:hAnsi="Times New Roman"/>
                <w:sz w:val="23"/>
                <w:szCs w:val="23"/>
                <w:b w:val="1"/>
                <w:bCs w:val="1"/>
                <w:color w:val="auto"/>
                <w:w w:val="96"/>
                <w:vertAlign w:val="superscript"/>
              </w:rPr>
              <w:t>(b)</w:t>
            </w:r>
          </w:p>
        </w:tc>
        <w:tc>
          <w:tcPr>
            <w:tcW w:w="0" w:type="dxa"/>
            <w:vAlign w:val="bottom"/>
          </w:tcPr>
          <w:p>
            <w:pPr>
              <w:spacing w:after="0"/>
              <w:rPr>
                <w:sz w:val="1"/>
                <w:szCs w:val="1"/>
                <w:color w:val="auto"/>
              </w:rPr>
            </w:pPr>
          </w:p>
        </w:tc>
      </w:tr>
      <w:tr>
        <w:trPr>
          <w:trHeight w:val="207"/>
        </w:trPr>
        <w:tc>
          <w:tcPr>
            <w:tcW w:w="4220" w:type="dxa"/>
            <w:vAlign w:val="bottom"/>
          </w:tcPr>
          <w:p>
            <w:pPr>
              <w:spacing w:after="0"/>
              <w:rPr>
                <w:sz w:val="17"/>
                <w:szCs w:val="17"/>
                <w:color w:val="auto"/>
              </w:rPr>
            </w:pPr>
          </w:p>
        </w:tc>
        <w:tc>
          <w:tcPr>
            <w:tcW w:w="4220" w:type="dxa"/>
            <w:vAlign w:val="bottom"/>
            <w:gridSpan w:val="3"/>
          </w:tcPr>
          <w:p>
            <w:pPr>
              <w:jc w:val="center"/>
              <w:ind w:left="2192"/>
              <w:spacing w:after="0"/>
              <w:rPr>
                <w:sz w:val="20"/>
                <w:szCs w:val="20"/>
                <w:color w:val="auto"/>
              </w:rPr>
            </w:pPr>
            <w:r>
              <w:rPr>
                <w:rFonts w:ascii="Times New Roman" w:cs="Times New Roman" w:eastAsia="Times New Roman" w:hAnsi="Times New Roman"/>
                <w:sz w:val="16"/>
                <w:szCs w:val="16"/>
                <w:color w:val="auto"/>
              </w:rPr>
              <w:t>(years)</w:t>
            </w:r>
          </w:p>
        </w:tc>
        <w:tc>
          <w:tcPr>
            <w:tcW w:w="460" w:type="dxa"/>
            <w:vAlign w:val="bottom"/>
          </w:tcPr>
          <w:p>
            <w:pPr>
              <w:spacing w:after="0"/>
              <w:rPr>
                <w:sz w:val="17"/>
                <w:szCs w:val="17"/>
                <w:color w:val="auto"/>
              </w:rPr>
            </w:pPr>
          </w:p>
        </w:tc>
        <w:tc>
          <w:tcPr>
            <w:tcW w:w="2340" w:type="dxa"/>
            <w:vAlign w:val="bottom"/>
          </w:tcPr>
          <w:p>
            <w:pPr>
              <w:jc w:val="center"/>
              <w:ind w:right="132"/>
              <w:spacing w:after="0"/>
              <w:rPr>
                <w:sz w:val="20"/>
                <w:szCs w:val="20"/>
                <w:color w:val="auto"/>
              </w:rPr>
            </w:pPr>
            <w:r>
              <w:rPr>
                <w:rFonts w:ascii="Times New Roman" w:cs="Times New Roman" w:eastAsia="Times New Roman" w:hAnsi="Times New Roman"/>
                <w:sz w:val="16"/>
                <w:szCs w:val="16"/>
                <w:color w:val="auto"/>
              </w:rPr>
              <w:t>(billions)</w:t>
            </w:r>
          </w:p>
        </w:tc>
        <w:tc>
          <w:tcPr>
            <w:tcW w:w="0" w:type="dxa"/>
            <w:vAlign w:val="bottom"/>
          </w:tcPr>
          <w:p>
            <w:pPr>
              <w:spacing w:after="0"/>
              <w:rPr>
                <w:sz w:val="1"/>
                <w:szCs w:val="1"/>
                <w:color w:val="auto"/>
              </w:rPr>
            </w:pPr>
          </w:p>
        </w:tc>
      </w:tr>
      <w:tr>
        <w:trPr>
          <w:trHeight w:val="232"/>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3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8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remaining contractual term begins with the start of service for these customers.</w:t>
      </w:r>
    </w:p>
    <w:p>
      <w:pPr>
        <w:spacing w:after="0" w:line="10" w:lineRule="exact"/>
        <w:rPr>
          <w:rFonts w:ascii="Times New Roman" w:cs="Times New Roman" w:eastAsia="Times New Roman" w:hAnsi="Times New Roman"/>
          <w:sz w:val="20"/>
          <w:szCs w:val="20"/>
          <w:color w:val="auto"/>
          <w:vertAlign w:val="superscript"/>
        </w:rPr>
      </w:pPr>
    </w:p>
    <w:p>
      <w:pPr>
        <w:ind w:left="180" w:right="100" w:hanging="172"/>
        <w:spacing w:after="0"/>
        <w:tabs>
          <w:tab w:leader="none" w:pos="167"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Contractual minimum amounts typically equal 80% of customers' expected annual capacity demand and exclude potential volume-based charges such as fuel cost recoveries. Amounts disclosed are based on current large load customer rates in effect and do not include any potential changes in these rates in future years as a result of general rate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7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2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89.3</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201.2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9"/>
                <w:szCs w:val="19"/>
                <w:color w:val="auto"/>
              </w:rPr>
            </w:pP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135.5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bl>
    <w:p>
      <w:pPr>
        <w:spacing w:after="0" w:line="2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Evergy Companies' other receivables as of March 31, 2026, and December 31, 2025, consisted primarily of receivables from partners in jointly-owned electric utility plants, wholesale sales receivables and receivables related to alternative revenue programs.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other receivables also included receivables from contracts with customers as summarized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5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47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24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56.9</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240" w:type="dxa"/>
            <w:vAlign w:val="bottom"/>
          </w:tcPr>
          <w:p>
            <w:pPr>
              <w:spacing w:after="0"/>
              <w:rPr>
                <w:sz w:val="19"/>
                <w:szCs w:val="19"/>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51.4</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2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following table summarizes the receivable sale facilities, each of which expire in April 2028.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Committed Capacity</w:t>
            </w:r>
          </w:p>
        </w:tc>
        <w:tc>
          <w:tcPr>
            <w:tcW w:w="3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ind w:right="151"/>
              <w:spacing w:after="0" w:line="206" w:lineRule="exact"/>
              <w:rPr>
                <w:sz w:val="20"/>
                <w:szCs w:val="20"/>
                <w:color w:val="auto"/>
              </w:rPr>
            </w:pPr>
            <w:r>
              <w:rPr>
                <w:rFonts w:ascii="Times New Roman" w:cs="Times New Roman" w:eastAsia="Times New Roman" w:hAnsi="Times New Roman"/>
                <w:sz w:val="18"/>
                <w:szCs w:val="18"/>
                <w:b w:val="1"/>
                <w:bCs w:val="1"/>
                <w:color w:val="auto"/>
                <w:w w:val="99"/>
              </w:rPr>
              <w:t>Additional Conditional</w:t>
            </w:r>
          </w:p>
        </w:tc>
        <w:tc>
          <w:tcPr>
            <w:tcW w:w="36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Current Borrowings</w:t>
            </w:r>
          </w:p>
        </w:tc>
        <w:tc>
          <w:tcPr>
            <w:tcW w:w="0" w:type="dxa"/>
            <w:vAlign w:val="bottom"/>
          </w:tcPr>
          <w:p>
            <w:pPr>
              <w:spacing w:after="0"/>
              <w:rPr>
                <w:sz w:val="1"/>
                <w:szCs w:val="1"/>
                <w:color w:val="auto"/>
              </w:rPr>
            </w:pPr>
          </w:p>
        </w:tc>
      </w:tr>
      <w:tr>
        <w:trPr>
          <w:trHeight w:val="240"/>
        </w:trPr>
        <w:tc>
          <w:tcPr>
            <w:tcW w:w="3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151"/>
              <w:spacing w:after="0" w:line="240" w:lineRule="exact"/>
              <w:rPr>
                <w:sz w:val="20"/>
                <w:szCs w:val="20"/>
                <w:color w:val="auto"/>
              </w:rPr>
            </w:pPr>
            <w:r>
              <w:rPr>
                <w:rFonts w:ascii="Times New Roman" w:cs="Times New Roman" w:eastAsia="Times New Roman" w:hAnsi="Times New Roman"/>
                <w:sz w:val="18"/>
                <w:szCs w:val="18"/>
                <w:b w:val="1"/>
                <w:bCs w:val="1"/>
                <w:color w:val="auto"/>
                <w:w w:val="96"/>
              </w:rPr>
              <w:t>Capacity</w:t>
            </w:r>
            <w:r>
              <w:rPr>
                <w:rFonts w:ascii="Times New Roman" w:cs="Times New Roman" w:eastAsia="Times New Roman" w:hAnsi="Times New Roman"/>
                <w:sz w:val="23"/>
                <w:szCs w:val="23"/>
                <w:b w:val="1"/>
                <w:bCs w:val="1"/>
                <w:color w:val="auto"/>
                <w:w w:val="96"/>
                <w:vertAlign w:val="superscript"/>
              </w:rPr>
              <w:t>(a)</w:t>
            </w: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jc w:val="center"/>
              <w:ind w:right="151"/>
              <w:spacing w:after="0"/>
              <w:rPr>
                <w:sz w:val="20"/>
                <w:szCs w:val="20"/>
                <w:color w:val="auto"/>
              </w:rPr>
            </w:pPr>
            <w:r>
              <w:rPr>
                <w:rFonts w:ascii="Times New Roman" w:cs="Times New Roman" w:eastAsia="Times New Roman" w:hAnsi="Times New Roman"/>
                <w:sz w:val="16"/>
                <w:szCs w:val="16"/>
                <w:color w:val="auto"/>
              </w:rPr>
              <w:t>(millions)</w:t>
            </w: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240" w:type="dxa"/>
            <w:vAlign w:val="bottom"/>
          </w:tcPr>
          <w:p>
            <w:pPr>
              <w:spacing w:after="0"/>
              <w:rPr>
                <w:sz w:val="19"/>
                <w:szCs w:val="19"/>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Pr>
          <w:p>
            <w:pPr>
              <w:spacing w:after="0"/>
              <w:rPr>
                <w:sz w:val="19"/>
                <w:szCs w:val="19"/>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2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240" w:type="dxa"/>
            <w:vAlign w:val="bottom"/>
          </w:tcPr>
          <w:p>
            <w:pPr>
              <w:spacing w:after="0"/>
              <w:rPr>
                <w:sz w:val="19"/>
                <w:szCs w:val="19"/>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tcPr>
          <w:p>
            <w:pPr>
              <w:spacing w:after="0"/>
              <w:rPr>
                <w:sz w:val="19"/>
                <w:szCs w:val="19"/>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3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2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600" w:hanging="172"/>
        <w:spacing w:after="0" w:line="238" w:lineRule="auto"/>
        <w:tabs>
          <w:tab w:leader="none" w:pos="161"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To the extent Evergy Kansas Central, Evergy Metro and Evergy Missouri West have qualifying accounts receivable and subject to the lender's discretion, the cash receivable facilities permit additional borrowing capacity in excess of committed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21" w:lineRule="exact"/>
        <w:rPr>
          <w:sz w:val="20"/>
          <w:szCs w:val="20"/>
          <w:color w:val="auto"/>
        </w:rPr>
      </w:pPr>
    </w:p>
    <w:p>
      <w:pPr>
        <w:ind w:right="50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State Corporation Commission of the State of Kansas (KCC) Proceedings </w:t>
      </w:r>
      <w:r>
        <w:rPr>
          <w:rFonts w:ascii="Times New Roman" w:cs="Times New Roman" w:eastAsia="Times New Roman" w:hAnsi="Times New Roman"/>
          <w:sz w:val="20"/>
          <w:szCs w:val="20"/>
          <w:b w:val="1"/>
          <w:bCs w:val="1"/>
          <w:i w:val="1"/>
          <w:iCs w:val="1"/>
          <w:color w:val="auto"/>
        </w:rPr>
        <w:t>Earnings Review and Sharing</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As part of the settlement agreement in Evergy Kansas Central's 2025 KCC rate case,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Evergy Kansas Central filed its 2025 earnings calculation with the KCC in March 2026, which reflected no refund obligation. As of March 31, 2026, Evergy Kansas Central estimates its 2026 earnings will not result in a significant refund obligation. The final refund obligations for 2025 and 2026 will be decided by the KCC and could vary from current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2026 Transmission Delivery Charge (TDC)</w:t>
      </w:r>
    </w:p>
    <w:p>
      <w:pPr>
        <w:spacing w:after="0" w:line="3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In March 2026, the KCC issued an order adjusting Evergy Kansas Central's retail prices to include updated transmission costs as reflected in the Federal Energy Regulatory Commission (FERC) transmission formula rate (TFR). The new prices became effective in May 2026 and are expected to increase Evergy Kansas Central's annual retail revenues by $16.8 million when compared to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2026 TDC</w:t>
      </w:r>
    </w:p>
    <w:p>
      <w:pPr>
        <w:spacing w:after="0" w:line="32" w:lineRule="exact"/>
        <w:rPr>
          <w:sz w:val="20"/>
          <w:szCs w:val="20"/>
          <w:color w:val="auto"/>
        </w:rPr>
      </w:pPr>
    </w:p>
    <w:p>
      <w:pPr>
        <w:jc w:val="both"/>
        <w:ind w:right="520"/>
        <w:spacing w:after="0" w:line="253" w:lineRule="auto"/>
        <w:rPr>
          <w:sz w:val="20"/>
          <w:szCs w:val="20"/>
          <w:color w:val="auto"/>
        </w:rPr>
      </w:pPr>
      <w:r>
        <w:rPr>
          <w:rFonts w:ascii="Times New Roman" w:cs="Times New Roman" w:eastAsia="Times New Roman" w:hAnsi="Times New Roman"/>
          <w:sz w:val="20"/>
          <w:szCs w:val="20"/>
          <w:color w:val="auto"/>
        </w:rPr>
        <w:t>In March 2026, the KCC issued an order adjusting Evergy Metro's retail prices to include updated transmission costs as reflected in the FERC TFR. The new prices became effective in May 2026 and are expected to decrease Evergy Metro's annual retail revenues by $4.3 million when compared to 2025.</w:t>
      </w:r>
    </w:p>
    <w:p>
      <w:pPr>
        <w:spacing w:after="0" w:line="185" w:lineRule="exact"/>
        <w:rPr>
          <w:sz w:val="20"/>
          <w:szCs w:val="20"/>
          <w:color w:val="auto"/>
        </w:rPr>
      </w:pPr>
    </w:p>
    <w:p>
      <w:pPr>
        <w:ind w:right="50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Public Service Commission of the State of Missouri (MPSC) Proceedings </w:t>
      </w:r>
      <w:r>
        <w:rPr>
          <w:rFonts w:ascii="Times New Roman" w:cs="Times New Roman" w:eastAsia="Times New Roman" w:hAnsi="Times New Roman"/>
          <w:sz w:val="20"/>
          <w:szCs w:val="20"/>
          <w:b w:val="1"/>
          <w:bCs w:val="1"/>
          <w:i w:val="1"/>
          <w:iCs w:val="1"/>
          <w:color w:val="auto"/>
        </w:rPr>
        <w:t>Evergy Metro's 2026 Rate Case Proceeding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February 2026, Evergy Metro filed an application with the MPSC to request an increase to its retail revenues of approximately</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October 2026 and new rates are expected to be effective in January 2027.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and Evergy Metro TFR Annual Update</w:t>
      </w:r>
    </w:p>
    <w:p>
      <w:pPr>
        <w:spacing w:after="0" w:line="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most recently updated TFR is expected to increase Evergy Kansas Central's annual transmission revenues by approximately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$21.6 million and decrease Evergy Metro's annual transmission revenues by approximately $2.4 million, effective in January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Complaint</w:t>
      </w:r>
    </w:p>
    <w:p>
      <w:pPr>
        <w:spacing w:after="0" w:line="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As of March 31, 2026, and December 31, 2025, Evergy and Evergy Kansas Central had recorded a regulatory liability of $9.8 million and $9.7 million, respectively, related to the 2018 and 2019 rate year refund request. Evergy and Evergy Kansas Central are awaiting a response from FERC.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PENSION PLANS AND POST-RETIREMENT BENEFITS</w:t>
      </w:r>
    </w:p>
    <w:p>
      <w:pPr>
        <w:spacing w:after="0" w:line="125"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w:t>
      </w:r>
    </w:p>
    <w:p>
      <w:pPr>
        <w:spacing w:after="0" w:line="16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5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 Generating Station's (Wolf Creek) post-retirement benefit plans.</w:t>
      </w:r>
    </w:p>
    <w:p>
      <w:pPr>
        <w:spacing w:after="0" w:line="16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00" w:type="dxa"/>
            <w:vAlign w:val="bottom"/>
          </w:tcPr>
          <w:p>
            <w:pPr>
              <w:spacing w:after="0"/>
              <w:rPr>
                <w:sz w:val="18"/>
                <w:szCs w:val="18"/>
                <w:color w:val="auto"/>
              </w:rPr>
            </w:pPr>
          </w:p>
        </w:tc>
      </w:tr>
      <w:tr>
        <w:trPr>
          <w:trHeight w:val="23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7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periodic benefit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00" w:type="dxa"/>
            <w:vAlign w:val="bottom"/>
          </w:tcPr>
          <w:p>
            <w:pPr>
              <w:spacing w:after="0"/>
              <w:rPr>
                <w:sz w:val="18"/>
                <w:szCs w:val="18"/>
                <w:color w:val="auto"/>
              </w:rPr>
            </w:pPr>
          </w:p>
        </w:tc>
      </w:tr>
      <w:tr>
        <w:trPr>
          <w:trHeight w:val="23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7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periodic benefit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52"/>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30"/>
        </w:trPr>
        <w:tc>
          <w:tcPr>
            <w:tcW w:w="8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00" w:type="dxa"/>
            <w:vAlign w:val="bottom"/>
          </w:tcPr>
          <w:p>
            <w:pPr>
              <w:spacing w:after="0"/>
              <w:rPr>
                <w:sz w:val="18"/>
                <w:szCs w:val="18"/>
                <w:color w:val="auto"/>
              </w:rPr>
            </w:pPr>
          </w:p>
        </w:tc>
      </w:tr>
      <w:tr>
        <w:trPr>
          <w:trHeight w:val="23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8"/>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cost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periodic benefit costs before regulatory adjustment and intercompany allocations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adjustment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periodic benefit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1066"/>
        </w:trPr>
        <w:tc>
          <w:tcPr>
            <w:tcW w:w="8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8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three months ended March 31, 2026, Evergy, Evergy Kansas Central and Evergy Metro made cash pension contributions of</w:t>
      </w:r>
    </w:p>
    <w:p>
      <w:pPr>
        <w:spacing w:after="0" w:line="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$18.7 million, $16.0 million and $2.7 million, respectively. Evergy expects to make additional cash pension contributions of $92.0 million in 2026 to satisfy the Employee Retirement Income Security Act of 1974, as amended (ERISA), funding requirements and KCC and MPSC rate orders, of which $60.4 million is expected to be paid by Evergy Kansas Central and $31.6 million is expected to be paid by Evergy Metro.</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For the three months ended March 31, 2026, Evergy, Evergy Kansas Central and Evergy Metro made post-retirement benefit contributions of $0.2 million, $0.1 million and $0.1 million, respectively. Evergy, Evergy Kansas Central and Evergy Metro expect to make additional contributions in 2026 of $0.4 million, $0.2 million and $0.2 million, respectively, to the post-retirement benefit plans.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SHORT-TERM BORROWINGS AND SHORT-TERM BANK LINES OF CREDIT</w:t>
      </w:r>
    </w:p>
    <w:p>
      <w:pPr>
        <w:spacing w:after="0" w:line="12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auto"/>
        </w:rPr>
        <w:t>The Evergy Companies' $2.5 billion master credit facility expires in 2028.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w:t>
      </w:r>
    </w:p>
    <w:p>
      <w:pPr>
        <w:spacing w:after="0" w:line="156"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As of March 31, 2026, Evergy, Evergy Kansas Central, Evergy Metro and Evergy Missouri West were in compliance with this covenant.</w:t>
      </w:r>
    </w:p>
    <w:p>
      <w:pPr>
        <w:spacing w:after="0" w:line="17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available to the Evergy Companies as of March 31, 2026, and December 31, 2025 (excluding receivable sale facilities discussed in Note 3 and Term Loan Credit Agreements discussed below).</w:t>
      </w:r>
    </w:p>
    <w:p>
      <w:pPr>
        <w:spacing w:after="0" w:line="68"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bottom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Borrowings</w:t>
            </w:r>
          </w:p>
        </w:tc>
        <w:tc>
          <w:tcPr>
            <w:tcW w:w="2080" w:type="dxa"/>
            <w:vAlign w:val="bottom"/>
          </w:tcPr>
          <w:p>
            <w:pPr>
              <w:jc w:val="center"/>
              <w:ind w:lef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1,102.2</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In January 2026, Evergy, Inc. entered into a $55.0 million unsecured Term Loan Credit Agreement with an expiration date in January 2027. In February 2026, Evergy, Inc. entered into a $500.0 million unsecured Term Loan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Credit Agreement with an expiration date in February 2027. Evergy's borrowings under the $500.0 million unsecured Term Loan Credit Agreement were used for, among other things, the repayment in full of all borrowings under the $55.0 million Term Loan Credit Agreement and the partial repurchase of Evergy's convertible notes as further described in Note 7. The weighted average interest rate for borrowings under the $500.0 million unsecured Term Loan Credit Agreement as of March 31, 2026, was 4.67%. The Term Loan Credit Agreement contains customary covenants, including one that sets the ratio of maximum allowed total indebtedness to total capitalization of not greater than 0.65 to 1.00, for Evergy and its subsidiaries on a consolidated basis. As of March 31, 2026, Evergy was in compliance with this covenant.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w:t>
      </w:r>
    </w:p>
    <w:p>
      <w:pPr>
        <w:spacing w:after="0" w:line="26"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20"/>
          <w:szCs w:val="20"/>
          <w:color w:val="auto"/>
        </w:rPr>
        <w:t>In March 2026, Evergy, Inc. issued, at a discount, $350.0 million of 4.25% Notes, maturing in 2029. Proceeds were used to pay down commercial paper and for general corporate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Notes</w:t>
      </w:r>
    </w:p>
    <w:p>
      <w:pPr>
        <w:spacing w:after="0" w:line="26"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20"/>
          <w:szCs w:val="20"/>
          <w:color w:val="auto"/>
        </w:rPr>
        <w:t>In December 2023, Evergy, Inc. issued $1.4 billion aggregate principal amount of 4.50% Convertible Notes (Convertible Notes). The Convertible Notes will mature in December 2027, unless earlier converted or repurchased.</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January and February 2026, Evergy, Inc. repurchased $244.1 million aggregate principal amount of the Convertible Notes, under separate, privately negotiated repurchase agreements with certain holders of the Convertible Notes, for $309.5 million, including fees and excluding accrued and unpaid interest. The repurchases were funded by Term Loan Credit Agreements executed in January and February 2026, see Note 6 for additional information on the Term Loan Credit Agreements. The repurchases were accounted for as an induced conversion of debt. Evergy recognized a loss of $10.3 million in interest expense on Evergy's consolidated statement of comprehensive income for the three months ended March 31, 2026, which included a $1.8 million inducement loss, a $7.6 million loss on the settlement of an embedded forward contract and $0.9 million in fees. As of March 31, 2026, Evergy also recognized a $56.9 million reduction of shareholders’ equity on its consolidated balance sheet to account for the settlement of the equity-related conversion obligation under the December 2023 Convertible Notes agreement, which included $1.8 million of unamortized debt issuance costs. After these January and February 2026 repurchases, $1,155.9 million aggregate principal amount of Convertible Notes remain outstanding as of March 31, 2026.</w:t>
      </w:r>
    </w:p>
    <w:p>
      <w:pPr>
        <w:spacing w:after="0" w:line="177"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20"/>
          <w:szCs w:val="20"/>
          <w:color w:val="auto"/>
        </w:rPr>
        <w:t>The closing price of Evergy's common stock exceeded 130% of the Convertible Notes' conversion price for at least 20 trading days during the 30 consecutive trading-day period ending on, and including, the last trading day of the first quarter of 2026. As a result, as of April 1, 2026, the conversion condition was met, and the outstanding Convertible Notes are convertible at the option of the holders through June 2026. If this conversion condition is not met in future periods, the Convertible Notes will not be convertible under this condition until the condition is met again.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Delayed Draw Term Loan</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May 2026, Evergy, Inc. entered into a Delayed Draw Term Loan Agreement in which lenders have committed to provide term loans in an aggregate principal amount of up to $1.0 billion, maturing in November 2027. If not fully utilized, the term loan commitments expire in August 2026. Evergy has not made any borrowings under the Delayed Draw Term Loan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DERIVATIVE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Price Risk</w:t>
      </w:r>
    </w:p>
    <w:p>
      <w:pPr>
        <w:spacing w:after="0" w:line="12"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9"/>
          <w:szCs w:val="19"/>
          <w:color w:val="auto"/>
        </w:rPr>
        <w:t>The Evergy Companies engage in the wholesale and retail sale of electricity as part of their regulated electric operations.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From time to time, this may include entering into interest rate swap agreements to mitigate exposure to interest rate fluctuations associated with forecasted debt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w:t>
      </w:r>
    </w:p>
    <w:p>
      <w:pPr>
        <w:spacing w:after="0" w:line="12" w:lineRule="exact"/>
        <w:rPr>
          <w:sz w:val="20"/>
          <w:szCs w:val="20"/>
          <w:color w:val="auto"/>
        </w:rPr>
      </w:pPr>
    </w:p>
    <w:p>
      <w:pPr>
        <w:jc w:val="both"/>
        <w:ind w:right="340"/>
        <w:spacing w:after="0" w:line="249"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for Derivative Instruments</w:t>
      </w:r>
    </w:p>
    <w:p>
      <w:pPr>
        <w:spacing w:after="0" w:line="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as (i) economic hedges or trading contracts (non-hedging derivatives) or (ii) cash flow hedges, which are recorded as assets or liabilities on the consolidated balance sheets at fair value. See Note 9 for additional information on the Evergy Companies' methods for assessing the fair value of derivative instruments.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Changes in the fair value of derivative instruments designated as economic hedges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w:t>
      </w:r>
    </w:p>
    <w:p>
      <w:pPr>
        <w:spacing w:after="0" w:line="18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Changes in the fair value of derivative instruments designated as trading contracts (non-hedging derivatives) are recorded in operating revenues on the Evergy Companies' statements of income and comprehensive income.</w:t>
      </w:r>
    </w:p>
    <w:p>
      <w:pPr>
        <w:spacing w:after="0" w:line="17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Changes in the fair value of interest rate swaps designated as cash flow hedges are initially recorded in other comprehensive income (OCI). These amounts are subsequently reclassified into earnings as an adjustment to interest expense over the same period that the hedged interest payments affect earnings. The Evergy Companies classify cash flows from derivative instruments accounted for as a cash flow hedge in the same category as the cash flows from the items being hedged.</w:t>
      </w:r>
    </w:p>
    <w:p>
      <w:pPr>
        <w:spacing w:after="0" w:line="172"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non-hedging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Borders>
              <w:top w:val="single" w:sz="8" w:color="auto"/>
            </w:tcBorders>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48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Notional volume unit of measure</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4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MWhs</w:t>
            </w: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95"/>
              </w:rPr>
              <w:t>38.9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MMBtu</w:t>
            </w:r>
          </w:p>
        </w:tc>
        <w:tc>
          <w:tcPr>
            <w:tcW w:w="1180" w:type="dxa"/>
            <w:vAlign w:val="bottom"/>
          </w:tcPr>
          <w:p>
            <w:pPr>
              <w:spacing w:after="0"/>
              <w:rPr>
                <w:sz w:val="19"/>
                <w:szCs w:val="19"/>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5"/>
              </w:rPr>
              <w:t>83.5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3460" w:type="dxa"/>
            <w:vAlign w:val="bottom"/>
            <w:shd w:val="clear" w:color="auto" w:fill="CCEEFF"/>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MWhs</w:t>
            </w: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95"/>
              </w:rPr>
              <w:t>29.4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4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MMBtu</w:t>
            </w:r>
          </w:p>
        </w:tc>
        <w:tc>
          <w:tcPr>
            <w:tcW w:w="1180" w:type="dxa"/>
            <w:vAlign w:val="bottom"/>
          </w:tcPr>
          <w:p>
            <w:pPr>
              <w:spacing w:after="0"/>
              <w:rPr>
                <w:sz w:val="19"/>
                <w:szCs w:val="19"/>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5"/>
              </w:rPr>
              <w:t>83.5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Commodity contracts</w:t>
            </w:r>
          </w:p>
        </w:tc>
        <w:tc>
          <w:tcPr>
            <w:tcW w:w="4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48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MWhs</w:t>
            </w:r>
          </w:p>
        </w:tc>
        <w:tc>
          <w:tcPr>
            <w:tcW w:w="1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7.2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of Evergy's open non-hedging derivative positions and balance sheet classifications are summarized in the following tables.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values below are gross values before netting agreements and netting of cash collateral.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44.4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33.4</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85.2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35.7</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3480" w:type="dxa"/>
            <w:vAlign w:val="bottom"/>
            <w:shd w:val="clear" w:color="auto" w:fill="CCEEFF"/>
          </w:tcPr>
          <w:p>
            <w:pPr>
              <w:spacing w:after="0"/>
              <w:rPr>
                <w:sz w:val="19"/>
                <w:szCs w:val="19"/>
                <w:color w:val="auto"/>
              </w:rPr>
            </w:pP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35.0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480" w:type="dxa"/>
            <w:vAlign w:val="bottom"/>
            <w:shd w:val="clear" w:color="auto" w:fill="CCEEFF"/>
          </w:tcPr>
          <w:p>
            <w:pPr>
              <w:spacing w:after="0"/>
              <w:rPr>
                <w:sz w:val="19"/>
                <w:szCs w:val="19"/>
                <w:color w:val="auto"/>
              </w:rPr>
            </w:pP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5"/>
              </w:rPr>
              <w:t>78.5</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38.3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33.4</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79.1</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33.5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3480" w:type="dxa"/>
            <w:vAlign w:val="bottom"/>
            <w:shd w:val="clear" w:color="auto" w:fill="CCEEFF"/>
          </w:tcPr>
          <w:p>
            <w:pPr>
              <w:spacing w:after="0"/>
              <w:rPr>
                <w:sz w:val="19"/>
                <w:szCs w:val="19"/>
                <w:color w:val="auto"/>
              </w:rPr>
            </w:pP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5"/>
              </w:rPr>
              <w:t>35.0</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20" w:type="dxa"/>
            <w:vAlign w:val="bottom"/>
          </w:tcPr>
          <w:p>
            <w:pPr>
              <w:spacing w:after="0"/>
              <w:rPr>
                <w:sz w:val="19"/>
                <w:szCs w:val="19"/>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480" w:type="dxa"/>
            <w:vAlign w:val="bottom"/>
            <w:shd w:val="clear" w:color="auto" w:fill="CCEEFF"/>
          </w:tcPr>
          <w:p>
            <w:pPr>
              <w:spacing w:after="0"/>
              <w:rPr>
                <w:sz w:val="19"/>
                <w:szCs w:val="19"/>
                <w:color w:val="auto"/>
              </w:rPr>
            </w:pP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5"/>
              </w:rPr>
              <w:t>76.3</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non-hedging derivative assets and liabilities are reported. The gross amounts offset in the tables below show the effect of master netting arrangements and include collateral posted to offset the net position.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38"/>
        </w:trPr>
        <w:tc>
          <w:tcPr>
            <w:tcW w:w="5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71"/>
              <w:spacing w:after="0" w:line="202" w:lineRule="exact"/>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58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right="17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of gain recognized in income for the change in fair value of derivatives not designated as hedging instruments for the Evergy Companies.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 - Location of gain</w:t>
            </w:r>
          </w:p>
        </w:tc>
        <w:tc>
          <w:tcPr>
            <w:tcW w:w="30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Commodity</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Pr>
          <w:p>
            <w:pPr>
              <w:spacing w:after="0"/>
              <w:rPr>
                <w:sz w:val="19"/>
                <w:szCs w:val="19"/>
                <w:color w:val="auto"/>
              </w:rPr>
            </w:pP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06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Commodity</w:t>
            </w:r>
          </w:p>
        </w:tc>
        <w:tc>
          <w:tcPr>
            <w:tcW w:w="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gross notional contract amount by type for hedging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36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derivatives - Cash flow hedge</w:t>
            </w:r>
          </w:p>
        </w:tc>
        <w:tc>
          <w:tcPr>
            <w:tcW w:w="3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9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7"/>
        </w:trPr>
        <w:tc>
          <w:tcPr>
            <w:tcW w:w="3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3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USD</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88"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fair value of Evergy's open hedging derivative positions and balance sheet classifications are summarized in the following table. The fair values represent both the gross and net impact of netting agreements and the netting of cash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derivatives - Cash flow hedge</w:t>
            </w:r>
          </w:p>
        </w:tc>
        <w:tc>
          <w:tcPr>
            <w:tcW w:w="45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4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19"/>
                <w:szCs w:val="19"/>
                <w:color w:val="auto"/>
              </w:rPr>
            </w:pPr>
          </w:p>
        </w:tc>
        <w:tc>
          <w:tcPr>
            <w:tcW w:w="4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 - long-term</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3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March 31, 2026, if counterparty groups completely failed to perform on contracts, Evergy's and Evergy Kansas Central's maximum exposure related to derivative assets was $31.4 million. As of March 31, 2026, the potential loss after the consideration of applicable master netting arrangements and collateral received for Evergy and Evergy Kansas Central was $24.8 million.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March 31, 2026, was $33.4 million for which Evergy and Evergy Kansas Central have posted $5.1 million collateral in the normal course of business. If the credit-risk-related contingent features underlying these agreements were triggered as of March 31, 2026, Evergy and Evergy Kansas Central could be required to post an additional $27.3 million of collateral to their counterparties.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8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7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13,514.0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13,406.2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13,018.9</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5,233.8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5,233.1</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4,812.1</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3,272.0</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3,271.4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3,122.7</w:t>
            </w:r>
          </w:p>
        </w:tc>
      </w:tr>
    </w:tbl>
    <w:p>
      <w:pPr>
        <w:spacing w:after="0" w:line="44"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jc w:val="both"/>
        <w:ind w:left="180" w:right="180" w:hanging="172"/>
        <w:spacing w:after="0"/>
        <w:tabs>
          <w:tab w:leader="none" w:pos="167"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March 31, 2026, and December 31, 2025, includes $75.0 million and $76.1 million, respectively, of fair value adjustments recorded in connection with purchase accounting for the merger that created Evergy,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4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95.6</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95.6</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71.9</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23.8</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461.0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388.6</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19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31.4</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31.4</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525.5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454.8</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419.4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54.6</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Agency</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55.1</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55.1</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534.3</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477.0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57.3</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556.0</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483.4</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69.1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7"/>
              </w:rPr>
              <w:t>NAV</w:t>
            </w:r>
          </w:p>
        </w:tc>
      </w:tr>
      <w:tr>
        <w:trPr>
          <w:trHeight w:val="208"/>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995.3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57.3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3"/>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29.3</w:t>
            </w:r>
          </w:p>
        </w:tc>
        <w:tc>
          <w:tcPr>
            <w:tcW w:w="26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45.4</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47.2</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32.0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1,090.0</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945.7</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101.1</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9.4</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19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4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37.1</w:t>
            </w:r>
          </w:p>
        </w:tc>
        <w:tc>
          <w:tcPr>
            <w:tcW w:w="2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95.9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71.5</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49.6</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466.0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19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13.7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38.7</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39.9</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529.4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451.3</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Agency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51.5</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51.5</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550.8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497.1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53.7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575.6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506.1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65.2</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2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2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1,016.8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interest rate swaps</w:t>
            </w:r>
            <w:r>
              <w:rPr>
                <w:rFonts w:ascii="Times New Roman" w:cs="Times New Roman" w:eastAsia="Times New Roman" w:hAnsi="Times New Roman"/>
                <w:sz w:val="21"/>
                <w:szCs w:val="21"/>
                <w:color w:val="auto"/>
                <w:vertAlign w:val="superscript"/>
              </w:rPr>
              <w:t>(b)</w:t>
            </w: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1,113.5</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965.1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36.2</w:t>
            </w: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40" w:hanging="172"/>
        <w:spacing w:after="0" w:line="230" w:lineRule="auto"/>
        <w:tabs>
          <w:tab w:leader="none" w:pos="17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0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3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imposition of remedial requirements. The Evergy Companies believe that all their operations are in substantial compliance with current federal, state and local environmental standards. There are a variety of final and proposed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and Federal Implementation Plans</w:t>
      </w:r>
    </w:p>
    <w:p>
      <w:pPr>
        <w:spacing w:after="0" w:line="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In 2015, the Environmental Protection Agency (EPA) lowered the Ozone National Ambient Air Quality Standards (NAAQS) and in 2018 required states to submit Interstate Transport State Implementation Plans (ITSIPs) to comply with the "Good Neighbor Provision" of the Clean Air Act (CAA). Several states, including Missouri, Kansas and Oklahoma submitted ITSIPs. The EPA disapproved ITSIPs for multiple states, including Missouri and Oklahoma, while initially approving the Kansas ITSIP. Disapproval of ITSIPs provides the EPA with authority to implement an Interstate Transport Federal Implementation Plan (ITFIP) to replace them. In April 2022, the EPA published in the Federal Register the proposed ITFIP to resolve outstanding "Good Neighbor" obligations for several states, including Missouri and Oklahoma. In March 2023, the EPA issued a final ITFIP for multiple states, including Missouri and Oklahoma, which imposed reduced ozone season nitrogen oxide (NOx) budgets for Electric Generating Units (EGUs) and imposed more stringent ozone season NOx emission limits. In April 2023, Missouri and Oklahoma challenged the EPA's ITSIP disapprovals and federal appellate courts subsequently stayed the disapprovals for both states. Due to judicial stays of the EPA's ITSIP disapprovals, the statutory conditions required to impose an ITFIP were not satisfied at that time. As a result, Missouri and Oklahoma continue to operate under the existing Cross-State Air Pollution Rule (CSAPR).</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January 2024, the EPA proposed to disapprove the previously approved ITSIPs for several states, including Kansas, which would cause Kansas to be subject to the ITFIP; however, final action has not taken place on this rulemaking. In June 2024, the U.S. Supreme Court issued an order granting emergency motions for stay of the final ITFIP pending further review of the ITFIP by the U.S. Court of Appeals for the D.C. Circuit (D.C. Circuit). In March 2025, the EPA announced plans to end the Good Neighbor Rule for the 2015 Ozone NAAQS. In April 2025, the D.C. Circuit granted an EPA request to hold all challenges to the ITFIP in indefinite abeyance.</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January 2026, the EPA published in the Federal Register a proposed "Phase 1" reconsideration rule addressing interstate transport requirements for the 2015 NAAQS for Ozone for ten states, including Kansas. The EPA indicated they intend to address additional states, including Missouri, in a separate action. The Phase 1 proposal would withdraw the EPA's proposed disapproval of the ITSIP submissions for five states, including Kansas. As a result, Kansas would no longer be subject to the ITFIP if this rule is finalized. Until this and future proposals and associated litigation are finalized, the full impact on the Evergy Companies' operations cannot be determined and the cost to comply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26"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20"/>
          <w:szCs w:val="20"/>
          <w:color w:val="auto"/>
        </w:rPr>
        <w:t>In March 2024, the EPA published in the Federal Register the final rule which strengthens the primary annual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(particulate matter less than 2.5 microns in diameter) NAAQS by lowering the primary annual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from 12.0 μg/m</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(micrograms per cubic meter) to 9.0 μg/m</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The final rule took effect in May 2024. In March 2025, the EPA announced its plans to reconsider the 2024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In November 2025, the EPA filed a motion requesting that the D.C. Circuit vacate the 2024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asserting that the prior presidential administration's EPA failed to consider costs during its revision process and therefore did not conduct a thorough review, as required. Due to the uncertainty of the attainment status of portions of the Evergy Companies' service territory and potential reconsideration or court vacatur of the NAAQS, the Evergy Companies are unable to accurately assess the impacts on their operations or consolidated financial results, but the cost to potentially comply with the 2024 PM</w:t>
      </w:r>
      <w:r>
        <w:rPr>
          <w:rFonts w:ascii="Times New Roman" w:cs="Times New Roman" w:eastAsia="Times New Roman" w:hAnsi="Times New Roman"/>
          <w:sz w:val="25"/>
          <w:szCs w:val="25"/>
          <w:color w:val="auto"/>
          <w:vertAlign w:val="subscript"/>
        </w:rPr>
        <w:t>2.5</w:t>
      </w:r>
      <w:r>
        <w:rPr>
          <w:rFonts w:ascii="Times New Roman" w:cs="Times New Roman" w:eastAsia="Times New Roman" w:hAnsi="Times New Roman"/>
          <w:sz w:val="20"/>
          <w:szCs w:val="20"/>
          <w:color w:val="auto"/>
        </w:rPr>
        <w:t xml:space="preserve"> NAAQS could be material.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32"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20"/>
          <w:szCs w:val="20"/>
          <w:color w:val="auto"/>
        </w:rPr>
        <w:t>In 1999, the EPA finalized the Regional Haze Rule which requires states, in coordination with the EPA and other parties, to develop and implement air quality protection plans to reduce the pollution that causes visibility impairment in "Class I" national parks and wilderness areas. There are 156 Class I areas across the U.S. that must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be restored to pristine conditions by the year 2064. Kansas has no Class I areas, while Missouri has two: the Hercules-Glades Wilderness Area and the Mingo Wilderness Area. States are required to submit revisions to their State Implementation Plans (SIPs) every ten years and the first round was due in 2007.</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Missouri Department of Natural Resources (MDNR) failed to submit a Missouri SIP revision to the EPA by the EPA's revised submittal deadline in August 2022 resulting in a "finding of failure". This finding of failure established a two-year deadline for the EPA to issue a Regional Haze Federal Implementation Plan (FIP) unless a revised SIP is approved. In July 2024, the EPA published in the Federal Register a proposal to partially approve and partially disapprove Missouri's Regional Haze SIP revision.</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August 2024, the EPA issued final disapproval of the Kansas Department of Health and Environment's (KDHE) July 2021 SIP revision for failing to conduct certain required analyses. In January 2026, the KDHE submitted a supplemental SIP revision to the EPA addressing those deficiencies, including analyses of Evergy's La Cygne Station, and determined no additional requirements should be necessary for any Kansas emission source.</w:t>
      </w:r>
    </w:p>
    <w:p>
      <w:pPr>
        <w:spacing w:after="0" w:line="1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March 2025, the EPA announced plans to restructure the Regional Haze Program and in October 2025, the EPA published a Notice of Proposed Advanced Rulemaking requesting comments to assist in the development of regulatory changes to the current Regional Haze Program. In December 2025, the EPA issued a final rule extending the SIP revision deadline for the third ten-year implementation period from July 2028 to July 2031. Due to uncertainty regarding the status of the Regional Haze Program and when or if a Kansas or Missouri SIP or FIP is finalized, the overall costs of implementing the rules could be material to the Evergy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2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Burning fossil fuels releases carbon dioxide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and other greenhouse gases (GHG). Various regulations under the CAA limit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and other GHG emissions. In 2015, the EPA established new GHG emission standards for fossil-fuel fired EGUs under the CAA. In April 2024, the EPA finalized new GHG emission guidelines that set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emission limitations for new and existing fossil-fuel EGUs. In June 2025, the EPA published a proposed rule to repeal both the 2015 GHG emission standards and the April 2024 GHG emission standards. In the same June 2025 proposed rule, the EPA included an alternative proposal to repeal the most burdensome requirements of the 2024 rule including the elimination of carbon capture and sequestration (CCS). In February 2026, the EPA issued a final rule rescinding the 2009 GHG Endangerment Finding (Endangerment Finding). The Endangerment Finding applies to GHG emissions from new motor vehicles and also provides justification for declaring GHG emissions as a threat to public health and welfare, thereby establishing the basis for regulating GHG emission under the CAA. The rescission of the Endangerment Finding may be used in future rulemaking by the EPA to justify discontinuing the regulation of GHG emissions from the power sector. Due to uncertainty regarding when each of these proposed rules will be finalized, and the ongoing potential for judicial review, the Evergy Companies are unable to accurately assess the impacts on their operations or consolidated financial results, but the cost to comply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Coal Combustion Residuals (CCRs)</w:t>
      </w:r>
    </w:p>
    <w:p>
      <w:pPr>
        <w:spacing w:after="0" w:line="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the regulations that apply to CCRs, and in January 2026, finalized a rulemaking extending deadlines for compliance with various aspects of the CCR legacy rule. In April 2026, the EPA released a second proposed update to the CCR regulations which requests comment on a number of modifications, including, rescinding the CCR management unit requirements, providing a site-specific approach to CCR unit closure and groundwater monitoring and clarifying the allowed uses of CCR in beneficial uses. It is expected that the EPA will finalize this regulation in late 2026. The Evergy Companies are reviewing this proposal and cannot predict the contents of the final rulemaking.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Evergy Companies have recorded asset retirement obligations (AROs) for their current estimates for the closure of ash disposal ponds, landfills and other historical placements of CCR. The revision of these AROs may be required in the future due to information collected in the CCR legacy rule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Montrose Station CCRs</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The cases are at preliminary stages and Evergy and Evergy Metro are unable to assess the outcome or reasonably estimate any possible damages with respect to the claims. However, Evergy and Evergy Metro believe the claims are without merit and intend to vigorously defend themselves.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Nuclear Antitrust Class Action</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operates Wolf Creek, a nuclear facility in Kansas. Evergy indirectly owns 94% of Wolf Creek, with Evergy Kansas Central and Evergy Metro each owning 47% of the nuclear facility. This case is at a preliminary stage and the Evergy Companies are unable to assess the outcome or reasonably estimate any possible damages with respect to the claims.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RELATED PARTY TRANSACTIONS AND RELATIONSHIPS</w:t>
      </w:r>
    </w:p>
    <w:p>
      <w:pPr>
        <w:spacing w:after="0" w:line="1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In addition, Evergy Kansas Central and Evergy Missouri West are currently engaged in the construction of jointly-owned generation facilities. A summary of these related party transactions and the amounts associated with them is provided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2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53" w:lineRule="auto"/>
        <w:rPr>
          <w:sz w:val="20"/>
          <w:szCs w:val="20"/>
          <w:color w:val="auto"/>
        </w:rPr>
      </w:pPr>
      <w:r>
        <w:rPr>
          <w:rFonts w:ascii="Times New Roman" w:cs="Times New Roman" w:eastAsia="Times New Roman" w:hAnsi="Times New Roman"/>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8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The operating expenses and capital costs, including construction of new generating facilities, billed for jointly-owned plants and billings for shared services are detailed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6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6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color w:val="auto"/>
              </w:rPr>
              <w:t>(millions)</w:t>
            </w:r>
          </w:p>
        </w:tc>
        <w:tc>
          <w:tcPr>
            <w:tcW w:w="1040" w:type="dxa"/>
            <w:vAlign w:val="bottom"/>
          </w:tcPr>
          <w:p>
            <w:pPr>
              <w:spacing w:after="0"/>
              <w:rPr>
                <w:sz w:val="17"/>
                <w:szCs w:val="17"/>
                <w:color w:val="auto"/>
              </w:rPr>
            </w:pPr>
          </w:p>
        </w:tc>
      </w:tr>
      <w:tr>
        <w:trPr>
          <w:trHeight w:val="23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2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79.9</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242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6"/>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2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9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9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2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(payable to) Evergy Metro</w:t>
            </w:r>
          </w:p>
        </w:tc>
        <w:tc>
          <w:tcPr>
            <w:tcW w:w="2120" w:type="dxa"/>
            <w:vAlign w:val="bottom"/>
          </w:tcPr>
          <w:p>
            <w:pPr>
              <w:spacing w:after="0"/>
              <w:rPr>
                <w:sz w:val="19"/>
                <w:szCs w:val="19"/>
                <w:color w:val="auto"/>
              </w:rPr>
            </w:pPr>
          </w:p>
        </w:tc>
        <w:tc>
          <w:tcPr>
            <w:tcW w:w="142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tcPr>
          <w:p>
            <w:pPr>
              <w:spacing w:after="0"/>
              <w:rPr>
                <w:sz w:val="19"/>
                <w:szCs w:val="19"/>
                <w:color w:val="auto"/>
              </w:rPr>
            </w:pPr>
          </w:p>
        </w:tc>
        <w:tc>
          <w:tcPr>
            <w:tcW w:w="1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rPr>
              <w:t>36.1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34.6</w:t>
            </w:r>
          </w:p>
        </w:tc>
      </w:tr>
      <w:tr>
        <w:trPr>
          <w:trHeight w:val="257"/>
        </w:trPr>
        <w:tc>
          <w:tcPr>
            <w:tcW w:w="59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(payable to) Evergy Kansas Central</w:t>
            </w:r>
          </w:p>
        </w:tc>
        <w:tc>
          <w:tcPr>
            <w:tcW w:w="2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rPr>
              <w:t>26.8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(10.6)</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left="731"/>
              <w:spacing w:after="0"/>
              <w:rPr>
                <w:sz w:val="20"/>
                <w:szCs w:val="20"/>
                <w:color w:val="auto"/>
              </w:rPr>
            </w:pPr>
            <w:r>
              <w:rPr>
                <w:rFonts w:ascii="Times New Roman" w:cs="Times New Roman" w:eastAsia="Times New Roman" w:hAnsi="Times New Roman"/>
                <w:sz w:val="18"/>
                <w:szCs w:val="18"/>
                <w:color w:val="auto"/>
              </w:rPr>
              <w:t>93.8</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96.2</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26"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6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As of March 31, 2026 and December 31, 2025, Evergy Kansas Central and Evergy Metro had no outstanding receivables or payables under the money pool.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payable to Evergy.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6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0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3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6"/>
        </w:trPr>
        <w:tc>
          <w:tcPr>
            <w:tcW w:w="50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6"/>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3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SHAREHOLDERS'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Program</w:t>
      </w:r>
    </w:p>
    <w:p>
      <w:pPr>
        <w:spacing w:after="0" w:line="2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In May 2025, Evergy entered into an equity distribution agreement, pursuant to which Evergy may sell, from time to time, up to an aggregate of $1.2 billion of its common stock through an ATM Program, which may utilize forward sales agreements. Evergy subsequently entered into forward sale agreements under the ATM program and as of March 31, 2026, the ATM Program had approximately $1.1 billion of common stock available for issuance.</w:t>
      </w:r>
    </w:p>
    <w:p>
      <w:pPr>
        <w:spacing w:after="0" w:line="19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The forward sale agreements outstanding as of March 31, 2026, can be settled at Evergy’s discretion on or prior to dates ranging from March 2027 to October 2027. On a settlement date or dates, if Evergy elects to physically settle a forward sale agreement, Evergy will issue shares of common stock to the counterparties at the then-applicable forward sale price. The initial forward sale price for the outstanding agreements ranged from $71.29 to $73.34, with a weighted average initial forward sale price of $72.50. The initial forward sale price is subject to adjustment on a daily basis based on an interest rate factor and decreased on certain dates by predetermined amounts to reflect expected dividend payments. The forward sale agreements will be physically settled unless Evergy elects to settle in cash or to net share settle. At March 31, 2026, Evergy could have settled the forward sale agreements with physical delivery of 1.7 million shares of common stock to the respective counterparties in exchange for cash of $123.3 million. Alternatively, the forward sale agreements could have also been settled at March 31, 2026, with delivery of approximately $15.9 million of cash or approximately 0.2 million shares of common stock to the counterparties, if Evergy elected net cash or net share settlement, respectively.</w:t>
      </w:r>
    </w:p>
    <w:p>
      <w:pPr>
        <w:spacing w:after="0" w:line="19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Evergy has not received any proceeds related to the outstanding forward sale agreements. The forward sale agreements have been classified as equity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effective income tax rates reflected in the financial statements are included in the following 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3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7"/>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88"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20"/>
          <w:szCs w:val="20"/>
          <w:color w:val="auto"/>
        </w:rPr>
        <w:t>Evergy's effective income tax rate decreased for the three months ended March 31, 2026, compared to the same period in 2025, primarily due to higher energy production and other income tax credits in addition to an increase in stock compensation deductible for tax purposes.</w:t>
      </w:r>
    </w:p>
    <w:p>
      <w:pPr>
        <w:spacing w:after="0" w:line="14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Evergy Kansas Central's effective income tax rate decreased for the three months ended March 31, 2026, compared to the same period in 2025, primarily due to higher energy production tax credits and an increase in equity allowance for funds used during construction (AFUDC) not includible in taxable income.</w:t>
      </w:r>
    </w:p>
    <w:p>
      <w:pPr>
        <w:spacing w:after="0" w:line="161"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auto"/>
        </w:rPr>
        <w:t>Evergy Metro's effective income tax rate decreased for the three months ended March 31, 2026, compared to the same period in 2025, primarily due to an increase in stock compensation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INFORMATION</w:t>
      </w:r>
    </w:p>
    <w:p>
      <w:pPr>
        <w:spacing w:after="0" w:line="1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8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1,443.7</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360.0</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Operations and customer</w:t>
            </w:r>
          </w:p>
        </w:tc>
        <w:tc>
          <w:tcPr>
            <w:tcW w:w="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segment items, including benefit costs</w:t>
            </w:r>
            <w:r>
              <w:rPr>
                <w:rFonts w:ascii="Times New Roman" w:cs="Times New Roman" w:eastAsia="Times New Roman" w:hAnsi="Times New Roman"/>
                <w:sz w:val="10"/>
                <w:szCs w:val="10"/>
                <w:color w:val="auto"/>
              </w:rPr>
              <w:t>(a)</w:t>
            </w:r>
          </w:p>
        </w:tc>
        <w:tc>
          <w:tcPr>
            <w:tcW w:w="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305.3</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107.2</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174.5</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151.5</w:t>
            </w: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67" w:lineRule="exact"/>
        <w:rPr>
          <w:sz w:val="20"/>
          <w:szCs w:val="20"/>
          <w:color w:val="auto"/>
        </w:rPr>
      </w:pPr>
    </w:p>
    <w:p>
      <w:pPr>
        <w:ind w:left="180" w:right="240" w:hanging="172"/>
        <w:spacing w:after="0" w:line="225" w:lineRule="auto"/>
        <w:tabs>
          <w:tab w:leader="none" w:pos="17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items include benefits expense associated with Operations, Customer and Support employees, regulatory amortization expense, expense associated with energy efficiency programs and credit loss expense, among other items.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2025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20"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46" w:lineRule="exact"/>
        <w:rPr>
          <w:sz w:val="20"/>
          <w:szCs w:val="20"/>
          <w:color w:val="auto"/>
        </w:rPr>
      </w:pPr>
    </w:p>
    <w:p>
      <w:pPr>
        <w:ind w:left="660" w:right="140" w:hanging="328"/>
        <w:spacing w:after="0" w:line="28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21"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6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Metro's 2026 Rate Case Proceeding</w:t>
      </w:r>
    </w:p>
    <w:p>
      <w:pPr>
        <w:spacing w:after="0" w:line="3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An evidentiary hearing in the case is scheduled to occur in October 2026 and new rates are expected to be effective in January 2027.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Large Load Customers</w:t>
      </w:r>
    </w:p>
    <w:p>
      <w:pPr>
        <w:spacing w:after="0" w:line="2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In the first quarter of 2026, the Evergy Companies signed ESAs with multiple large load customers to serve data centers with a projected peak steady state load of approximately 2,500 MWs. The ESAs relate to three new projects and the expansion of two separate projects previously announced. The ESAs' terms reflect the applicable provisions of the Evergy Companies’ LLPS rate plans. The service of these large load customers, inclusive of an optional transitional load period not to exceed five years, has commenced or is expected to commence at dates ranging from 2026 to 2028.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Repurchases</w:t>
      </w:r>
    </w:p>
    <w:p>
      <w:pPr>
        <w:spacing w:after="0" w:line="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In January and February 2026, Evergy, Inc. repurchased $244.1 million aggregate principal amount of its $1.4 billion aggregate principal amount of Convertible Notes, under separate, privately negotiated repurchase agreements with certain holders of its Convertible Notes, for a total repurchase cost (including fees and excluding accrued and unpaid interest) of $309.5 million. After these January and February 2026 repurchases, $1,155.9 million aggregate principal amount of Convertible Notes remain outstanding as of March 31, 2026. See "Convertible Notes" in Note 7 to the consolidated financial statements for additional information regarding Evergy, Inc.'s repurchase of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w:t>
      </w:r>
    </w:p>
    <w:p>
      <w:pPr>
        <w:spacing w:after="0" w:line="26"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20"/>
          <w:szCs w:val="20"/>
          <w:color w:val="auto"/>
        </w:rPr>
        <w:t>Wolf Creek's most recent refueling outage began in October 2025 and the unit returned to service in November 2025. Wolf Creek's next refueling outage is planned to begin in the spring of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EPS.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52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40" w:type="dxa"/>
            <w:vAlign w:val="bottom"/>
            <w:gridSpan w:val="5"/>
          </w:tcPr>
          <w:p>
            <w:pPr>
              <w:jc w:val="right"/>
              <w:ind w:right="510"/>
              <w:spacing w:after="0"/>
              <w:rPr>
                <w:sz w:val="20"/>
                <w:szCs w:val="20"/>
                <w:color w:val="auto"/>
              </w:rPr>
            </w:pPr>
            <w:r>
              <w:rPr>
                <w:rFonts w:ascii="Times New Roman" w:cs="Times New Roman" w:eastAsia="Times New Roman" w:hAnsi="Times New Roman"/>
                <w:sz w:val="16"/>
                <w:szCs w:val="16"/>
                <w:color w:val="auto"/>
              </w:rPr>
              <w:t>(millions, except per share amounts)</w:t>
            </w:r>
          </w:p>
        </w:tc>
      </w:tr>
      <w:tr>
        <w:trPr>
          <w:trHeight w:val="23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7"/>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0.64</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r>
    </w:tbl>
    <w:p>
      <w:pPr>
        <w:spacing w:after="0" w:line="2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increased for the three months ended March 31, 2026, compared to the same period in 2025, primarily due to new Evergy Kansas Central retail rates effective in October 2025, higher non-regulated energy marketing revenue, higher equity AFUDC and corporate-owned life insurance (COLI) proceeds and lower income tax expense; partially offset by higher depreciation, interest and operating and maintenance expense.</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Diluted EPS increased for the three months ended March 31, 2026, compared to the same period in 2025, primarily due to the increase in net income attributable to Evergy, Inc. discussed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12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2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March 31, 2026, were $161.8 million or $0.69 per share. For the three months ended March 31, 2025, Evergy's adjusted earnings (non-GAAP) and adjusted EPS (non-GAAP) were recast to conform to the current year calculation of adjusted earnings (non-GAAP) and adjusted EPS (non-GAAP), resulting in adjusted earnings (non-GAAP) and adjusted EPS (non-GAAP) of $127.8 million or $0.55 per share.</w:t>
      </w:r>
    </w:p>
    <w:p>
      <w:pPr>
        <w:spacing w:after="0" w:line="186"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6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losses from the repurchase of a portion of Evergy's Convertible Notes; and</w:t>
      </w:r>
    </w:p>
    <w:p>
      <w:pPr>
        <w:spacing w:after="0" w:line="121"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5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gains and losses from non-regulated investments in early-stage clean energy and energy solution companies and costs related to the disposal of these investments.</w:t>
      </w:r>
    </w:p>
    <w:p>
      <w:pPr>
        <w:spacing w:after="0" w:line="6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The following table provides a reconciliation between net income attributable to Evergy, Inc. and diluted EPS as determined in accordance with GAAP and adjusted earnings (non-GAAP) and adjusted EPS (non-GAAP),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per</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 per</w:t>
            </w: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Losses from the repurchase of convertible notes, pre-tax</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648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 companies,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pre-tax</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127.8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40" w:hanging="172"/>
        <w:spacing w:after="0" w:line="225" w:lineRule="auto"/>
        <w:tabs>
          <w:tab w:leader="none" w:pos="17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losses and fees of $10.3 million related to Evergy's repurchase of $244.1 million aggregate principal amount of its Convertible Notes in the first quarter 2026 that are included in interest expense on the consolidated statements of comprehensive income.</w:t>
      </w:r>
    </w:p>
    <w:p>
      <w:pPr>
        <w:ind w:left="180" w:right="100" w:hanging="172"/>
        <w:spacing w:after="0" w:line="253"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unrealized gains of $0.2 million and unrealized losses of $3.6 million for the three months ended March 31, 2026 and 2025, respectively, from non-regulated investments in early-stage clean energy and energy solution companies that are included in investment earnings on the consolidated statements of comprehensive income and $0.6 million for the three months ended March 31, 2026, of costs related to the disposal of these investments that are included in operating and maintenance expense on the consolidated statements of comprehensive income. Adjustments for the three months ended March 31, 2025, have been recast to conform to the current year calculation of adjusted earnings (non-GAAP) and adjusted EPS (non-GAAP) that exclude these amounts. Evergy is in the process of disposing these investments.</w:t>
      </w:r>
    </w:p>
    <w:p>
      <w:pPr>
        <w:spacing w:after="0" w:line="2" w:lineRule="exact"/>
        <w:rPr>
          <w:rFonts w:ascii="Times New Roman" w:cs="Times New Roman" w:eastAsia="Times New Roman" w:hAnsi="Times New Roman"/>
          <w:sz w:val="20"/>
          <w:szCs w:val="20"/>
          <w:color w:val="auto"/>
          <w:vertAlign w:val="superscript"/>
        </w:rPr>
      </w:pPr>
    </w:p>
    <w:p>
      <w:pPr>
        <w:ind w:left="160" w:hanging="152"/>
        <w:spacing w:after="0" w:line="211" w:lineRule="auto"/>
        <w:tabs>
          <w:tab w:leader="none" w:pos="16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 with the exception of certain non-deductible items.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10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243.2</w:t>
            </w: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20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(millions)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w w:val="9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4,507</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2,073</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1,094.5</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10,421</w:t>
            </w:r>
          </w:p>
        </w:tc>
        <w:tc>
          <w:tcPr>
            <w:tcW w:w="11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3,163</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1,443.7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13,584</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34.5</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974.1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922.8</w:t>
            </w: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200" w:hanging="161"/>
        <w:spacing w:after="0" w:line="210" w:lineRule="auto"/>
        <w:tabs>
          <w:tab w:leader="none" w:pos="15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$110.6 million and $102.9 million for the three months ended March 31, 2026 and 2025, respectively.</w:t>
      </w:r>
    </w:p>
    <w:p>
      <w:pPr>
        <w:spacing w:after="0" w:line="228"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20"/>
          <w:szCs w:val="20"/>
          <w:color w:val="auto"/>
        </w:rPr>
        <w:t>Evergy's gross margin (GAAP) increased $34.5 million for the three months ended March 31, 2026, compared to the same period in 2025 and Evergy's utility gross margin (non-GAAP) increased $51.3 million for the three months ended March 31, 2026, compared to the same period in 2025, both measures were driven by:</w:t>
      </w:r>
    </w:p>
    <w:p>
      <w:pPr>
        <w:spacing w:after="0" w:line="73" w:lineRule="exact"/>
        <w:rPr>
          <w:sz w:val="20"/>
          <w:szCs w:val="20"/>
          <w:color w:val="auto"/>
        </w:rPr>
      </w:pPr>
    </w:p>
    <w:p>
      <w:pPr>
        <w:ind w:left="641" w:hanging="308"/>
        <w:spacing w:after="0"/>
        <w:tabs>
          <w:tab w:leader="none" w:pos="6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$40.0 million increase from new Evergy Kansas Central retail rates effective in October 2025; and</w:t>
      </w:r>
    </w:p>
    <w:p>
      <w:pPr>
        <w:spacing w:after="0" w:line="107"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$16.6 million increase in revenue related to non-regulated energy marketing activity at Evergy Kansas Central; partially offset by</w:t>
      </w:r>
    </w:p>
    <w:p>
      <w:pPr>
        <w:spacing w:after="0" w:line="121" w:lineRule="exact"/>
        <w:rPr>
          <w:rFonts w:ascii="Times New Roman" w:cs="Times New Roman" w:eastAsia="Times New Roman" w:hAnsi="Times New Roman"/>
          <w:sz w:val="20"/>
          <w:szCs w:val="20"/>
          <w:color w:val="auto"/>
        </w:rPr>
      </w:pPr>
    </w:p>
    <w:p>
      <w:pPr>
        <w:ind w:left="661" w:right="460" w:hanging="328"/>
        <w:spacing w:after="0" w:line="283" w:lineRule="auto"/>
        <w:tabs>
          <w:tab w:leader="none" w:pos="64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 million decrease primarily due to unfavorable weather (heating degree days decreased by 20%); partially offset by higher weather-normalized demand.</w:t>
      </w:r>
    </w:p>
    <w:p>
      <w:pPr>
        <w:spacing w:after="0" w:line="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increase in Evergy's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$17.2 million increase in depreciation and amortization as further described below; and</w:t>
      </w:r>
    </w:p>
    <w:p>
      <w:pPr>
        <w:spacing w:after="0" w:line="107" w:lineRule="exact"/>
        <w:rPr>
          <w:rFonts w:ascii="Times New Roman" w:cs="Times New Roman" w:eastAsia="Times New Roman" w:hAnsi="Times New Roman"/>
          <w:sz w:val="20"/>
          <w:szCs w:val="20"/>
          <w:color w:val="auto"/>
        </w:rPr>
      </w:pPr>
    </w:p>
    <w:p>
      <w:pPr>
        <w:ind w:left="661" w:right="100" w:hanging="328"/>
        <w:spacing w:after="0" w:line="268"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 million increase in operating and maintenance expenses which are determined to be directly attributable to revenue producing activities primarily driven by a $2.4 million increase in transmission and distribution operating and maintenance expense as further described below; partially offset by</w:t>
      </w:r>
    </w:p>
    <w:p>
      <w:pPr>
        <w:spacing w:after="0" w:line="5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 million decrease in taxes other than income tax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3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Evergy's operating and maintenance expense increased $11.2 million for the three months ended March 31, 2026, compared to the same period in 2025, primarily driven by:</w:t>
      </w:r>
    </w:p>
    <w:p>
      <w:pPr>
        <w:spacing w:after="0" w:line="80" w:lineRule="exact"/>
        <w:rPr>
          <w:sz w:val="20"/>
          <w:szCs w:val="20"/>
          <w:color w:val="auto"/>
        </w:rPr>
      </w:pPr>
    </w:p>
    <w:p>
      <w:pPr>
        <w:ind w:left="660" w:right="60" w:hanging="328"/>
        <w:spacing w:after="0" w:line="269"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$6.7 million increase in general and administrative labor and employee benefits expense, primarily due to higher medical claims; and</w:t>
      </w:r>
    </w:p>
    <w:p>
      <w:pPr>
        <w:spacing w:after="0" w:line="64"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 million increase in transmission and distribution operating and maintenance expenses primarily at Evergy Kansas Central primarily due to a $3.1 million increase in non-labor expense including higher contractor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depreciation and amortization expense increased $17.2 million for the three months ended March 31, 2026, compared to the same period in 2025, primarily due to capital additions.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Evergy's taxes other than income tax decreased $3.9 million for the three months ended March 31, 2026, compared to the same period in 2025, primarily driven by a decrease in Evergy Kansas Central's 2026 amortization of the Kansas property tax rider.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2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Evergy's other expense, net for the three months ended March 31, 2025, became other income, net for the three months ended March 31, 2026, as a result of a $14.7 million increase in net other income items, primarily driven by:</w:t>
      </w:r>
    </w:p>
    <w:p>
      <w:pPr>
        <w:spacing w:after="0" w:line="74" w:lineRule="exact"/>
        <w:rPr>
          <w:sz w:val="20"/>
          <w:szCs w:val="20"/>
          <w:color w:val="auto"/>
        </w:rPr>
      </w:pPr>
    </w:p>
    <w:p>
      <w:pPr>
        <w:ind w:left="660" w:right="28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$7.9 million increase in equity AFUDC primarily at Evergy Kansas Central and Evergy Missouri West primarily due to higher average construction work in progress (CWIP) balances in 2026;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$6.4 million increase due to higher Evergy Kansas Central COLI benefits in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$22.0 million for the three months ended March 31, 2026, compared to the same period in 2025, primarily driven by:</w:t>
      </w:r>
    </w:p>
    <w:p>
      <w:pPr>
        <w:spacing w:after="0" w:line="8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$18.9 million increase due to issuances of long-term debt;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$10.3 million increase related to Evergy's repurchase of a portion of its Convertible Notes in 2026; and</w:t>
      </w:r>
    </w:p>
    <w:p>
      <w:pPr>
        <w:spacing w:after="0" w:line="107" w:lineRule="exact"/>
        <w:rPr>
          <w:rFonts w:ascii="Times New Roman" w:cs="Times New Roman" w:eastAsia="Times New Roman" w:hAnsi="Times New Roman"/>
          <w:sz w:val="20"/>
          <w:szCs w:val="20"/>
          <w:color w:val="auto"/>
        </w:rPr>
      </w:pPr>
    </w:p>
    <w:p>
      <w:pPr>
        <w:ind w:left="660" w:right="44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 million increase in interest expense on short-term borrowings primarily due to higher short-term debt balances in 2026; partially offset by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$6.9 million decrease due to the repayment of long-term debt;</w:t>
      </w:r>
    </w:p>
    <w:p>
      <w:pPr>
        <w:spacing w:after="0" w:line="121"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 million decrease due to higher debt AFUDC primarily at Evergy Missouri West driven by higher average CWIP balances in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3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Evergy's income tax expense decreased $6.2 million for the three months ended March 31, 2026, compared to the same period in 2025, primarily driven by a $4.0 million decrease related to higher energy production and other income tax credits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debt, equity and hybrid security issuances and its existing cash and cash equivalents to fund its capital requirements. Evergy's capital requirements primarily consist of capital expenditures, payment of contractual obligations and other commitments, and the payment of dividends to shareholders. Evergy expects cash flows to be sufficient to meet existing short-term capital requirements. See the Evergy Companies' combined 2025 Form 10-K for more information on Evergy's sources and uses of cash.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3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As of March 31, 2026, Evergy had $968.8 million of available borrowing capacity under its master credit facility. The available borrowing capacity under the master credit facility consisted of $393.9 million for Evergy, Inc., $308.0 million for Evergy Kansas Central, $199.2 million for Evergy Metro and $67.7 million for Evergy Missouri West. The Evergy Companies' borrowing capacity under the master credit facility also supports their issuance of commercial paper. See Note 6 to the consolidated financial statements for more information regarding the master credit facility.</w:t>
      </w:r>
    </w:p>
    <w:p>
      <w:pPr>
        <w:spacing w:after="0" w:line="19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January 2026, Evergy, Inc. entered into a $55.0 million unsecured Term Loan Credit Agreement with an expiration date in January 2027. In February 2026, Evergy, Inc. entered into a $500.0 million unsecured Term Loan Credit Agreement with an expiration date in February 2027. Evergy's borrowings under the $500.0 million unsecured Term Loan Credit Agreement were used for, among other things, the repayment in full of all borrowings under the $55.0 million Term Loan Credit Agreement and the partial repurchase of Evergy's Convertible Notes as further described in Note 7 to the consolidated financial statements.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May 2026, Evergy, Inc. entered into a Delayed Draw Term Loan Agreement in which lenders have committed to provide term loans in an aggregate principal amount of up to $1.0 billion, maturing in November 2027. If not fully utilized, the term loan commitments expire in August 2026. Evergy has not made any borrowings under the Delayed Draw Term Loan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7 to the consolidated financial statements for information regarding significant debt issuances.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5 to the consolidated financial statements for information regarding Evergy's pension and post-retirement plan contributions.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Program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Evergy's ATM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6"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As of March 31, 2026, Evergy was in compliance with all debt covenants under the master credit facility and certain debt instruments that contain restrictions that require the maintenance of certain capitalization and leverage ratios. See Note 6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362.5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449.6</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(756.6)</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(598.9)</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400.7</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171.6</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Evergy's cash flows from operating activities decreased $87.1 million for the three months ended March 31, 2026, compared to the same period in 2025, primarily driven by decreased collections from customers related to a February 2021 winter weather event and an increase in fuel inventory, primarily driven by coal purchases.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Evergy's cash flows used in investing activities increased $157.7 million for the three months ended March 31, 2026, compared to the same period in 2025, primarily driven by:</w:t>
      </w:r>
    </w:p>
    <w:p>
      <w:pPr>
        <w:spacing w:after="0" w:line="80" w:lineRule="exact"/>
        <w:rPr>
          <w:sz w:val="20"/>
          <w:szCs w:val="20"/>
          <w:color w:val="auto"/>
        </w:rPr>
      </w:pPr>
    </w:p>
    <w:p>
      <w:pPr>
        <w:ind w:left="660" w:right="32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$259.1 million increase in additions to property, plant and equipment, due to increased spending for a variety of capital projects, including construction of new generating facilities; partially offset by</w:t>
      </w:r>
    </w:p>
    <w:p>
      <w:pPr>
        <w:spacing w:after="0" w:line="64"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$48.9 million increase in proceeds from COLI investments, primarily at Evergy Kansas Central due to higher policy settlements in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26"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0"/>
          <w:szCs w:val="20"/>
          <w:color w:val="auto"/>
        </w:rPr>
        <w:t>Evergy's cash flows from financing activities increased $229.1 million for the three months ended March 31, 2026, compared to the same period in 2025, primarily driven by:</w:t>
      </w:r>
    </w:p>
    <w:p>
      <w:pPr>
        <w:spacing w:after="0" w:line="87"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$500.0 million increase due to proceeds from term loans, net of repayments, executed in 2026; and</w:t>
      </w:r>
    </w:p>
    <w:p>
      <w:pPr>
        <w:spacing w:after="0" w:line="121"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$330.3 million increase in short-term debt primarily driven by higher repayment of short-term debt in 2025 with proceeds from long-term debt ; partially offset by</w:t>
      </w:r>
    </w:p>
    <w:p>
      <w:pPr>
        <w:spacing w:after="0" w:line="64" w:lineRule="exact"/>
        <w:rPr>
          <w:rFonts w:ascii="Times New Roman" w:cs="Times New Roman" w:eastAsia="Times New Roman" w:hAnsi="Times New Roman"/>
          <w:sz w:val="20"/>
          <w:szCs w:val="20"/>
          <w:color w:val="auto"/>
        </w:rPr>
      </w:pPr>
    </w:p>
    <w:p>
      <w:pPr>
        <w:ind w:left="660" w:right="180" w:hanging="328"/>
        <w:spacing w:after="0" w:line="295" w:lineRule="auto"/>
        <w:tabs>
          <w:tab w:leader="none" w:pos="64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$246.2 million decrease in proceeds from long-term debt, net due to the issuance of $594.2 million of long-term debt for the three months ended March 31, 2025, compared to the issuance of $348.0 million of long-term debt for the same period in 2026; and</w:t>
      </w:r>
    </w:p>
    <w:p>
      <w:pPr>
        <w:spacing w:after="0" w:line="43" w:lineRule="exact"/>
        <w:rPr>
          <w:rFonts w:ascii="Times New Roman" w:cs="Times New Roman" w:eastAsia="Times New Roman" w:hAnsi="Times New Roman"/>
          <w:sz w:val="19"/>
          <w:szCs w:val="19"/>
          <w:color w:val="auto"/>
        </w:rPr>
      </w:pPr>
    </w:p>
    <w:p>
      <w:pPr>
        <w:ind w:left="660" w:right="220" w:hanging="328"/>
        <w:spacing w:after="0" w:line="28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$309.5 million decrease due to retirements of long-term debt driven by Evergy's repurchase of $244.1 million aggregate principal amount of the Convertible Notes in 2026.</w:t>
      </w:r>
    </w:p>
    <w:p>
      <w:pPr>
        <w:spacing w:after="0" w:line="14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130.7</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120.9</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5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w w:val="9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1,488</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188.5</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1,721</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520.3</w:t>
            </w: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4,521</w:t>
            </w:r>
          </w:p>
        </w:tc>
        <w:tc>
          <w:tcPr>
            <w:tcW w:w="11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2,197</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6,718</w:t>
            </w: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261.7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486.2</w:t>
            </w: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26" w:lineRule="auto"/>
        <w:tabs>
          <w:tab w:leader="none" w:pos="142"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$60.0 million and $52.8 million for the three months ended March 31, 2026 and 2025, respectively.</w:t>
      </w:r>
    </w:p>
    <w:p>
      <w:pPr>
        <w:spacing w:after="0" w:line="189" w:lineRule="exact"/>
        <w:rPr>
          <w:sz w:val="20"/>
          <w:szCs w:val="20"/>
          <w:color w:val="auto"/>
        </w:rPr>
      </w:pPr>
    </w:p>
    <w:p>
      <w:pPr>
        <w:ind w:left="1" w:right="80"/>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increased $35.1 million for the three months ended March 31, 2026, compared to the same period in 2025, and Evergy Kansas Central's utility gross margin (non-GAAP) increased $46.6 million for the three months ended March 31, 2026, compared to the same period in 2025, both measures were driven by:</w:t>
      </w:r>
    </w:p>
    <w:p>
      <w:pPr>
        <w:spacing w:after="0" w:line="73" w:lineRule="exact"/>
        <w:rPr>
          <w:sz w:val="20"/>
          <w:szCs w:val="20"/>
          <w:color w:val="auto"/>
        </w:rPr>
      </w:pPr>
    </w:p>
    <w:p>
      <w:pPr>
        <w:ind w:left="641" w:hanging="308"/>
        <w:spacing w:after="0"/>
        <w:tabs>
          <w:tab w:leader="none" w:pos="64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$40.0 million increase from new Evergy Kansas Central retail rates effective in October 2025; and</w:t>
      </w:r>
    </w:p>
    <w:p>
      <w:pPr>
        <w:spacing w:after="0" w:line="107"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$16.6 million increase in revenue related to non-regulated energy marketing activity; partially offset by</w:t>
      </w:r>
    </w:p>
    <w:p>
      <w:pPr>
        <w:spacing w:after="0" w:line="121" w:lineRule="exact"/>
        <w:rPr>
          <w:rFonts w:ascii="Times New Roman" w:cs="Times New Roman" w:eastAsia="Times New Roman" w:hAnsi="Times New Roman"/>
          <w:sz w:val="20"/>
          <w:szCs w:val="20"/>
          <w:color w:val="auto"/>
        </w:rPr>
      </w:pPr>
    </w:p>
    <w:p>
      <w:pPr>
        <w:ind w:left="661" w:right="620" w:hanging="328"/>
        <w:spacing w:after="0" w:line="283" w:lineRule="auto"/>
        <w:tabs>
          <w:tab w:leader="none" w:pos="64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$10.0 million decrease primarily due to unfavorable weather (heating degree days decreased 22%); partially offset by higher weather-normalized demand.</w:t>
      </w:r>
    </w:p>
    <w:p>
      <w:pPr>
        <w:spacing w:after="0" w:line="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increase in Evergy Kansas Central's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$10.9 million increase in depreciation and amortization as further described below; and</w:t>
      </w:r>
    </w:p>
    <w:p>
      <w:pPr>
        <w:spacing w:after="0" w:line="107" w:lineRule="exact"/>
        <w:rPr>
          <w:rFonts w:ascii="Times New Roman" w:cs="Times New Roman" w:eastAsia="Times New Roman" w:hAnsi="Times New Roman"/>
          <w:sz w:val="20"/>
          <w:szCs w:val="20"/>
          <w:color w:val="auto"/>
        </w:rPr>
      </w:pPr>
    </w:p>
    <w:p>
      <w:pPr>
        <w:ind w:left="661" w:right="100" w:hanging="328"/>
        <w:spacing w:after="0" w:line="268" w:lineRule="auto"/>
        <w:tabs>
          <w:tab w:leader="none" w:pos="64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$4.2 million increase in operating and maintenance expenses which are determined to be directly attributable to revenue producing activities driven by an increase in transmission and distribution operating and maintenance expense as further described below; partially offset by</w:t>
      </w:r>
    </w:p>
    <w:p>
      <w:pPr>
        <w:spacing w:after="0" w:line="53"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$3.6 million decrease in taxes other than income tax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 Kansas Central's operating and maintenance expense increased $11.4 million for the three months ended March 31, 2026, compared to the same period in 2025, primarily driven by:</w:t>
      </w:r>
    </w:p>
    <w:p>
      <w:pPr>
        <w:spacing w:after="0" w:line="80"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 million increase in general and administrative labor and employee benefits expense including higher medical claims; and</w:t>
      </w:r>
    </w:p>
    <w:p>
      <w:pPr>
        <w:spacing w:after="0" w:line="107" w:lineRule="exact"/>
        <w:rPr>
          <w:rFonts w:ascii="Times New Roman" w:cs="Times New Roman" w:eastAsia="Times New Roman" w:hAnsi="Times New Roman"/>
          <w:sz w:val="20"/>
          <w:szCs w:val="20"/>
          <w:color w:val="auto"/>
        </w:rPr>
      </w:pPr>
    </w:p>
    <w:p>
      <w:pPr>
        <w:ind w:left="660" w:right="460" w:hanging="328"/>
        <w:spacing w:after="0" w:line="283"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$4.2 million increase in transmission and distribution operating and maintenance expenses primarily driven by a $3.1 million increase in non-labor costs including higher contractor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26"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$10.9 million for the three months ended March 31, 2026, compared to the same period in 2025, primarily due to capital additions.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32"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20"/>
          <w:szCs w:val="20"/>
          <w:color w:val="auto"/>
        </w:rPr>
        <w:t>Evergy Kansas Central's taxes other than income tax decreased $3.6 million for the three months ended March 31, 2026, compared to the same period in 2025, primarily driven by a decrease in the 2026 amortization of the Kansas property tax rider.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Income, Net</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Kansas Central's other income, net increased $10.3 million for the three months ended March 31, 2026, compared to the same period in 2025, primarily driven by:</w:t>
      </w:r>
    </w:p>
    <w:p>
      <w:pPr>
        <w:spacing w:after="0" w:line="80"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$6.9 million increase due to recording higher COLI benefits in 2026;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 million increase in equity AFUDC driven by higher average CWIP balances in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Kansas Central's interest expense increased $4.9 million for the three months ended March 31, 2026, compared to the same period in 2025, primarily driven by:</w:t>
      </w:r>
    </w:p>
    <w:p>
      <w:pPr>
        <w:spacing w:after="0" w:line="80"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$9.9 million increase due to issuances of long-term debt; and</w:t>
      </w:r>
    </w:p>
    <w:p>
      <w:pPr>
        <w:spacing w:after="0" w:line="107" w:lineRule="exact"/>
        <w:rPr>
          <w:rFonts w:ascii="Times New Roman" w:cs="Times New Roman" w:eastAsia="Times New Roman" w:hAnsi="Times New Roman"/>
          <w:sz w:val="20"/>
          <w:szCs w:val="20"/>
          <w:color w:val="auto"/>
        </w:rPr>
      </w:pPr>
    </w:p>
    <w:p>
      <w:pPr>
        <w:ind w:left="660" w:right="82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 million increase due to decreases in carrying costs deferred to a regulatory asset in accordance with plant-in-service accounting (PISA); partially offset by</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$5.3 million decrease in interest expense on short-term borrowings primarily due to lower short-term debt balances in 2026;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 million decrease due to the repayment of long-term debt.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152.7</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right="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110"/>
              <w:spacing w:after="0"/>
              <w:rPr>
                <w:sz w:val="20"/>
                <w:szCs w:val="20"/>
                <w:color w:val="auto"/>
              </w:rPr>
            </w:pPr>
            <w:r>
              <w:rPr>
                <w:rFonts w:ascii="Times New Roman" w:cs="Times New Roman" w:eastAsia="Times New Roman" w:hAnsi="Times New Roman"/>
                <w:sz w:val="16"/>
                <w:szCs w:val="16"/>
                <w:color w:val="auto"/>
                <w:w w:val="98"/>
              </w:rPr>
              <w:t>(millions)</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w w:val="9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1,820</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18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30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357.1</w:t>
            </w: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3,618</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1,066</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6"/>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445.4</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4,684</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61" w:right="140" w:hanging="161"/>
        <w:spacing w:after="0" w:line="227" w:lineRule="auto"/>
        <w:tabs>
          <w:tab w:leader="none" w:pos="142"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$20.9 million and $19.2 million for the three months ended March 31, 2026 and 2025, respectively.</w:t>
      </w:r>
    </w:p>
    <w:p>
      <w:pPr>
        <w:spacing w:after="0" w:line="172" w:lineRule="exact"/>
        <w:rPr>
          <w:sz w:val="20"/>
          <w:szCs w:val="20"/>
          <w:color w:val="auto"/>
        </w:rPr>
      </w:pPr>
    </w:p>
    <w:p>
      <w:pPr>
        <w:ind w:left="1" w:right="14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decreased $0.1 million for the three months ended March 31, 2026, compared to the same period in 2025, and Evergy Metro's utility gross margin (non-GAAP) increased $2.8 million for the three months ended March 31, 2026, compared to the same period in 2025, both measures were driven by:</w:t>
      </w:r>
    </w:p>
    <w:p>
      <w:pPr>
        <w:spacing w:after="0" w:line="53" w:lineRule="exact"/>
        <w:rPr>
          <w:sz w:val="20"/>
          <w:szCs w:val="20"/>
          <w:color w:val="auto"/>
        </w:rPr>
      </w:pPr>
    </w:p>
    <w:p>
      <w:pPr>
        <w:ind w:left="661" w:right="460" w:hanging="328"/>
        <w:spacing w:after="0" w:line="283" w:lineRule="auto"/>
        <w:tabs>
          <w:tab w:leader="none" w:pos="64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 million increase primarily due to favorable weather-normalized demand and retail pricing; partially offset by unfavorable weather (heating degree days decreased 19%).</w:t>
      </w:r>
    </w:p>
    <w:p>
      <w:pPr>
        <w:spacing w:after="0" w:line="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Additionally, the decrease in Evergy Metro's gross margin (GAAP) was also impacted by:</w:t>
      </w:r>
    </w:p>
    <w:p>
      <w:pPr>
        <w:spacing w:after="0" w:line="121" w:lineRule="exact"/>
        <w:rPr>
          <w:sz w:val="20"/>
          <w:szCs w:val="20"/>
          <w:color w:val="auto"/>
        </w:rPr>
      </w:pPr>
    </w:p>
    <w:p>
      <w:pPr>
        <w:ind w:left="641" w:hanging="308"/>
        <w:spacing w:after="0"/>
        <w:tabs>
          <w:tab w:leader="none" w:pos="64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$3.5 million increase in depreciation and amortization as further described below; partially offset by</w:t>
      </w:r>
    </w:p>
    <w:p>
      <w:pPr>
        <w:spacing w:after="0" w:line="121"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$0.5 million decrease in taxes other than income tax; and</w:t>
      </w:r>
    </w:p>
    <w:p>
      <w:pPr>
        <w:spacing w:after="0" w:line="107" w:lineRule="exact"/>
        <w:rPr>
          <w:rFonts w:ascii="Times New Roman" w:cs="Times New Roman" w:eastAsia="Times New Roman" w:hAnsi="Times New Roman"/>
          <w:sz w:val="20"/>
          <w:szCs w:val="20"/>
          <w:color w:val="auto"/>
        </w:rPr>
      </w:pPr>
    </w:p>
    <w:p>
      <w:pPr>
        <w:ind w:left="661" w:right="80" w:hanging="328"/>
        <w:spacing w:after="0" w:line="283" w:lineRule="auto"/>
        <w:tabs>
          <w:tab w:leader="none" w:pos="64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$0.1 million decrease in operating and maintenance expenses which are determined to be directly attributable to revenue producing activities.</w:t>
      </w:r>
    </w:p>
    <w:p>
      <w:pPr>
        <w:spacing w:after="0" w:line="142"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Depreciation and Amortization</w:t>
      </w:r>
    </w:p>
    <w:p>
      <w:pPr>
        <w:spacing w:after="0" w:line="32" w:lineRule="exact"/>
        <w:rPr>
          <w:sz w:val="20"/>
          <w:szCs w:val="20"/>
          <w:color w:val="auto"/>
        </w:rPr>
      </w:pPr>
    </w:p>
    <w:p>
      <w:pPr>
        <w:ind w:left="1" w:right="260"/>
        <w:spacing w:after="0" w:line="253" w:lineRule="auto"/>
        <w:rPr>
          <w:sz w:val="20"/>
          <w:szCs w:val="20"/>
          <w:color w:val="auto"/>
        </w:rPr>
      </w:pPr>
      <w:r>
        <w:rPr>
          <w:rFonts w:ascii="Times New Roman" w:cs="Times New Roman" w:eastAsia="Times New Roman" w:hAnsi="Times New Roman"/>
          <w:sz w:val="20"/>
          <w:szCs w:val="20"/>
          <w:color w:val="auto"/>
        </w:rPr>
        <w:t>Evergy Metro's depreciation and amortization expense increased $3.5 million for the three months ended March 31, 2026, compared to the same period in 2025, primarily due to capital additions.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2025 Form 10-K and therefore are not represented here.</w:t>
      </w:r>
    </w:p>
    <w:p>
      <w:pPr>
        <w:spacing w:after="0" w:line="1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2025 Form 10-K. Evergy's exposure to market risk has not changed materially since December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March 31, 2026, that has materially affected, or is reasonably likely to materially affect, its internal control over financial reporting.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March 31, 2026,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March 31, 2026,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32" w:lineRule="exact"/>
        <w:rPr>
          <w:sz w:val="20"/>
          <w:szCs w:val="20"/>
          <w:color w:val="auto"/>
        </w:rPr>
      </w:pPr>
    </w:p>
    <w:p>
      <w:pPr>
        <w:jc w:val="both"/>
        <w:ind w:right="180"/>
        <w:spacing w:after="0" w:line="253"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2025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2025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ind w:left="33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940" w:type="dxa"/>
            <w:vAlign w:val="bottom"/>
          </w:tcPr>
          <w:p>
            <w:pPr>
              <w:jc w:val="center"/>
              <w:ind w:left="3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4"/>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200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auto"/>
            </w:tcBorders>
            <w:vMerge w:val="continue"/>
          </w:tcPr>
          <w:p>
            <w:pPr>
              <w:spacing w:after="0"/>
              <w:rPr>
                <w:sz w:val="19"/>
                <w:szCs w:val="19"/>
                <w:color w:val="auto"/>
              </w:rPr>
            </w:pPr>
          </w:p>
        </w:tc>
        <w:tc>
          <w:tcPr>
            <w:tcW w:w="27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27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392</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72.63</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2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680</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77.77</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27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89,592</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83.55</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90,664</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83.46</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Shareholder Meeting Results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annual meeting of shareholders was held on May 5, 2026. In accordance with the recommendations of the Board, the shareholders</w:t>
      </w:r>
    </w:p>
    <w:p>
      <w:pPr>
        <w:spacing w:after="0" w:line="13" w:lineRule="exact"/>
        <w:rPr>
          <w:sz w:val="20"/>
          <w:szCs w:val="20"/>
          <w:color w:val="auto"/>
        </w:rPr>
      </w:pPr>
    </w:p>
    <w:p>
      <w:pPr>
        <w:ind w:right="280" w:firstLine="8"/>
        <w:spacing w:after="0" w:line="253" w:lineRule="auto"/>
        <w:tabs>
          <w:tab w:leader="none" w:pos="23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elected twelve directors; (ii) approved, on an advisory and non-binding basis, the 2025 compensation of Evergy's named executive officers; and (iii) ratified the appointment of Deloitte &amp; Touche LLP as independent registered public accountants for 2026. The proposals voted upon at the annual meeting, as well as the voting results for each proposal are set forth below.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on the Proxy Card. </w:t>
      </w:r>
      <w:r>
        <w:rPr>
          <w:rFonts w:ascii="Times New Roman" w:cs="Times New Roman" w:eastAsia="Times New Roman" w:hAnsi="Times New Roman"/>
          <w:sz w:val="20"/>
          <w:szCs w:val="20"/>
          <w:color w:val="auto"/>
        </w:rPr>
        <w:t>The twelve persons named below were elected, as proposed in the proxy statement, to serve as directors until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annual meeting in 2026, and until their successors are elected and qualified. The voting regarding the election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80" w:type="dxa"/>
            <w:vAlign w:val="bottom"/>
          </w:tcPr>
          <w:p>
            <w:pPr>
              <w:spacing w:after="0"/>
              <w:rPr>
                <w:sz w:val="20"/>
                <w:szCs w:val="20"/>
                <w:color w:val="auto"/>
              </w:rPr>
            </w:pPr>
          </w:p>
        </w:tc>
      </w:tr>
      <w:tr>
        <w:trPr>
          <w:trHeight w:val="22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A. Campbell</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183,017,922</w:t>
            </w:r>
          </w:p>
        </w:tc>
        <w:tc>
          <w:tcPr>
            <w:tcW w:w="2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3,982,843</w:t>
            </w:r>
          </w:p>
        </w:tc>
        <w:tc>
          <w:tcPr>
            <w:tcW w:w="5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488,265</w:t>
            </w:r>
          </w:p>
        </w:tc>
        <w:tc>
          <w:tcPr>
            <w:tcW w:w="2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Borders>
              <w:top w:val="single" w:sz="8" w:color="CCEEFF"/>
            </w:tcBorders>
            <w:shd w:val="clear" w:color="auto" w:fill="CCEEFF"/>
          </w:tcPr>
          <w:p>
            <w:pPr>
              <w:spacing w:after="0"/>
              <w:rPr>
                <w:sz w:val="19"/>
                <w:szCs w:val="19"/>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Anthony Isaac</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182,550,874</w:t>
            </w:r>
          </w:p>
        </w:tc>
        <w:tc>
          <w:tcPr>
            <w:tcW w:w="280" w:type="dxa"/>
            <w:vAlign w:val="bottom"/>
          </w:tcPr>
          <w:p>
            <w:pPr>
              <w:spacing w:after="0"/>
              <w:rPr>
                <w:sz w:val="19"/>
                <w:szCs w:val="19"/>
                <w:color w:val="auto"/>
              </w:rPr>
            </w:pPr>
          </w:p>
        </w:tc>
        <w:tc>
          <w:tcPr>
            <w:tcW w:w="12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4,450,081</w:t>
            </w: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488,075</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19"/>
                <w:szCs w:val="19"/>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 Keglevic</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186,044,078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962,004</w:t>
            </w:r>
          </w:p>
        </w:tc>
        <w:tc>
          <w:tcPr>
            <w:tcW w:w="26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482,948</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shd w:val="clear" w:color="auto" w:fill="CCEEFF"/>
          </w:tcPr>
          <w:p>
            <w:pPr>
              <w:spacing w:after="0"/>
              <w:rPr>
                <w:sz w:val="19"/>
                <w:szCs w:val="19"/>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 Landrieu</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185,292,368</w:t>
            </w:r>
          </w:p>
        </w:tc>
        <w:tc>
          <w:tcPr>
            <w:tcW w:w="280" w:type="dxa"/>
            <w:vAlign w:val="bottom"/>
          </w:tcPr>
          <w:p>
            <w:pPr>
              <w:spacing w:after="0"/>
              <w:rPr>
                <w:sz w:val="19"/>
                <w:szCs w:val="19"/>
                <w:color w:val="auto"/>
              </w:rPr>
            </w:pPr>
          </w:p>
        </w:tc>
        <w:tc>
          <w:tcPr>
            <w:tcW w:w="12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1,726,976</w:t>
            </w: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469,686</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19"/>
                <w:szCs w:val="19"/>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Sandra A.J. Lawrence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181,048,878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5,975,478</w:t>
            </w:r>
          </w:p>
        </w:tc>
        <w:tc>
          <w:tcPr>
            <w:tcW w:w="26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464,674</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shd w:val="clear" w:color="auto" w:fill="CCEEFF"/>
          </w:tcPr>
          <w:p>
            <w:pPr>
              <w:spacing w:after="0"/>
              <w:rPr>
                <w:sz w:val="19"/>
                <w:szCs w:val="19"/>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D. Murtlow</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184,998,923</w:t>
            </w:r>
          </w:p>
        </w:tc>
        <w:tc>
          <w:tcPr>
            <w:tcW w:w="280" w:type="dxa"/>
            <w:vAlign w:val="bottom"/>
          </w:tcPr>
          <w:p>
            <w:pPr>
              <w:spacing w:after="0"/>
              <w:rPr>
                <w:sz w:val="19"/>
                <w:szCs w:val="19"/>
                <w:color w:val="auto"/>
              </w:rPr>
            </w:pPr>
          </w:p>
        </w:tc>
        <w:tc>
          <w:tcPr>
            <w:tcW w:w="12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1,980,526</w:t>
            </w: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509,581</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19"/>
                <w:szCs w:val="19"/>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Dean A. Newton</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186,367,187</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640,896</w:t>
            </w:r>
          </w:p>
        </w:tc>
        <w:tc>
          <w:tcPr>
            <w:tcW w:w="26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480,947</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shd w:val="clear" w:color="auto" w:fill="CCEEFF"/>
          </w:tcPr>
          <w:p>
            <w:pPr>
              <w:spacing w:after="0"/>
              <w:rPr>
                <w:sz w:val="19"/>
                <w:szCs w:val="19"/>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Sandra J. Price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184,326,375</w:t>
            </w:r>
          </w:p>
        </w:tc>
        <w:tc>
          <w:tcPr>
            <w:tcW w:w="280" w:type="dxa"/>
            <w:vAlign w:val="bottom"/>
          </w:tcPr>
          <w:p>
            <w:pPr>
              <w:spacing w:after="0"/>
              <w:rPr>
                <w:sz w:val="19"/>
                <w:szCs w:val="19"/>
                <w:color w:val="auto"/>
              </w:rPr>
            </w:pPr>
          </w:p>
        </w:tc>
        <w:tc>
          <w:tcPr>
            <w:tcW w:w="12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2,651,627</w:t>
            </w:r>
          </w:p>
        </w:tc>
        <w:tc>
          <w:tcPr>
            <w:tcW w:w="26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511,028</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19"/>
                <w:szCs w:val="19"/>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D. Rolph</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186,235,322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760,122</w:t>
            </w:r>
          </w:p>
        </w:tc>
        <w:tc>
          <w:tcPr>
            <w:tcW w:w="26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493,586</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shd w:val="clear" w:color="auto" w:fill="CCEEFF"/>
          </w:tcPr>
          <w:p>
            <w:pPr>
              <w:spacing w:after="0"/>
              <w:rPr>
                <w:sz w:val="19"/>
                <w:szCs w:val="19"/>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Scarola</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186,345,644</w:t>
            </w:r>
          </w:p>
        </w:tc>
        <w:tc>
          <w:tcPr>
            <w:tcW w:w="280" w:type="dxa"/>
            <w:vAlign w:val="bottom"/>
          </w:tcPr>
          <w:p>
            <w:pPr>
              <w:spacing w:after="0"/>
              <w:rPr>
                <w:sz w:val="19"/>
                <w:szCs w:val="19"/>
                <w:color w:val="auto"/>
              </w:rPr>
            </w:pP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656,316</w:t>
            </w: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487,070</w:t>
            </w:r>
          </w:p>
        </w:tc>
        <w:tc>
          <w:tcPr>
            <w:tcW w:w="2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19"/>
                <w:szCs w:val="19"/>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A. Sharma</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186,279,549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725,376</w:t>
            </w:r>
          </w:p>
        </w:tc>
        <w:tc>
          <w:tcPr>
            <w:tcW w:w="26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484,105</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shd w:val="clear" w:color="auto" w:fill="CCEEFF"/>
          </w:tcPr>
          <w:p>
            <w:pPr>
              <w:spacing w:after="0"/>
              <w:rPr>
                <w:sz w:val="19"/>
                <w:szCs w:val="19"/>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John Wilder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186,259,399</w:t>
            </w:r>
          </w:p>
        </w:tc>
        <w:tc>
          <w:tcPr>
            <w:tcW w:w="280" w:type="dxa"/>
            <w:vAlign w:val="bottom"/>
          </w:tcPr>
          <w:p>
            <w:pPr>
              <w:spacing w:after="0"/>
              <w:rPr>
                <w:sz w:val="20"/>
                <w:szCs w:val="20"/>
                <w:color w:val="auto"/>
              </w:rPr>
            </w:pP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694,229</w:t>
            </w: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535,402</w:t>
            </w:r>
          </w:p>
        </w:tc>
        <w:tc>
          <w:tcPr>
            <w:tcW w:w="2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21,792,652</w:t>
            </w:r>
          </w:p>
        </w:tc>
        <w:tc>
          <w:tcPr>
            <w:tcW w:w="280" w:type="dxa"/>
            <w:vAlign w:val="bottom"/>
          </w:tcPr>
          <w:p>
            <w:pPr>
              <w:spacing w:after="0"/>
              <w:rPr>
                <w:sz w:val="20"/>
                <w:szCs w:val="20"/>
                <w:color w:val="auto"/>
              </w:rPr>
            </w:pPr>
          </w:p>
        </w:tc>
      </w:tr>
    </w:tbl>
    <w:p>
      <w:pPr>
        <w:spacing w:after="0" w:line="27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Item 2 on the Proxy Card. </w:t>
      </w:r>
      <w:r>
        <w:rPr>
          <w:rFonts w:ascii="Times New Roman" w:cs="Times New Roman" w:eastAsia="Times New Roman" w:hAnsi="Times New Roman"/>
          <w:sz w:val="20"/>
          <w:szCs w:val="20"/>
          <w:color w:val="auto"/>
        </w:rPr>
        <w:t>In an advisory and non-binding "say on pay" vote, shareholders approved the 2025 compensation of Evergy's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named executive officers, with the following vote: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900" w:type="dxa"/>
            <w:vAlign w:val="bottom"/>
            <w:tcBorders>
              <w:top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5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180,310,780</w:t>
            </w:r>
          </w:p>
        </w:tc>
        <w:tc>
          <w:tcPr>
            <w:tcW w:w="440" w:type="dxa"/>
            <w:vAlign w:val="bottom"/>
          </w:tcPr>
          <w:p>
            <w:pPr>
              <w:spacing w:after="0"/>
              <w:rPr>
                <w:sz w:val="20"/>
                <w:szCs w:val="20"/>
                <w:color w:val="auto"/>
              </w:rPr>
            </w:pPr>
          </w:p>
        </w:tc>
        <w:tc>
          <w:tcPr>
            <w:tcW w:w="24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6,310,855</w:t>
            </w:r>
          </w:p>
        </w:tc>
        <w:tc>
          <w:tcPr>
            <w:tcW w:w="460" w:type="dxa"/>
            <w:vAlign w:val="bottom"/>
          </w:tcPr>
          <w:p>
            <w:pPr>
              <w:spacing w:after="0"/>
              <w:rPr>
                <w:sz w:val="20"/>
                <w:szCs w:val="20"/>
                <w:color w:val="auto"/>
              </w:rPr>
            </w:pPr>
          </w:p>
        </w:tc>
        <w:tc>
          <w:tcPr>
            <w:tcW w:w="24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867,395</w:t>
            </w:r>
          </w:p>
        </w:tc>
        <w:tc>
          <w:tcPr>
            <w:tcW w:w="440" w:type="dxa"/>
            <w:vAlign w:val="bottom"/>
          </w:tcPr>
          <w:p>
            <w:pPr>
              <w:spacing w:after="0"/>
              <w:rPr>
                <w:sz w:val="20"/>
                <w:szCs w:val="20"/>
                <w:color w:val="auto"/>
              </w:rPr>
            </w:pPr>
          </w:p>
        </w:tc>
        <w:tc>
          <w:tcPr>
            <w:tcW w:w="24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21,792,652</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on the Proxy Card. </w:t>
      </w:r>
      <w:r>
        <w:rPr>
          <w:rFonts w:ascii="Times New Roman" w:cs="Times New Roman" w:eastAsia="Times New Roman" w:hAnsi="Times New Roman"/>
          <w:sz w:val="20"/>
          <w:szCs w:val="20"/>
          <w:color w:val="auto"/>
        </w:rPr>
        <w:t>Shareholders voted for the ratification and confirmation of the appointment of Deloitte &amp; Touche LLP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independent registered public accounting firm for 2026, with the following vote: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900" w:type="dxa"/>
            <w:vAlign w:val="bottom"/>
            <w:tcBorders>
              <w:top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5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201,388,566</w:t>
            </w:r>
          </w:p>
        </w:tc>
        <w:tc>
          <w:tcPr>
            <w:tcW w:w="440" w:type="dxa"/>
            <w:vAlign w:val="bottom"/>
          </w:tcPr>
          <w:p>
            <w:pPr>
              <w:spacing w:after="0"/>
              <w:rPr>
                <w:sz w:val="20"/>
                <w:szCs w:val="20"/>
                <w:color w:val="auto"/>
              </w:rPr>
            </w:pPr>
          </w:p>
        </w:tc>
        <w:tc>
          <w:tcPr>
            <w:tcW w:w="24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7,302,623</w:t>
            </w:r>
          </w:p>
        </w:tc>
        <w:tc>
          <w:tcPr>
            <w:tcW w:w="460" w:type="dxa"/>
            <w:vAlign w:val="bottom"/>
          </w:tcPr>
          <w:p>
            <w:pPr>
              <w:spacing w:after="0"/>
              <w:rPr>
                <w:sz w:val="20"/>
                <w:szCs w:val="20"/>
                <w:color w:val="auto"/>
              </w:rPr>
            </w:pPr>
          </w:p>
        </w:tc>
        <w:tc>
          <w:tcPr>
            <w:tcW w:w="246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590,493</w:t>
            </w:r>
          </w:p>
        </w:tc>
        <w:tc>
          <w:tcPr>
            <w:tcW w:w="440" w:type="dxa"/>
            <w:vAlign w:val="bottom"/>
          </w:tcPr>
          <w:p>
            <w:pPr>
              <w:spacing w:after="0"/>
              <w:rPr>
                <w:sz w:val="20"/>
                <w:szCs w:val="20"/>
                <w:color w:val="auto"/>
              </w:rPr>
            </w:pPr>
          </w:p>
        </w:tc>
        <w:tc>
          <w:tcPr>
            <w:tcW w:w="248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3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20"/>
          <w:szCs w:val="20"/>
          <w:color w:val="auto"/>
        </w:rPr>
        <w:t>For the three months ended March 31, 2026,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Delayed Draw Term Loan</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May 5, 2026, Evergy, Inc. entered into a Delayed Draw Term Loan Agreement in which lenders have committed to provide term loans in an aggregate principal amount of up to $1.0 billion, maturing on November 5, 2027. If not fully utilized, the term loan commitments expire on August 10, 2026. Evergy has not made any borrowings under the Delayed Draw Term Loan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vMerge w:val="restart"/>
          </w:tcPr>
          <w:p>
            <w:pPr>
              <w:ind w:left="100"/>
              <w:spacing w:after="0"/>
              <w:rPr>
                <w:sz w:val="20"/>
                <w:szCs w:val="20"/>
                <w:color w:val="auto"/>
              </w:rPr>
            </w:pPr>
            <w:r>
              <w:rPr>
                <w:rFonts w:ascii="Times New Roman" w:cs="Times New Roman" w:eastAsia="Times New Roman" w:hAnsi="Times New Roman"/>
                <w:sz w:val="20"/>
                <w:szCs w:val="20"/>
                <w:color w:val="auto"/>
              </w:rPr>
              <w:t>Description of Document</w:t>
            </w:r>
          </w:p>
        </w:tc>
        <w:tc>
          <w:tcPr>
            <w:tcW w:w="2000" w:type="dxa"/>
            <w:vAlign w:val="bottom"/>
            <w:gridSpan w:val="3"/>
            <w:vMerge w:val="restart"/>
          </w:tcPr>
          <w:p>
            <w:pPr>
              <w:ind w:left="96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14"/>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40" w:type="dxa"/>
            <w:vAlign w:val="bottom"/>
            <w:gridSpan w:val="19"/>
          </w:tcPr>
          <w:p>
            <w:pPr>
              <w:spacing w:after="0"/>
              <w:rPr>
                <w:rFonts w:ascii="Times New Roman" w:cs="Times New Roman" w:eastAsia="Times New Roman" w:hAnsi="Times New Roman"/>
                <w:sz w:val="20"/>
                <w:szCs w:val="20"/>
                <w:color w:val="0000FF"/>
              </w:rPr>
            </w:pPr>
            <w:hyperlink r:id="rId90">
              <w:r>
                <w:rPr>
                  <w:rFonts w:ascii="Times New Roman" w:cs="Times New Roman" w:eastAsia="Times New Roman" w:hAnsi="Times New Roman"/>
                  <w:sz w:val="20"/>
                  <w:szCs w:val="20"/>
                  <w:color w:val="0000FF"/>
                </w:rPr>
                <w:t>Eighth Supplemental Indenture, dated as of March 10, 2026 between Evergy, Inc.</w:t>
              </w:r>
            </w:hyperlink>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9"/>
                <w:szCs w:val="19"/>
                <w:color w:val="0000FF"/>
              </w:rPr>
            </w:pPr>
            <w:hyperlink r:id="rId90">
              <w:r>
                <w:rPr>
                  <w:rFonts w:ascii="Times New Roman" w:cs="Times New Roman" w:eastAsia="Times New Roman" w:hAnsi="Times New Roman"/>
                  <w:sz w:val="19"/>
                  <w:szCs w:val="19"/>
                  <w:color w:val="0000FF"/>
                </w:rPr>
                <w:t>and The Bank of New York Mellon Trust Company, N.A., as trustee, and the form</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500" w:type="dxa"/>
            <w:vAlign w:val="bottom"/>
            <w:gridSpan w:val="15"/>
          </w:tcPr>
          <w:p>
            <w:pPr>
              <w:spacing w:after="0" w:line="183" w:lineRule="exact"/>
              <w:rPr>
                <w:rFonts w:ascii="Times New Roman" w:cs="Times New Roman" w:eastAsia="Times New Roman" w:hAnsi="Times New Roman"/>
                <w:sz w:val="20"/>
                <w:szCs w:val="20"/>
                <w:color w:val="0000FF"/>
                <w:w w:val="99"/>
              </w:rPr>
            </w:pPr>
            <w:hyperlink r:id="rId90">
              <w:r>
                <w:rPr>
                  <w:rFonts w:ascii="Times New Roman" w:cs="Times New Roman" w:eastAsia="Times New Roman" w:hAnsi="Times New Roman"/>
                  <w:sz w:val="20"/>
                  <w:szCs w:val="20"/>
                  <w:color w:val="0000FF"/>
                  <w:w w:val="99"/>
                </w:rPr>
                <w:t>of global note included therein (Exhibit 4.1 to Evergy's Form 8-K filed on March</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20"/>
                <w:szCs w:val="20"/>
                <w:color w:val="0000FF"/>
                <w:w w:val="95"/>
              </w:rPr>
            </w:pPr>
            <w:hyperlink r:id="rId90">
              <w:r>
                <w:rPr>
                  <w:rFonts w:ascii="Times New Roman" w:cs="Times New Roman" w:eastAsia="Times New Roman" w:hAnsi="Times New Roman"/>
                  <w:sz w:val="20"/>
                  <w:szCs w:val="20"/>
                  <w:color w:val="0000FF"/>
                  <w:w w:val="95"/>
                </w:rPr>
                <w:t>10, 2026).</w:t>
              </w:r>
            </w:hyperlink>
          </w:p>
        </w:tc>
        <w:tc>
          <w:tcPr>
            <w:tcW w:w="5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40" w:type="dxa"/>
            <w:vAlign w:val="bottom"/>
            <w:gridSpan w:val="19"/>
          </w:tcPr>
          <w:p>
            <w:pPr>
              <w:spacing w:after="0"/>
              <w:rPr>
                <w:rFonts w:ascii="Times New Roman" w:cs="Times New Roman" w:eastAsia="Times New Roman" w:hAnsi="Times New Roman"/>
                <w:sz w:val="20"/>
                <w:szCs w:val="20"/>
                <w:color w:val="0000FF"/>
              </w:rPr>
            </w:pPr>
            <w:hyperlink r:id="rId91">
              <w:r>
                <w:rPr>
                  <w:rFonts w:ascii="Times New Roman" w:cs="Times New Roman" w:eastAsia="Times New Roman" w:hAnsi="Times New Roman"/>
                  <w:sz w:val="20"/>
                  <w:szCs w:val="20"/>
                  <w:color w:val="0000FF"/>
                </w:rPr>
                <w:t>Term Loan Credit Agreement, dated as of January 7, 2026 between Evergy, Inc. and</w:t>
              </w:r>
            </w:hyperlink>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17"/>
          </w:tcPr>
          <w:p>
            <w:pPr>
              <w:spacing w:after="0" w:line="169" w:lineRule="exact"/>
              <w:rPr>
                <w:rFonts w:ascii="Times New Roman" w:cs="Times New Roman" w:eastAsia="Times New Roman" w:hAnsi="Times New Roman"/>
                <w:sz w:val="19"/>
                <w:szCs w:val="19"/>
                <w:color w:val="0000FF"/>
              </w:rPr>
            </w:pPr>
            <w:hyperlink r:id="rId91">
              <w:r>
                <w:rPr>
                  <w:rFonts w:ascii="Times New Roman" w:cs="Times New Roman" w:eastAsia="Times New Roman" w:hAnsi="Times New Roman"/>
                  <w:sz w:val="19"/>
                  <w:szCs w:val="19"/>
                  <w:color w:val="0000FF"/>
                </w:rPr>
                <w:t>Bank of America, N.A., as the lender (Exhibit 10.1 to Evergy's Form 8-K filed on</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20"/>
                <w:szCs w:val="20"/>
                <w:color w:val="0000FF"/>
                <w:w w:val="97"/>
              </w:rPr>
            </w:pPr>
            <w:hyperlink r:id="rId91">
              <w:r>
                <w:rPr>
                  <w:rFonts w:ascii="Times New Roman" w:cs="Times New Roman" w:eastAsia="Times New Roman" w:hAnsi="Times New Roman"/>
                  <w:sz w:val="20"/>
                  <w:szCs w:val="20"/>
                  <w:color w:val="0000FF"/>
                  <w:w w:val="97"/>
                </w:rPr>
                <w:t>January 7, 2026).</w:t>
              </w:r>
            </w:hyperlink>
          </w:p>
        </w:tc>
        <w:tc>
          <w:tcPr>
            <w:tcW w:w="5100" w:type="dxa"/>
            <w:vAlign w:val="bottom"/>
            <w:tcBorders>
              <w:top w:val="single" w:sz="8" w:color="0000FF"/>
            </w:tcBorders>
            <w:gridSpan w:val="12"/>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79"/>
              </w:rPr>
              <w:t>*</w:t>
            </w:r>
          </w:p>
        </w:tc>
        <w:tc>
          <w:tcPr>
            <w:tcW w:w="6840" w:type="dxa"/>
            <w:vAlign w:val="bottom"/>
            <w:gridSpan w:val="19"/>
          </w:tcPr>
          <w:p>
            <w:pPr>
              <w:spacing w:after="0"/>
              <w:rPr>
                <w:rFonts w:ascii="Times New Roman" w:cs="Times New Roman" w:eastAsia="Times New Roman" w:hAnsi="Times New Roman"/>
                <w:sz w:val="20"/>
                <w:szCs w:val="20"/>
                <w:color w:val="0000FF"/>
              </w:rPr>
            </w:pPr>
            <w:hyperlink r:id="rId92">
              <w:r>
                <w:rPr>
                  <w:rFonts w:ascii="Times New Roman" w:cs="Times New Roman" w:eastAsia="Times New Roman" w:hAnsi="Times New Roman"/>
                  <w:sz w:val="20"/>
                  <w:szCs w:val="20"/>
                  <w:color w:val="0000FF"/>
                </w:rPr>
                <w:t>Term Loan Credit Agreement, dated as of February 11, 2026, by and among Evergy,</w:t>
              </w:r>
            </w:hyperlink>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9"/>
                <w:szCs w:val="19"/>
                <w:color w:val="0000FF"/>
              </w:rPr>
            </w:pPr>
            <w:hyperlink r:id="rId92">
              <w:r>
                <w:rPr>
                  <w:rFonts w:ascii="Times New Roman" w:cs="Times New Roman" w:eastAsia="Times New Roman" w:hAnsi="Times New Roman"/>
                  <w:sz w:val="19"/>
                  <w:szCs w:val="19"/>
                  <w:color w:val="0000FF"/>
                </w:rPr>
                <w:t>Inc., Wells Fargo Bank, National Association, as administrative agent and the</w:t>
              </w:r>
            </w:hyperlink>
          </w:p>
        </w:tc>
        <w:tc>
          <w:tcPr>
            <w:tcW w:w="540" w:type="dxa"/>
            <w:vAlign w:val="bottom"/>
            <w:tcBorders>
              <w:top w:val="single" w:sz="8" w:color="0000FF"/>
            </w:tcBorders>
            <w:gridSpan w:val="7"/>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40" w:type="dxa"/>
            <w:vAlign w:val="bottom"/>
            <w:gridSpan w:val="19"/>
          </w:tcPr>
          <w:p>
            <w:pPr>
              <w:spacing w:after="0" w:line="183" w:lineRule="exact"/>
              <w:rPr>
                <w:rFonts w:ascii="Times New Roman" w:cs="Times New Roman" w:eastAsia="Times New Roman" w:hAnsi="Times New Roman"/>
                <w:sz w:val="20"/>
                <w:szCs w:val="20"/>
                <w:color w:val="0000FF"/>
              </w:rPr>
            </w:pPr>
            <w:hyperlink r:id="rId92">
              <w:r>
                <w:rPr>
                  <w:rFonts w:ascii="Times New Roman" w:cs="Times New Roman" w:eastAsia="Times New Roman" w:hAnsi="Times New Roman"/>
                  <w:sz w:val="20"/>
                  <w:szCs w:val="20"/>
                  <w:color w:val="0000FF"/>
                </w:rPr>
                <w:t>lenders party thereto from time to time (Exhibit 10.1 to Evergy's Form 8-K filed on</w:t>
              </w:r>
            </w:hyperlink>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20"/>
                <w:szCs w:val="20"/>
                <w:color w:val="0000FF"/>
                <w:w w:val="97"/>
              </w:rPr>
            </w:pPr>
            <w:hyperlink r:id="rId92">
              <w:r>
                <w:rPr>
                  <w:rFonts w:ascii="Times New Roman" w:cs="Times New Roman" w:eastAsia="Times New Roman" w:hAnsi="Times New Roman"/>
                  <w:sz w:val="20"/>
                  <w:szCs w:val="20"/>
                  <w:color w:val="0000FF"/>
                  <w:w w:val="97"/>
                </w:rPr>
                <w:t>February 11, 2026.</w:t>
              </w:r>
            </w:hyperlink>
          </w:p>
        </w:tc>
        <w:tc>
          <w:tcPr>
            <w:tcW w:w="5080" w:type="dxa"/>
            <w:vAlign w:val="bottom"/>
            <w:tcBorders>
              <w:top w:val="single" w:sz="8" w:color="0000FF"/>
            </w:tcBorders>
            <w:gridSpan w:val="13"/>
          </w:tcPr>
          <w:p>
            <w:pPr>
              <w:spacing w:after="0"/>
              <w:rPr>
                <w:sz w:val="15"/>
                <w:szCs w:val="15"/>
                <w:color w:val="auto"/>
              </w:rPr>
            </w:pPr>
          </w:p>
        </w:tc>
        <w:tc>
          <w:tcPr>
            <w:tcW w:w="26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9"/>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9"/>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W. Bryan Buckler</w:t>
            </w:r>
          </w:p>
        </w:tc>
        <w:tc>
          <w:tcPr>
            <w:tcW w:w="2040" w:type="dxa"/>
            <w:vAlign w:val="bottom"/>
            <w:gridSpan w:val="10"/>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900" w:type="dxa"/>
            <w:vAlign w:val="bottom"/>
            <w:gridSpan w:val="9"/>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Rule 13a-14(a)/15d-14(a) Certification of W. Bryan Buckler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520" w:type="dxa"/>
            <w:vAlign w:val="bottom"/>
            <w:tcBorders>
              <w:top w:val="single" w:sz="8" w:color="0000FF"/>
            </w:tcBorders>
            <w:gridSpan w:val="3"/>
          </w:tcPr>
          <w:p>
            <w:pPr>
              <w:spacing w:after="0"/>
              <w:rPr>
                <w:sz w:val="24"/>
                <w:szCs w:val="24"/>
                <w:color w:val="auto"/>
              </w:rPr>
            </w:pPr>
          </w:p>
        </w:tc>
        <w:tc>
          <w:tcPr>
            <w:tcW w:w="2080" w:type="dxa"/>
            <w:vAlign w:val="bottom"/>
            <w:gridSpan w:val="11"/>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600" w:type="dxa"/>
            <w:vAlign w:val="bottom"/>
            <w:gridSpan w:val="14"/>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620" w:type="dxa"/>
            <w:vAlign w:val="bottom"/>
            <w:gridSpan w:val="15"/>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ind w:left="18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gridSpan w:val="19"/>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ind w:left="18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9" w:right="9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firstLine="8"/>
        <w:spacing w:after="0" w:line="261" w:lineRule="auto"/>
        <w:tabs>
          <w:tab w:leader="none" w:pos="1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00" w:lineRule="exact"/>
        <w:rPr>
          <w:sz w:val="20"/>
          <w:szCs w:val="20"/>
          <w:color w:val="auto"/>
        </w:rPr>
      </w:pPr>
    </w:p>
    <w:p>
      <w:pPr>
        <w:jc w:val="both"/>
        <w:ind w:firstLine="8"/>
        <w:spacing w:after="0" w:line="268" w:lineRule="auto"/>
        <w:tabs>
          <w:tab w:leader="none" w:pos="24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93" w:lineRule="exact"/>
        <w:rPr>
          <w:rFonts w:ascii="Times New Roman" w:cs="Times New Roman" w:eastAsia="Times New Roman" w:hAnsi="Times New Roman"/>
          <w:sz w:val="20"/>
          <w:szCs w:val="20"/>
          <w:color w:val="auto"/>
        </w:rPr>
      </w:pPr>
    </w:p>
    <w:p>
      <w:pPr>
        <w:ind w:right="560" w:firstLine="8"/>
        <w:spacing w:after="0" w:line="269" w:lineRule="auto"/>
        <w:tabs>
          <w:tab w:leader="none" w:pos="3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Indicates management contract or compensatory plan or arrangement.</w:t>
      </w:r>
    </w:p>
    <w:p>
      <w:pPr>
        <w:spacing w:after="0" w:line="14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20"/>
        <w:spacing w:after="0"/>
        <w:tabs>
          <w:tab w:leader="none" w:pos="880" w:val="left"/>
          <w:tab w:leader="none" w:pos="40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6, 2026</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6, 2026</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6, 2026</w:t>
      </w:r>
      <w:r>
        <w:rPr>
          <w:sz w:val="20"/>
          <w:szCs w:val="20"/>
          <w:color w:val="auto"/>
        </w:rPr>
        <w:tab/>
      </w:r>
      <w:r>
        <w:rPr>
          <w:rFonts w:ascii="Times New Roman" w:cs="Times New Roman" w:eastAsia="Times New Roman" w:hAnsi="Times New Roman"/>
          <w:sz w:val="20"/>
          <w:szCs w:val="20"/>
          <w:u w:val="single" w:color="auto"/>
          <w:color w:val="auto"/>
        </w:rPr>
        <w:t>By: /s/ W. Bryan Buckler</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(W. Bryan Buckler)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118" w:right="4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6, 2026</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192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6, 2026</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2026</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6, 2026</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6, 2026</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Campbell</w:t>
            </w: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c>
          <w:tcPr>
            <w:tcW w:w="192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bl>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Bryan Buckler, certify that:</w:t>
      </w:r>
    </w:p>
    <w:p>
      <w:pPr>
        <w:spacing w:after="0" w:line="25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6, 2026</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Bryan Buckler</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5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c>
          <w:tcPr>
            <w:tcW w:w="232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March 31,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r>
        <w:trPr>
          <w:trHeight w:val="418"/>
        </w:trPr>
        <w:tc>
          <w:tcPr>
            <w:tcW w:w="146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March 31,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March 31,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A. Campbell</w:t>
            </w:r>
          </w:p>
        </w:tc>
        <w:tc>
          <w:tcPr>
            <w:tcW w:w="222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r>
        <w:trPr>
          <w:trHeight w:val="418"/>
        </w:trPr>
        <w:tc>
          <w:tcPr>
            <w:tcW w:w="150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W. Bryan Buckler</w:t>
            </w:r>
          </w:p>
        </w:tc>
        <w:tc>
          <w:tcPr>
            <w:tcW w:w="232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 Bryan Buckler</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6, 2026</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0" Type="http://schemas.openxmlformats.org/officeDocument/2006/relationships/hyperlink" Target="https://www.sec.gov/Archives/edgar/data/1711269/000119312526100187/d90039dex41.htm" TargetMode="External"/><Relationship Id="rId91" Type="http://schemas.openxmlformats.org/officeDocument/2006/relationships/hyperlink" Target="https://www.sec.gov/Archives/edgar/data/1711269/000119312526006331/d37831dex101.htm" TargetMode="External"/><Relationship Id="rId92" Type="http://schemas.openxmlformats.org/officeDocument/2006/relationships/hyperlink" Target="https://www.sec.gov/Archives/edgar/data/1711269/000119312526046696/d756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2026-05-07T05:15:52Z</dcterms:created>
  <dcterms:modified xsi:type="dcterms:W3CDTF">2026-05-07T05:15:52Z</dcterms:modified>
</cp:coreProperties>
</file>