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right="46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789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994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1-7324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KANSAS GAS AND ELECTRIC COMPANY</w:t>
      </w:r>
    </w:p>
    <w:p>
      <w:pPr>
        <w:spacing w:after="0" w:line="50" w:lineRule="exact"/>
        <w:rPr>
          <w:sz w:val="24"/>
          <w:szCs w:val="24"/>
          <w:color w:val="auto"/>
        </w:rPr>
      </w:pPr>
    </w:p>
    <w:tbl>
      <w:tblPr>
        <w:tblLayout w:type="fixed"/>
        <w:tblInd w:w="198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5380" w:type="dxa"/>
            <w:vAlign w:val="bottom"/>
            <w:gridSpan w:val="3"/>
          </w:tcPr>
          <w:p>
            <w:pPr>
              <w:ind w:left="2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84"/>
        </w:trPr>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660" w:type="dxa"/>
            <w:vAlign w:val="bottom"/>
          </w:tcPr>
          <w:p>
            <w:pPr>
              <w:spacing w:after="0"/>
              <w:rPr>
                <w:sz w:val="24"/>
                <w:szCs w:val="24"/>
                <w:color w:val="auto"/>
              </w:rPr>
            </w:pPr>
          </w:p>
        </w:tc>
      </w:tr>
      <w:tr>
        <w:trPr>
          <w:trHeight w:val="507"/>
        </w:trPr>
        <w:tc>
          <w:tcPr>
            <w:tcW w:w="2000" w:type="dxa"/>
            <w:vAlign w:val="bottom"/>
          </w:tcPr>
          <w:p>
            <w:pPr>
              <w:jc w:val="center"/>
              <w:ind w:right="146"/>
              <w:spacing w:after="0"/>
              <w:rPr>
                <w:sz w:val="20"/>
                <w:szCs w:val="20"/>
                <w:color w:val="auto"/>
              </w:rPr>
            </w:pPr>
            <w:r>
              <w:rPr>
                <w:rFonts w:ascii="Arial" w:cs="Arial" w:eastAsia="Arial" w:hAnsi="Arial"/>
                <w:sz w:val="18"/>
                <w:szCs w:val="18"/>
                <w:b w:val="1"/>
                <w:bCs w:val="1"/>
                <w:color w:val="auto"/>
                <w:w w:val="84"/>
              </w:rPr>
              <w:t>Kansas</w:t>
            </w:r>
          </w:p>
        </w:tc>
        <w:tc>
          <w:tcPr>
            <w:tcW w:w="5380" w:type="dxa"/>
            <w:vAlign w:val="bottom"/>
            <w:gridSpan w:val="3"/>
          </w:tcPr>
          <w:p>
            <w:pPr>
              <w:jc w:val="center"/>
              <w:ind w:left="3942"/>
              <w:spacing w:after="0"/>
              <w:rPr>
                <w:sz w:val="20"/>
                <w:szCs w:val="20"/>
                <w:color w:val="auto"/>
              </w:rPr>
            </w:pPr>
            <w:r>
              <w:rPr>
                <w:rFonts w:ascii="Arial" w:cs="Arial" w:eastAsia="Arial" w:hAnsi="Arial"/>
                <w:sz w:val="18"/>
                <w:szCs w:val="18"/>
                <w:b w:val="1"/>
                <w:bCs w:val="1"/>
                <w:color w:val="auto"/>
                <w:w w:val="87"/>
              </w:rPr>
              <w:t>48-1093840</w:t>
            </w:r>
          </w:p>
        </w:tc>
      </w:tr>
      <w:tr>
        <w:trPr>
          <w:trHeight w:val="149"/>
        </w:trPr>
        <w:tc>
          <w:tcPr>
            <w:tcW w:w="200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60" w:type="dxa"/>
            <w:vAlign w:val="bottom"/>
          </w:tcPr>
          <w:p>
            <w:pPr>
              <w:jc w:val="center"/>
              <w:ind w:left="12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000" w:type="dxa"/>
            <w:vAlign w:val="bottom"/>
          </w:tcPr>
          <w:p>
            <w:pPr>
              <w:jc w:val="center"/>
              <w:ind w:right="166"/>
              <w:spacing w:after="0"/>
              <w:rPr>
                <w:sz w:val="20"/>
                <w:szCs w:val="20"/>
                <w:color w:val="auto"/>
              </w:rPr>
            </w:pPr>
            <w:r>
              <w:rPr>
                <w:rFonts w:ascii="Arial" w:cs="Arial" w:eastAsia="Arial" w:hAnsi="Arial"/>
                <w:sz w:val="14"/>
                <w:szCs w:val="14"/>
                <w:b w:val="1"/>
                <w:bCs w:val="1"/>
                <w:color w:val="auto"/>
                <w:w w:val="88"/>
              </w:rPr>
              <w:t>incorporation or organization)</w:t>
            </w:r>
          </w:p>
        </w:tc>
        <w:tc>
          <w:tcPr>
            <w:tcW w:w="7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60" w:type="dxa"/>
            <w:vAlign w:val="bottom"/>
          </w:tcPr>
          <w:p>
            <w:pPr>
              <w:jc w:val="center"/>
              <w:ind w:left="1252"/>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777 West Central, P.O. BOX 208, Wichita, Kansas 67201 (316) 261-6611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Act). Check one:</w:t>
      </w:r>
    </w:p>
    <w:p>
      <w:pPr>
        <w:sectPr>
          <w:pgSz w:w="11900" w:h="16838" w:orient="portrait"/>
          <w:cols w:equalWidth="0" w:num="1">
            <w:col w:w="11420"/>
          </w:cols>
          <w:pgMar w:left="240" w:top="355" w:right="239" w:bottom="1440" w:gutter="0" w:footer="0" w:header="0"/>
        </w:sectPr>
      </w:pPr>
    </w:p>
    <w:p>
      <w:pPr>
        <w:spacing w:after="0" w:line="205" w:lineRule="exact"/>
        <w:rPr>
          <w:sz w:val="24"/>
          <w:szCs w:val="24"/>
          <w:color w:val="auto"/>
        </w:rPr>
      </w:pPr>
    </w:p>
    <w:p>
      <w:pPr>
        <w:ind w:left="10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2620" w:space="80"/>
            <w:col w:w="1720" w:space="720"/>
            <w:col w:w="1160" w:space="100"/>
            <w:col w:w="1600" w:space="720"/>
            <w:col w:w="1500" w:space="80"/>
            <w:col w:w="1120"/>
          </w:cols>
          <w:pgMar w:left="240" w:top="355"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7700" w:space="160"/>
            <w:col w:w="260" w:space="80"/>
            <w:col w:w="160" w:space="180"/>
            <w:col w:w="2880"/>
          </w:cols>
          <w:pgMar w:left="240" w:top="355"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Common Stock, No Par Value</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1,000 Shares</w:t>
            </w:r>
          </w:p>
        </w:tc>
      </w:tr>
      <w:tr>
        <w:trPr>
          <w:trHeight w:val="209"/>
        </w:trPr>
        <w:tc>
          <w:tcPr>
            <w:tcW w:w="5720" w:type="dxa"/>
            <w:vAlign w:val="bottom"/>
          </w:tcPr>
          <w:p>
            <w:pPr>
              <w:jc w:val="center"/>
              <w:spacing w:after="0" w:line="202" w:lineRule="exact"/>
              <w:rPr>
                <w:sz w:val="20"/>
                <w:szCs w:val="20"/>
                <w:color w:val="auto"/>
              </w:rPr>
            </w:pPr>
            <w:r>
              <w:rPr>
                <w:rFonts w:ascii="Arial" w:cs="Arial" w:eastAsia="Arial" w:hAnsi="Arial"/>
                <w:sz w:val="18"/>
                <w:szCs w:val="18"/>
                <w:color w:val="auto"/>
                <w:w w:val="87"/>
              </w:rPr>
              <w:t>(Class)</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(Outstanding at May 9, 2006)</w:t>
            </w:r>
          </w:p>
        </w:tc>
      </w:tr>
    </w:tbl>
    <w:p>
      <w:pPr>
        <w:spacing w:after="0" w:line="147" w:lineRule="exact"/>
        <w:rPr>
          <w:sz w:val="24"/>
          <w:szCs w:val="24"/>
          <w:color w:val="auto"/>
        </w:rPr>
      </w:pPr>
    </w:p>
    <w:p>
      <w:pPr>
        <w:ind w:right="40" w:firstLine="456"/>
        <w:spacing w:after="0" w:line="268" w:lineRule="auto"/>
        <w:rPr>
          <w:sz w:val="20"/>
          <w:szCs w:val="20"/>
          <w:color w:val="auto"/>
        </w:rPr>
      </w:pPr>
      <w:r>
        <w:rPr>
          <w:rFonts w:ascii="Arial" w:cs="Arial" w:eastAsia="Arial" w:hAnsi="Arial"/>
          <w:sz w:val="18"/>
          <w:szCs w:val="18"/>
          <w:color w:val="auto"/>
        </w:rPr>
        <w:t>Registrant meets the conditions of General Instruction H(1)(a) and (b) to Form 10-Q for certain wholly-owned subsidiaries and is therefore filing this Form with a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00" w:type="dxa"/>
            <w:vAlign w:val="bottom"/>
            <w:gridSpan w:val="7"/>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20"/>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20"/>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Item</w:t>
            </w:r>
          </w:p>
        </w:tc>
        <w:tc>
          <w:tcPr>
            <w:tcW w:w="540" w:type="dxa"/>
            <w:vAlign w:val="bottom"/>
          </w:tcPr>
          <w:p>
            <w:pPr>
              <w:ind w:left="20"/>
              <w:spacing w:after="0"/>
              <w:rPr>
                <w:sz w:val="20"/>
                <w:szCs w:val="20"/>
                <w:color w:val="auto"/>
              </w:rPr>
            </w:pPr>
            <w:r>
              <w:rPr>
                <w:rFonts w:ascii="Arial" w:cs="Arial" w:eastAsia="Arial" w:hAnsi="Arial"/>
                <w:sz w:val="18"/>
                <w:szCs w:val="18"/>
                <w:color w:val="auto"/>
              </w:rPr>
              <w:t>1.</w:t>
            </w:r>
          </w:p>
        </w:tc>
        <w:tc>
          <w:tcPr>
            <w:tcW w:w="416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Financial Statements (Unaudited)</w:t>
              </w:r>
            </w:hyperlink>
          </w:p>
        </w:tc>
        <w:tc>
          <w:tcPr>
            <w:tcW w:w="574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Consolidated Balance Sheets</w:t>
              </w:r>
            </w:hyperlink>
          </w:p>
        </w:tc>
        <w:tc>
          <w:tcPr>
            <w:tcW w:w="78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Income</w:t>
              </w:r>
            </w:hyperlink>
          </w:p>
        </w:tc>
        <w:tc>
          <w:tcPr>
            <w:tcW w:w="740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w:t>
              </w:r>
            </w:hyperlink>
          </w:p>
        </w:tc>
        <w:tc>
          <w:tcPr>
            <w:tcW w:w="71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0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60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Item</w:t>
            </w:r>
          </w:p>
        </w:tc>
        <w:tc>
          <w:tcPr>
            <w:tcW w:w="540" w:type="dxa"/>
            <w:vAlign w:val="bottom"/>
          </w:tcPr>
          <w:p>
            <w:pPr>
              <w:ind w:left="20"/>
              <w:spacing w:after="0"/>
              <w:rPr>
                <w:sz w:val="20"/>
                <w:szCs w:val="20"/>
                <w:color w:val="auto"/>
              </w:rPr>
            </w:pPr>
            <w:r>
              <w:rPr>
                <w:rFonts w:ascii="Arial" w:cs="Arial" w:eastAsia="Arial" w:hAnsi="Arial"/>
                <w:sz w:val="18"/>
                <w:szCs w:val="18"/>
                <w:color w:val="auto"/>
              </w:rPr>
              <w:t>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Management’s Discussion and Analysis of Financial Condition and Results of Operations</w:t>
              </w:r>
            </w:hyperlink>
          </w:p>
        </w:tc>
        <w:tc>
          <w:tcPr>
            <w:tcW w:w="3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Item</w:t>
            </w:r>
          </w:p>
        </w:tc>
        <w:tc>
          <w:tcPr>
            <w:tcW w:w="540" w:type="dxa"/>
            <w:vAlign w:val="bottom"/>
          </w:tcPr>
          <w:p>
            <w:pPr>
              <w:ind w:left="20"/>
              <w:spacing w:after="0"/>
              <w:rPr>
                <w:sz w:val="20"/>
                <w:szCs w:val="20"/>
                <w:color w:val="auto"/>
              </w:rPr>
            </w:pPr>
            <w:r>
              <w:rPr>
                <w:rFonts w:ascii="Arial" w:cs="Arial" w:eastAsia="Arial" w:hAnsi="Arial"/>
                <w:sz w:val="18"/>
                <w:szCs w:val="18"/>
                <w:color w:val="auto"/>
              </w:rPr>
              <w:t>3.</w:t>
            </w:r>
          </w:p>
        </w:tc>
        <w:tc>
          <w:tcPr>
            <w:tcW w:w="42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Quantitative and Qualitative Disclosures About Market Risk</w:t>
              </w:r>
            </w:hyperlink>
          </w:p>
        </w:tc>
        <w:tc>
          <w:tcPr>
            <w:tcW w:w="56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Item</w:t>
            </w:r>
          </w:p>
        </w:tc>
        <w:tc>
          <w:tcPr>
            <w:tcW w:w="540" w:type="dxa"/>
            <w:vAlign w:val="bottom"/>
          </w:tcPr>
          <w:p>
            <w:pPr>
              <w:ind w:left="20"/>
              <w:spacing w:after="0"/>
              <w:rPr>
                <w:sz w:val="20"/>
                <w:szCs w:val="20"/>
                <w:color w:val="auto"/>
              </w:rPr>
            </w:pPr>
            <w:r>
              <w:rPr>
                <w:rFonts w:ascii="Arial" w:cs="Arial" w:eastAsia="Arial" w:hAnsi="Arial"/>
                <w:sz w:val="18"/>
                <w:szCs w:val="18"/>
                <w:color w:val="auto"/>
              </w:rPr>
              <w:t>4.</w:t>
            </w:r>
          </w:p>
        </w:tc>
        <w:tc>
          <w:tcPr>
            <w:tcW w:w="990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0"/>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Item</w:t>
            </w:r>
          </w:p>
        </w:tc>
        <w:tc>
          <w:tcPr>
            <w:tcW w:w="540" w:type="dxa"/>
            <w:vAlign w:val="bottom"/>
          </w:tcPr>
          <w:p>
            <w:pPr>
              <w:ind w:left="2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Legal Proceedings</w:t>
              </w:r>
            </w:hyperlink>
          </w:p>
        </w:tc>
        <w:tc>
          <w:tcPr>
            <w:tcW w:w="86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Item</w:t>
            </w:r>
          </w:p>
        </w:tc>
        <w:tc>
          <w:tcPr>
            <w:tcW w:w="540" w:type="dxa"/>
            <w:vAlign w:val="bottom"/>
          </w:tcPr>
          <w:p>
            <w:pPr>
              <w:ind w:left="20"/>
              <w:spacing w:after="0"/>
              <w:rPr>
                <w:sz w:val="20"/>
                <w:szCs w:val="20"/>
                <w:color w:val="auto"/>
              </w:rPr>
            </w:pPr>
            <w:r>
              <w:rPr>
                <w:rFonts w:ascii="Arial" w:cs="Arial" w:eastAsia="Arial" w:hAnsi="Arial"/>
                <w:sz w:val="18"/>
                <w:szCs w:val="18"/>
                <w:color w:val="auto"/>
              </w:rPr>
              <w:t>1A.</w:t>
            </w:r>
          </w:p>
        </w:tc>
        <w:tc>
          <w:tcPr>
            <w:tcW w:w="90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90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Item</w:t>
            </w:r>
          </w:p>
        </w:tc>
        <w:tc>
          <w:tcPr>
            <w:tcW w:w="540" w:type="dxa"/>
            <w:vAlign w:val="bottom"/>
          </w:tcPr>
          <w:p>
            <w:pPr>
              <w:ind w:left="20"/>
              <w:spacing w:after="0"/>
              <w:rPr>
                <w:sz w:val="20"/>
                <w:szCs w:val="20"/>
                <w:color w:val="auto"/>
              </w:rPr>
            </w:pPr>
            <w:r>
              <w:rPr>
                <w:rFonts w:ascii="Arial" w:cs="Arial" w:eastAsia="Arial" w:hAnsi="Arial"/>
                <w:sz w:val="18"/>
                <w:szCs w:val="18"/>
                <w:color w:val="auto"/>
              </w:rPr>
              <w:t>2.</w:t>
            </w:r>
          </w:p>
        </w:tc>
        <w:tc>
          <w:tcPr>
            <w:tcW w:w="42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Unregistered Sales of Equity Securities and Use of Proceeds</w:t>
              </w:r>
            </w:hyperlink>
          </w:p>
        </w:tc>
        <w:tc>
          <w:tcPr>
            <w:tcW w:w="56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Item</w:t>
            </w:r>
          </w:p>
        </w:tc>
        <w:tc>
          <w:tcPr>
            <w:tcW w:w="540" w:type="dxa"/>
            <w:vAlign w:val="bottom"/>
          </w:tcPr>
          <w:p>
            <w:pPr>
              <w:ind w:left="20"/>
              <w:spacing w:after="0"/>
              <w:rPr>
                <w:sz w:val="20"/>
                <w:szCs w:val="20"/>
                <w:color w:val="auto"/>
              </w:rPr>
            </w:pPr>
            <w:r>
              <w:rPr>
                <w:rFonts w:ascii="Arial" w:cs="Arial" w:eastAsia="Arial" w:hAnsi="Arial"/>
                <w:sz w:val="18"/>
                <w:szCs w:val="18"/>
                <w:color w:val="auto"/>
              </w:rPr>
              <w:t>3.</w:t>
            </w:r>
          </w:p>
        </w:tc>
        <w:tc>
          <w:tcPr>
            <w:tcW w:w="990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2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Item</w:t>
            </w:r>
          </w:p>
        </w:tc>
        <w:tc>
          <w:tcPr>
            <w:tcW w:w="540" w:type="dxa"/>
            <w:vAlign w:val="bottom"/>
          </w:tcPr>
          <w:p>
            <w:pPr>
              <w:ind w:left="20"/>
              <w:spacing w:after="0"/>
              <w:rPr>
                <w:sz w:val="20"/>
                <w:szCs w:val="20"/>
                <w:color w:val="auto"/>
              </w:rPr>
            </w:pPr>
            <w:r>
              <w:rPr>
                <w:rFonts w:ascii="Arial" w:cs="Arial" w:eastAsia="Arial" w:hAnsi="Arial"/>
                <w:sz w:val="18"/>
                <w:szCs w:val="18"/>
                <w:color w:val="auto"/>
              </w:rPr>
              <w:t>4.</w:t>
            </w:r>
          </w:p>
        </w:tc>
        <w:tc>
          <w:tcPr>
            <w:tcW w:w="36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Submission of Matters to a Vote of Security Holders</w:t>
              </w:r>
            </w:hyperlink>
          </w:p>
        </w:tc>
        <w:tc>
          <w:tcPr>
            <w:tcW w:w="62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Item</w:t>
            </w:r>
          </w:p>
        </w:tc>
        <w:tc>
          <w:tcPr>
            <w:tcW w:w="540" w:type="dxa"/>
            <w:vAlign w:val="bottom"/>
          </w:tcPr>
          <w:p>
            <w:pPr>
              <w:ind w:left="20"/>
              <w:spacing w:after="0"/>
              <w:rPr>
                <w:sz w:val="20"/>
                <w:szCs w:val="20"/>
                <w:color w:val="auto"/>
              </w:rPr>
            </w:pPr>
            <w:r>
              <w:rPr>
                <w:rFonts w:ascii="Arial" w:cs="Arial" w:eastAsia="Arial" w:hAnsi="Arial"/>
                <w:sz w:val="18"/>
                <w:szCs w:val="18"/>
                <w:color w:val="auto"/>
              </w:rPr>
              <w:t>5.</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Other Information</w:t>
              </w:r>
            </w:hyperlink>
          </w:p>
        </w:tc>
        <w:tc>
          <w:tcPr>
            <w:tcW w:w="862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Item</w:t>
            </w:r>
          </w:p>
        </w:tc>
        <w:tc>
          <w:tcPr>
            <w:tcW w:w="540" w:type="dxa"/>
            <w:vAlign w:val="bottom"/>
          </w:tcPr>
          <w:p>
            <w:pPr>
              <w:ind w:left="20"/>
              <w:spacing w:after="0"/>
              <w:rPr>
                <w:sz w:val="20"/>
                <w:szCs w:val="20"/>
                <w:color w:val="auto"/>
              </w:rPr>
            </w:pPr>
            <w:r>
              <w:rPr>
                <w:rFonts w:ascii="Arial" w:cs="Arial" w:eastAsia="Arial" w:hAnsi="Arial"/>
                <w:sz w:val="18"/>
                <w:szCs w:val="18"/>
                <w:color w:val="auto"/>
              </w:rPr>
              <w:t>6.</w:t>
            </w:r>
          </w:p>
        </w:tc>
        <w:tc>
          <w:tcPr>
            <w:tcW w:w="990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20"/>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Signature</w:t>
              </w:r>
            </w:hyperlink>
          </w:p>
        </w:tc>
        <w:tc>
          <w:tcPr>
            <w:tcW w:w="5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00" w:type="dxa"/>
            <w:vAlign w:val="bottom"/>
            <w:gridSpan w:val="16"/>
          </w:tcPr>
          <w:p>
            <w:pPr>
              <w:ind w:left="4440"/>
              <w:spacing w:after="0"/>
              <w:rPr>
                <w:sz w:val="20"/>
                <w:szCs w:val="20"/>
                <w:color w:val="auto"/>
              </w:rPr>
            </w:pPr>
            <w:r>
              <w:rPr>
                <w:rFonts w:ascii="Arial" w:cs="Arial" w:eastAsia="Arial" w:hAnsi="Arial"/>
                <w:sz w:val="18"/>
                <w:szCs w:val="18"/>
                <w:color w:val="auto"/>
              </w:rPr>
              <w:t>2</w:t>
            </w:r>
          </w:p>
        </w:tc>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Certain matters discussed in this Form 10-Q are “forward-looking statements.” The Private Securities Litigation Reform Act of 1995 has established that these statements qualify for safe harbors from liability. Forward-looking statements may include words like we “believe,” “anticipate,” “target,” “expect,” “pro forma,” “estimate,” “intend” and words of similar meaning. Forward-looking statements describe our future plans, objectives, expectations or goals. Such statements address future events and conditions concerning:</w:t>
      </w:r>
    </w:p>
    <w:p>
      <w:pPr>
        <w:spacing w:after="0" w:line="62"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corporate restructurings, acquisitions and dispositions,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debt and other restrictive covenants,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nuclear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economy of our service area.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What happens in each case could vary materially from what we expect because of such things as:</w:t>
      </w:r>
    </w:p>
    <w:p>
      <w:pPr>
        <w:spacing w:after="0" w:line="90"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electric utility deregulation or re-regulation,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regulated and competitive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ongoing municipal, state and federal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capital market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requirements and other accounting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weather,</w:t>
      </w:r>
    </w:p>
    <w:p>
      <w:pPr>
        <w:spacing w:after="0" w:line="90"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appeals of the rate review filed by interveners in the Kansas Court of Appeals regarding the Kansas Corporation Commission’s December 28, 2005 order,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Federal Energy Regulatory Commission transmission formula rate application filed on May 2,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rates, cost recoveries and other regulatory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and downturns in the energy industry and the market for trading wholesale electricity,</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notice of violation received by Westar Energy, Inc. on January 22, 2004 from the Environmental Protection Agency and other environmental matters,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legislative, judicial and regulatory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interest rates,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the discount rate assumptions used for, Wolf Creek Nuclear Operating Corporation’s pension and other post-retirement benefit liability calculations, as well as actual and assumed investment returns on pension plan assets,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changing interest rates and other assumptions regarding our Wolf Creek Generating Station decommissioning obligation,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regulation of nuclear generating facilities and nuclear materials and fuel, including possible shutdown of nuclear generating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regarding the establishment of interim or permanent sites for spent nuclear fuel storage and disposal,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requirements for utility service reliability,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homeland security considerations,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coal, natural gas, oil and wholesale electricity prices,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timely provision of our coal supply,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circumstances affecting anticipated operations, sales and costs.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These lists are not all-inclusive because it is not possible to predict all factors. This report should be read in its entirety and in conjunction with our Annual Report on Form 10-K for the year ended December 31, 2005. No one section of this report deals with all aspects of the subject matter and additional information on some matters that could impact our operations and financial results may be included in our Annual Report on Form 10-K for the year ended December 31, 2005. Any forward-looking statement speaks only as of the date such statement was made, and we are not obligated to update any forward-looking statement to reflect events or circumstances after the date on which such statement was made except as required by applicable laws or regulations.</w:t>
      </w:r>
    </w:p>
    <w:p>
      <w:pPr>
        <w:sectPr>
          <w:pgSz w:w="11900" w:h="16838" w:orient="portrait"/>
          <w:cols w:equalWidth="0" w:num="1">
            <w:col w:w="11380"/>
          </w:cols>
          <w:pgMar w:left="240" w:top="274" w:right="279" w:bottom="1440" w:gutter="0" w:footer="0" w:header="0"/>
        </w:sectPr>
      </w:pP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80"/>
          </w:cols>
          <w:pgMar w:left="240" w:top="274" w:right="2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5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ind w:left="428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57,031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124,408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supplies,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Energy marketing contracts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Regulatory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237,450</w:t>
            </w:r>
          </w:p>
        </w:tc>
        <w:tc>
          <w:tcPr>
            <w:tcW w:w="60" w:type="dxa"/>
            <w:vAlign w:val="bottom"/>
            <w:shd w:val="clear" w:color="auto" w:fill="CCEEFF"/>
          </w:tcPr>
          <w:p>
            <w:pPr>
              <w:spacing w:after="0"/>
              <w:rPr>
                <w:sz w:val="18"/>
                <w:szCs w:val="18"/>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2,348,952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2,341,388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Regulatory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258,683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Nuclear decommissioning trust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392,741</w:t>
            </w:r>
          </w:p>
        </w:tc>
        <w:tc>
          <w:tcPr>
            <w:tcW w:w="60" w:type="dxa"/>
            <w:vAlign w:val="bottom"/>
            <w:shd w:val="clear" w:color="auto" w:fill="CCEEFF"/>
          </w:tcPr>
          <w:p>
            <w:pPr>
              <w:spacing w:after="0"/>
              <w:rPr>
                <w:sz w:val="18"/>
                <w:szCs w:val="18"/>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2,911,848</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2,971,579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70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affiliates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Energy marketing contracts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361,619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Long-term debt,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387,428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387,427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Unamortized investment tax credits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gain from sale-leaseback</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Asset retirement obligation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125,598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123,412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1,435,380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1,455,356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without par value; authorized and issued 1,000 shares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1,065,634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1,065,634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Paid in capital</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(2,779)</w:t>
            </w: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91,749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1,265,750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1,154,604</w:t>
            </w:r>
          </w:p>
        </w:tc>
        <w:tc>
          <w:tcPr>
            <w:tcW w:w="60" w:type="dxa"/>
            <w:vAlign w:val="bottom"/>
            <w:shd w:val="clear" w:color="auto" w:fill="CCEEFF"/>
          </w:tcPr>
          <w:p>
            <w:pPr>
              <w:spacing w:after="0"/>
              <w:rPr>
                <w:sz w:val="18"/>
                <w:szCs w:val="18"/>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2,911,848</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2,971,579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3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KANSAS GAS AND ELECTRIC COMPANY</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150,524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165,770</w:t>
            </w:r>
          </w:p>
        </w:tc>
        <w:tc>
          <w:tcPr>
            <w:tcW w:w="60" w:type="dxa"/>
            <w:vAlign w:val="bottom"/>
            <w:shd w:val="clear" w:color="auto" w:fill="CCEEFF"/>
          </w:tcPr>
          <w:p>
            <w:pPr>
              <w:spacing w:after="0"/>
              <w:rPr>
                <w:sz w:val="18"/>
                <w:szCs w:val="18"/>
                <w:color w:val="auto"/>
              </w:rPr>
            </w:pPr>
          </w:p>
        </w:tc>
      </w:tr>
      <w:tr>
        <w:trPr>
          <w:trHeight w:val="222"/>
        </w:trPr>
        <w:tc>
          <w:tcPr>
            <w:tcW w:w="9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Fuel and purchased power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Operating and maintenance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59,735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139,102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153,054</w:t>
            </w:r>
          </w:p>
        </w:tc>
        <w:tc>
          <w:tcPr>
            <w:tcW w:w="60" w:type="dxa"/>
            <w:vAlign w:val="bottom"/>
            <w:shd w:val="clear" w:color="auto" w:fill="CCEEFF"/>
          </w:tcPr>
          <w:p>
            <w:pPr>
              <w:spacing w:after="0"/>
              <w:rPr>
                <w:sz w:val="18"/>
                <w:szCs w:val="18"/>
                <w:color w:val="auto"/>
              </w:rPr>
            </w:pPr>
          </w:p>
        </w:tc>
      </w:tr>
      <w:tr>
        <w:trPr>
          <w:trHeight w:val="230"/>
        </w:trPr>
        <w:tc>
          <w:tcPr>
            <w:tcW w:w="97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11,422</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(4,807)</w:t>
            </w:r>
          </w:p>
        </w:tc>
      </w:tr>
      <w:tr>
        <w:trPr>
          <w:trHeight w:val="230"/>
        </w:trPr>
        <w:tc>
          <w:tcPr>
            <w:tcW w:w="20" w:type="dxa"/>
            <w:vAlign w:val="bottom"/>
          </w:tcPr>
          <w:p>
            <w:pPr>
              <w:spacing w:after="0"/>
              <w:rPr>
                <w:sz w:val="20"/>
                <w:szCs w:val="20"/>
                <w:color w:val="auto"/>
              </w:rPr>
            </w:pPr>
          </w:p>
        </w:tc>
        <w:tc>
          <w:tcPr>
            <w:tcW w:w="9700" w:type="dxa"/>
            <w:vAlign w:val="bottom"/>
          </w:tcPr>
          <w:p>
            <w:pPr>
              <w:ind w:left="86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60" w:type="dxa"/>
            <w:vAlign w:val="bottom"/>
            <w:shd w:val="clear" w:color="auto" w:fill="CCEEFF"/>
          </w:tcPr>
          <w:p>
            <w:pPr>
              <w:spacing w:after="0"/>
              <w:rPr>
                <w:sz w:val="18"/>
                <w:szCs w:val="18"/>
                <w:color w:val="auto"/>
              </w:rPr>
            </w:pPr>
          </w:p>
        </w:tc>
      </w:tr>
      <w:tr>
        <w:trPr>
          <w:trHeight w:val="221"/>
        </w:trPr>
        <w:tc>
          <w:tcPr>
            <w:tcW w:w="9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13,868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7,225</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60" w:type="dxa"/>
            <w:vAlign w:val="bottom"/>
            <w:shd w:val="clear" w:color="auto" w:fill="CCEEFF"/>
          </w:tcPr>
          <w:p>
            <w:pPr>
              <w:spacing w:after="0"/>
              <w:rPr>
                <w:sz w:val="18"/>
                <w:szCs w:val="18"/>
                <w:color w:val="auto"/>
              </w:rPr>
            </w:pPr>
          </w:p>
        </w:tc>
      </w:tr>
      <w:tr>
        <w:trPr>
          <w:trHeight w:val="222"/>
        </w:trPr>
        <w:tc>
          <w:tcPr>
            <w:tcW w:w="9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11,146</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3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KANSAS GAS AND ELECTRIC COMPANY</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3" w:lineRule="exact"/>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81"/>
              </w:rPr>
              <w:t>Revised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1"/>
              </w:rPr>
              <w:t>(See 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11,146</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25,307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nuclear fuel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prepaid corporate-owned life insurance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Net deferred taxes and credits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changes in energy marketing assets and liabilities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(2,702)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Changes in working capital items: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Inventories and supplies</w:t>
            </w: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(6,396)</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Payable to affiliates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(50,494)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(28,322)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(24,044)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Changes in other, liabilities</w:t>
            </w:r>
          </w:p>
        </w:tc>
        <w:tc>
          <w:tcPr>
            <w:tcW w:w="10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(19,054)</w:t>
            </w: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32,142</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CASH FLOWS FROM (USED IN) INVESTING ACTIVITIES: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(31,452)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Purchase of securities within the nuclear decommissioning trust fund</w:t>
            </w: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(82,660)</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(81,489)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securities within the nuclear decommissioning trust fund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Proceeds from investment in corporate-owned life insurance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5,877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other investments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tcPr>
          <w:p>
            <w:pPr>
              <w:ind w:left="1280"/>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(25,576)</w:t>
            </w: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(USED IN)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Retirements of long-term debt</w:t>
            </w: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85"/>
              </w:rPr>
              <w:t>(100,000)</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by parent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Borrowings against cash surrender value of corporate-owned life insurance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borrowings against cash surrender value of corporate-owned life insurance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Dividends to parent company</w:t>
            </w: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flows used in financing activities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(4,877)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(19,127)</w:t>
            </w:r>
          </w:p>
        </w:tc>
        <w:tc>
          <w:tcPr>
            <w:tcW w:w="0" w:type="dxa"/>
            <w:vAlign w:val="bottom"/>
          </w:tcPr>
          <w:p>
            <w:pPr>
              <w:spacing w:after="0"/>
              <w:rPr>
                <w:sz w:val="1"/>
                <w:szCs w:val="1"/>
                <w:color w:val="auto"/>
              </w:rPr>
            </w:pPr>
          </w:p>
        </w:tc>
      </w:tr>
      <w:tr>
        <w:trPr>
          <w:trHeight w:val="221"/>
        </w:trPr>
        <w:tc>
          <w:tcPr>
            <w:tcW w:w="94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Interest on financing activities, net of amount capitalized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5,654</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INVESTING TRANSACTIONS: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Property, plant and equipment additions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9,080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3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KANSAS GAS AND ELECTRIC COMPANY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Kansas Gas and Electric Company is a regulated electric utility incorporated in 1990 in Kansas. Unless the context otherwise indicates, all references in this quarterly report on Form 10-Q to “the company,” “KGE,” “we,” “us,” “our” and similar words are to Kansas Gas and Electric Company.</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wholly owned subsidiary of Westar Energy, Inc. and we provide rate-regulated electric service, together with the electric utility operations of Westar Energy, using the name Westar Energy. We provide electric generation, transmission and distribution services to approximately 307,000 customers in south-central and southeastern Kansas, including the city of Wichita. We own a 47% interest in the Wolf Creek Generating Station (Wolf Creek), a nuclear power plant located near Burlington, Kansas.</w:t>
      </w:r>
    </w:p>
    <w:p>
      <w:pPr>
        <w:spacing w:after="0" w:line="218" w:lineRule="exact"/>
        <w:rPr>
          <w:sz w:val="20"/>
          <w:szCs w:val="20"/>
          <w:color w:val="auto"/>
        </w:rPr>
      </w:pPr>
    </w:p>
    <w:p>
      <w:pPr>
        <w:ind w:right="658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prepare our condensed consolidated financial statements in accordance with generally accepted accounting principles (GAAP) for the United States of America for interim financial information and in accordance with the instructions to Form 10-Q and Article 10 of Regulation S-X. Accordingly, certain information and footnote disclosures normally included in financial statements presented in accordance with GAAP have been condensed or omitted. In our opinion, all adjustments, consisting only of normal recurring adjustments considered necessary for a fair presentation of the financial statements, have been included.</w:t>
      </w:r>
    </w:p>
    <w:p>
      <w:pPr>
        <w:spacing w:after="0" w:line="143"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color w:val="auto"/>
        </w:rPr>
        <w:t>The accompanying condensed consolidated financial statements and notes should be read in conjunction with the consolidated financial statements and notes included in our Annual Report on Form 10-K for the year ended December 31, 2005 (2005 Form 10-K).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Management’s Estimates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When we prepare our consolidated financial statements, we are required to make estimates and assumptions that affect the reported amounts of assets, liabilities, revenues and expenses, and related disclosure of contingent assets and liabilities at the date of our consolidated financial statements and the reported amounts of revenues and expenses during the reporting period. We evaluate our estimates on an on-going basis, including those related to bad debts, inventories, valuation of commodity contracts, depreciation, unbilled revenue, valuation of our energy marketing portfolio, intangible assets, income taxes, our portion of Wolf Creek’s pension and other post-retirement benefits, our asset retirement obligations including decommissioning of Wolf Creek, environmental issues, contingencies and litigation. Actual results may differ from those estimates under different assumptions or conditions. The results of operations for the three months ended March 31, 2006 are not necessarily indicative of the results to be expected for the full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and Revisions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have reclassified and revised certain prior year amounts to conform with classifications used in the current-year presentation as necessary for a fair presentation of the financial statements. We have revised the prior years’ presentation of our consolidated statements of cash flows to reflect investments in and proceeds from purchases and sales of marketable securities in our nuclear decommissioning trust on a gross basis, rather than net.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 RATE MATTERS AND REGULATION</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began billing customers under a new retail rate tariff during the three months ended March 31, 2006. The new retail rate tariff is discussed in greater detail in our 2005 Form 10-K. In April 2006, interveners to the rate review filed appeals with the Kansas Court of Appeals challenging various aspects of the rate order. We expect the court to rule on these appeals during the third quarter of 2006. We are unable to predict the outcome of these appeals.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SALES PROGRAM</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terminated our accounts receivable sales program in March 2006. As of December 31, 2005, $65.0 million was sold to the bank and commercial paper conduit.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FINANCINGS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March 17, 2006, Westar Energy amended and restated its revolving credit facility dated May 6, 2005 to increase the size of the facility, extend the term and reduce borrowing costs. The amended and restated revolving credit facility matures on March 17, 2011. So long as there is no default or event of default under the revolving credit facility, Westar Energy may elect to extend the term of the credit facility for up to an additional two years, subject to lender participation. The facility allows Westar Energy to borrow up to an aggregate amount of $500.0 million, including letters of credit up to a maximum aggregate amount of $150.0 million. Westar Energy may elect to increase the aggregate amount of borrowings under the facility to $750.0 million by increasing the commitment of one or more lenders who have agreed to such increase, or by adding one or more new lenders with the consent of the Administrative Agent and any letter of credit issuing bank, which will not be unreasonably withheld, so long as there is no default or event of default under the revolving credit facility. All borrowings under the revolving credit facility are secured by our first mortgage bonds.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January 17, 2006, we repaid the outstanding $100.0 million aggregate principal amount of our 6.2% first mortgage bonds with funds made available from a capital contribution from Westar Energy.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AND TAXES OTHER THAN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recorded income tax expense of approximately $2.7 million for the three months ended March 31, 2006 and $1.6 million for the same period of 2005.</w:t>
      </w:r>
    </w:p>
    <w:p>
      <w:pPr>
        <w:spacing w:after="0" w:line="19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a member of Westar Energy’s consolidated tax group. We file consolidated tax returns with Westar Energy. Westar Energy allocates to us our pro rata portion of consolidated income taxes based on our contribution to consolidated taxable income.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March 31, 2006 and December 31, 2005, we had recorded reserves for uncertain tax positions of $3.3 million and $3.2 million, respectively. The tax positions may involve income, deductions or credits reported in prior year income tax returns that we believe were treated properly on such tax returns. The tax returns containing these tax reporting positions are currently under audit or will likely be audited by the Internal Revenue Service or other taxing authorities. The timing of the resolution of these audits is uncertain. If the positions taken on the tax returns are ultimately upheld or not challenged within the time available for such challenges, we will reverse these tax provisions to income. If the positions taken on the tax returns are determined to be inappropriate, we may be required to make cash payments for taxes and interest. The reserves are determined based on our best estimate of probable assessments by the applicable taxing authorities and are adjusted, from time to time, based on changing facts and circumstances.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March 31, 2006 and December 31, 2005, we also had a reserve of $0.9 million and $1.0 million, respectively, for probable assessments of taxes other than income taxes.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ind w:right="7860" w:firstLine="8"/>
        <w:spacing w:after="0" w:line="347" w:lineRule="auto"/>
        <w:tabs>
          <w:tab w:leader="none" w:pos="17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COMMITMENTS AND CONTINGENCIES Environmental Projects</w:t>
      </w:r>
    </w:p>
    <w:p>
      <w:pPr>
        <w:spacing w:after="0" w:line="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Kansas City Power &amp; Light Company began updating or installing additional equipment related to emissions controls at La Cygne Generating Station (La Cygne) unit 1 for which we incurred costs beginning in 2005. We will continue to incur costs through the completion of installation in 2009. We anticipate that our share of these costs will be approximately $105.0 million. Additionally, we have identified the potential for up to $225.0 million of expenditures at other power plants for other environmental projects during the next eight years. This cost could increase depending on the resolution of the Environmental Protection Agency (EPA) New Source Review described below. In addition to the capital investment, were we to install such equipment, we anticipate that we would incur significant annual expense to operate and maintain the equipment and the operation of the equipment would reduce net production from our plants. The environmental cost recovery rider (ECRR) that was approved in the December 28, 2005 KCC Order will allow for the timely inclusion in rates of capital expenditures that are directly tied to environmental improvements required by the Clean Air Act. However, increased operating and maintenance costs, other than expenses related to production-related consumables, such as limestone, can only be recovered through a change in our base rates following a rate review.</w:t>
      </w:r>
    </w:p>
    <w:p>
      <w:pPr>
        <w:spacing w:after="0" w:line="12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degree to which we will need to reduce emissions and the timing of when such emissions control equipment may be required is uncertain. Both the timing and the nature of required investments depend on specific outcomes that result from interpretation of regulations, new regulations, legislation, and the resolution of the EPA New Source Review described below. We expect to recover such costs through our utility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 New Source Review</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Section 114(a) of the Clean Air Act (Section 114), the EPA is conducting investigations nationwide to determine whether modifications at coal-fired power plants are subject to New Source Review requirements or New Source Performance Standards. These investigations focus on whether projects at coal-fired plants were routine maintenance or whether the projects were substantial modifications that could have reasonably been expected to result in a significant net increase in emissions. The Clean Air Act requires companies to obtain permits and, if necessary, install control equipment to remove emissions when making a major modification or a change in operation if either is expected to cause a significant net increase in emissions.</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EPA requested information from Westar Energy under Section 114 regarding projects and maintenance activities that have been conducted since 1980 at three coal-fired plants it operates. On January 22, 2004, the EPA notified Westar Energy that certain projects completed at Jeffrey Energy Center violated pre-construction permitting requirements of the Clean Air Act.</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Westar Energy is in discussions with the EPA concerning this matter in an attempt to reach a settlement. Westar Energy expects that any settlement with the EPA could require Westar Energy to update or install emissions controls at Jeffrey Energy Center. Additionally, Westar Energy might be required to update or install emissions controls at its other coal-fired plants, pay fines or penalties, or take other remedial action. Together, these costs could be material. The EPA has informed Westar Energy that it has referred this matter to the Department of Justice (DOJ) for the DOJ to consider whether to pursue an enforcement action in federal district court. We believe that costs related to updating or installing emissions controls would qualify for recovery through the ECRR. If Westar Energy were to reach a settlement with the EPA, Westar Energy may be assessed a penalty. The penalty could be material and may not be recovered in rates. We anticipate that a portion of any of these potential costs would be allocated to us.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 LEGAL PROCEEDINGS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involved in various legal, environmental and regulatory proceedings. We believe that adequate provisions have been made and accordingly believe that the ultimate disposition of such matters will not have a material adverse effect on our results of operations. See also Note 7 for discussion of alleged violations of the Clean Air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Westar Energy provides all employees we use. Our cash management function, including cash receipts and disbursements, is performed by Westar Energy. Certain operating expenses have been allocated to us from Westar Energy. These expenses are allocated, depending on the nature of the expense, based on allocation studies, net investment, number of customers and/or other appropriate factors. We believe such allocation procedures are reasonable.</w:t>
      </w:r>
    </w:p>
    <w:p>
      <w:pPr>
        <w:spacing w:after="0" w:line="107"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We and Westar Energy have engaged in, and may in the future engage in, affiliate transactions in the normal course of business. These transactions primarily consist of power purchases and sales between us and Westar Energy. In addition, we have purchased, and may purchase in the future, emissions allowances from Westar Energy.</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Westar Energy operates our combined system based on what is most economical for the combined companies at any given time. When less expensive power is available from Westar Energy’s central and northeastern Kansas control area, the cost for the power allocated to us is typically higher than when less expensive power is available in our control area.</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did not pay any dividends to Westar Energy for the three months ended March 31, 2006. We declared and paid dividends of $20.0 million to Westar Energy for the three months ended March 31,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WOLF CREEK INTERIM PENSION AND POST-RETIREMENT BENEFIT DISCLOSURE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a co-owner of Wolf Creek, we are indirectly responsible for 47% of the liabilities and expenses associated with the Wolf Creek pension and post-retirement plans. We accrue our 47% of the Wolf Creek cost of pension and post-retirement benefits during the years an employee provides service. The following table summarizes the net periodic costs for our 47% share of the Wolf Creek pension and post-retirement benefit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384"/>
              <w:spacing w:after="0"/>
              <w:rPr>
                <w:sz w:val="20"/>
                <w:szCs w:val="20"/>
                <w:color w:val="auto"/>
              </w:rPr>
            </w:pPr>
            <w:r>
              <w:rPr>
                <w:rFonts w:ascii="Arial" w:cs="Arial" w:eastAsia="Arial" w:hAnsi="Arial"/>
                <w:sz w:val="14"/>
                <w:szCs w:val="14"/>
                <w:b w:val="1"/>
                <w:bCs w:val="1"/>
                <w:color w:val="auto"/>
                <w:w w:val="91"/>
              </w:rPr>
              <w:t>Pension Benefits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42"/>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2006</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360" w:type="dxa"/>
            <w:vAlign w:val="bottom"/>
            <w:gridSpan w:val="2"/>
            <w:vMerge w:val="continue"/>
          </w:tcPr>
          <w:p>
            <w:pPr>
              <w:spacing w:after="0"/>
              <w:rPr>
                <w:sz w:val="10"/>
                <w:szCs w:val="10"/>
                <w:color w:val="auto"/>
              </w:rPr>
            </w:pPr>
          </w:p>
        </w:tc>
        <w:tc>
          <w:tcPr>
            <w:tcW w:w="3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(In</w:t>
            </w:r>
          </w:p>
        </w:tc>
        <w:tc>
          <w:tcPr>
            <w:tcW w:w="1000" w:type="dxa"/>
            <w:vAlign w:val="bottom"/>
            <w:gridSpan w:val="4"/>
          </w:tcPr>
          <w:p>
            <w:pPr>
              <w:jc w:val="center"/>
              <w:ind w:right="117"/>
              <w:spacing w:after="0" w:line="102" w:lineRule="exact"/>
              <w:rPr>
                <w:sz w:val="20"/>
                <w:szCs w:val="20"/>
                <w:color w:val="auto"/>
              </w:rPr>
            </w:pPr>
            <w:r>
              <w:rPr>
                <w:rFonts w:ascii="Arial" w:cs="Arial" w:eastAsia="Arial" w:hAnsi="Arial"/>
                <w:sz w:val="11"/>
                <w:szCs w:val="11"/>
                <w:b w:val="1"/>
                <w:bCs w:val="1"/>
                <w:color w:val="auto"/>
              </w:rPr>
              <w:t>Thousands)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Components of Net Periodic Cost (Benefit):</w:t>
            </w:r>
          </w:p>
        </w:tc>
        <w:tc>
          <w:tcPr>
            <w:tcW w:w="33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Service cost</w:t>
            </w:r>
          </w:p>
        </w:tc>
        <w:tc>
          <w:tcPr>
            <w:tcW w:w="38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806</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713</w:t>
            </w:r>
          </w:p>
        </w:tc>
        <w:tc>
          <w:tcPr>
            <w:tcW w:w="220" w:type="dxa"/>
            <w:vAlign w:val="bottom"/>
          </w:tcPr>
          <w:p>
            <w:pPr>
              <w:spacing w:after="0"/>
              <w:rPr>
                <w:sz w:val="18"/>
                <w:szCs w:val="18"/>
                <w:color w:val="auto"/>
              </w:rPr>
            </w:pPr>
          </w:p>
        </w:tc>
        <w:tc>
          <w:tcPr>
            <w:tcW w:w="24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3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Expected return on plan assets</w:t>
            </w: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c>
          <w:tcPr>
            <w:tcW w:w="620" w:type="dxa"/>
            <w:vAlign w:val="bottom"/>
            <w:gridSpan w:val="2"/>
          </w:tcPr>
          <w:p>
            <w:pPr>
              <w:jc w:val="right"/>
              <w:ind w:right="104"/>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Unrealized:</w:t>
            </w:r>
          </w:p>
        </w:tc>
        <w:tc>
          <w:tcPr>
            <w:tcW w:w="3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60"/>
              <w:spacing w:after="0"/>
              <w:rPr>
                <w:sz w:val="20"/>
                <w:szCs w:val="20"/>
                <w:color w:val="auto"/>
              </w:rPr>
            </w:pPr>
            <w:r>
              <w:rPr>
                <w:rFonts w:ascii="Arial" w:cs="Arial" w:eastAsia="Arial" w:hAnsi="Arial"/>
                <w:sz w:val="18"/>
                <w:szCs w:val="18"/>
                <w:color w:val="auto"/>
              </w:rPr>
              <w:t>Transition obligation, net</w:t>
            </w: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Prior service costs</w:t>
            </w:r>
          </w:p>
        </w:tc>
        <w:tc>
          <w:tcPr>
            <w:tcW w:w="3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60"/>
              <w:spacing w:after="0"/>
              <w:rPr>
                <w:sz w:val="20"/>
                <w:szCs w:val="20"/>
                <w:color w:val="auto"/>
              </w:rPr>
            </w:pPr>
            <w:r>
              <w:rPr>
                <w:rFonts w:ascii="Arial" w:cs="Arial" w:eastAsia="Arial" w:hAnsi="Arial"/>
                <w:sz w:val="18"/>
                <w:szCs w:val="18"/>
                <w:color w:val="auto"/>
              </w:rPr>
              <w:t>Actuarial loss, net</w:t>
            </w: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periodic cost</w:t>
            </w:r>
          </w:p>
        </w:tc>
        <w:tc>
          <w:tcPr>
            <w:tcW w:w="3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1,229</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380" w:type="dxa"/>
            <w:vAlign w:val="bottom"/>
            <w:vMerge w:val="restart"/>
          </w:tcPr>
          <w:p>
            <w:pPr>
              <w:jc w:val="right"/>
              <w:ind w:right="1852"/>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ind w:right="1240"/>
        <w:spacing w:after="0" w:line="3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 INTRODUCTION</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regulated electric utility in Kansas and a wholly owned subsidiary of Westar Energy. We provide rate-regulated electric service, together with the electric utility operations of Westar Energy, using the name Westar Energy. We produce, transmit and sell electricity at retail in Kansas under the regulation of the Kansas Corporation Commission (KCC) and at wholesale in a multi-state region in the central United States under the regulation of the Federal Energy Regulatory Commission (FERC).</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Management’s Discussion and Analysis, we discuss our general financial condition, significant changes that occurred during 2006, and our operating results for the three months ended March 31, 2006 and 2005. As you read Management’s Discussion and Analysis, please refer to our condensed consolidated financial statements and the accompanying notes, which contain our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ITEMS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Corporate-Owned Life Insurance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earnings for the three months ended March 31, 2006 reflect income of $9.6 million from proceeds of corporate-owned life insurance. This is included in other income on the consolidated statement of income for the three months ended March 31,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Coal Inventory and Delivery</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Coal deliveries from the Powder River Basin (PRB) region of Wyoming to our coal-fired generating stations continue to be slower than historical averages due primarily to problems with the rail delivery system and operational problems at mines where we obtain coal. During 2005, we implemented compensating measures based on delivery cycle times, our assumptions about future delivery cycle times, fuel usage and planned inventory levels. We continue to use those measures. The compensating measures include, but are not limited to: reducing coal consumption during certain periods, revising normal operational dispatch of our generating units, purchasing power from others, reducing wholesale sales and purchasing and leasing additional rail cars. The effects of higher purchased power costs and the reduction in sales due to slower coal deliveries have been partially offset by higher market-based wholesale sales prices.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discussion and analysis of financial condition and results of operations are based on our condensed consolidated financial statements, which have been prepared in conformity with GAAP. Note 2 of the Notes to Condensed Consolidated Financial Statements, “Summary of Significant Accounting Policies,” contains a summary of our significant accounting policies, many of which require the use of estimates and assumptions by management. The policies highlighted in our 2005 Form 10-K have an impact on our reported results that may be material due to the levels of judgment and subjectivity necessary to account for uncertain matters or their susceptibility to change.</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From December 31, 2005 through March 31, 2006, we have not experienced any significant changes in our critical accounting estimates. For additional information, see our 2005 Form 10-K.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evaluate operating results based on income from operations. We have various classifications of sales, defined as follows:</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Retail: </w:t>
      </w:r>
      <w:r>
        <w:rPr>
          <w:rFonts w:ascii="Arial" w:cs="Arial" w:eastAsia="Arial" w:hAnsi="Arial"/>
          <w:sz w:val="18"/>
          <w:szCs w:val="18"/>
          <w:color w:val="auto"/>
        </w:rPr>
        <w:t>Sales of energy made to residential, commercial and industrial customers.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Other retail: </w:t>
      </w:r>
      <w:r>
        <w:rPr>
          <w:rFonts w:ascii="Arial" w:cs="Arial" w:eastAsia="Arial" w:hAnsi="Arial"/>
          <w:sz w:val="18"/>
          <w:szCs w:val="18"/>
          <w:color w:val="auto"/>
        </w:rPr>
        <w:t>Sales of energy for lighting public streets and highways, net of revenue subject to refund.</w:t>
      </w:r>
    </w:p>
    <w:p>
      <w:pPr>
        <w:spacing w:after="0" w:line="90" w:lineRule="exact"/>
        <w:rPr>
          <w:sz w:val="20"/>
          <w:szCs w:val="20"/>
          <w:color w:val="auto"/>
        </w:rPr>
      </w:pPr>
    </w:p>
    <w:p>
      <w:pPr>
        <w:ind w:left="920"/>
        <w:spacing w:after="0" w:line="334" w:lineRule="auto"/>
        <w:rPr>
          <w:sz w:val="20"/>
          <w:szCs w:val="20"/>
          <w:color w:val="auto"/>
        </w:rPr>
      </w:pPr>
      <w:r>
        <w:rPr>
          <w:rFonts w:ascii="Arial" w:cs="Arial" w:eastAsia="Arial" w:hAnsi="Arial"/>
          <w:sz w:val="16"/>
          <w:szCs w:val="16"/>
          <w:b w:val="1"/>
          <w:bCs w:val="1"/>
          <w:color w:val="auto"/>
        </w:rPr>
        <w:t xml:space="preserve">Tariff-based wholesale: </w:t>
      </w:r>
      <w:r>
        <w:rPr>
          <w:rFonts w:ascii="Arial" w:cs="Arial" w:eastAsia="Arial" w:hAnsi="Arial"/>
          <w:sz w:val="16"/>
          <w:szCs w:val="16"/>
          <w:color w:val="auto"/>
        </w:rPr>
        <w:t>Sales of energy to electric cooperatives, municipalities and other electric utilities, the rates for which are generally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cost as prescribed by FERC tariffs. This category also includes changes in valuations of contracts that have yet to settle.</w:t>
      </w:r>
    </w:p>
    <w:p>
      <w:pPr>
        <w:spacing w:after="0" w:line="1" w:lineRule="exact"/>
        <w:rPr>
          <w:sz w:val="20"/>
          <w:szCs w:val="20"/>
          <w:color w:val="auto"/>
        </w:rPr>
      </w:pPr>
    </w:p>
    <w:p>
      <w:pPr>
        <w:ind w:left="920" w:right="440"/>
        <w:spacing w:after="0" w:line="334" w:lineRule="auto"/>
        <w:rPr>
          <w:sz w:val="20"/>
          <w:szCs w:val="20"/>
          <w:color w:val="auto"/>
        </w:rPr>
      </w:pPr>
      <w:r>
        <w:rPr>
          <w:rFonts w:ascii="Arial" w:cs="Arial" w:eastAsia="Arial" w:hAnsi="Arial"/>
          <w:sz w:val="16"/>
          <w:szCs w:val="16"/>
          <w:b w:val="1"/>
          <w:bCs w:val="1"/>
          <w:color w:val="auto"/>
        </w:rPr>
        <w:t xml:space="preserve">Market-based wholesale: </w:t>
      </w:r>
      <w:r>
        <w:rPr>
          <w:rFonts w:ascii="Arial" w:cs="Arial" w:eastAsia="Arial" w:hAnsi="Arial"/>
          <w:sz w:val="16"/>
          <w:szCs w:val="16"/>
          <w:color w:val="auto"/>
        </w:rPr>
        <w:t>Sales of energy to other wholesale customers, the rates for which are generally based on prevailing market prices as</w:t>
      </w:r>
      <w:r>
        <w:rPr>
          <w:rFonts w:ascii="Arial" w:cs="Arial" w:eastAsia="Arial" w:hAnsi="Arial"/>
          <w:sz w:val="16"/>
          <w:szCs w:val="16"/>
          <w:b w:val="1"/>
          <w:bCs w:val="1"/>
          <w:color w:val="auto"/>
        </w:rPr>
        <w:t xml:space="preserve"> </w:t>
      </w:r>
      <w:r>
        <w:rPr>
          <w:rFonts w:ascii="Arial" w:cs="Arial" w:eastAsia="Arial" w:hAnsi="Arial"/>
          <w:sz w:val="16"/>
          <w:szCs w:val="16"/>
          <w:color w:val="auto"/>
        </w:rPr>
        <w:t>allowed by our FERC approved market-based tariff. This category also includes changes in valuations of contracts that have yet to settle.</w:t>
      </w:r>
    </w:p>
    <w:p>
      <w:pPr>
        <w:spacing w:after="0" w:line="1" w:lineRule="exact"/>
        <w:rPr>
          <w:sz w:val="20"/>
          <w:szCs w:val="20"/>
          <w:color w:val="auto"/>
        </w:rPr>
      </w:pPr>
    </w:p>
    <w:p>
      <w:pPr>
        <w:ind w:left="920" w:right="720"/>
        <w:spacing w:after="0" w:line="334" w:lineRule="auto"/>
        <w:rPr>
          <w:sz w:val="20"/>
          <w:szCs w:val="20"/>
          <w:color w:val="auto"/>
        </w:rPr>
      </w:pPr>
      <w:r>
        <w:rPr>
          <w:rFonts w:ascii="Arial" w:cs="Arial" w:eastAsia="Arial" w:hAnsi="Arial"/>
          <w:sz w:val="16"/>
          <w:szCs w:val="16"/>
          <w:b w:val="1"/>
          <w:bCs w:val="1"/>
          <w:color w:val="auto"/>
        </w:rPr>
        <w:t xml:space="preserve">Energy marketing: </w:t>
      </w:r>
      <w:r>
        <w:rPr>
          <w:rFonts w:ascii="Arial" w:cs="Arial" w:eastAsia="Arial" w:hAnsi="Arial"/>
          <w:sz w:val="16"/>
          <w:szCs w:val="16"/>
          <w:color w:val="auto"/>
        </w:rPr>
        <w:t>Includes (1) financially settled products and physical transactions sourced outside our control area; and (2)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valuations for contracts that have yet to settle that may not be recorded in tariff- or market-based wholesale revenues.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Transmission: </w:t>
      </w:r>
      <w:r>
        <w:rPr>
          <w:rFonts w:ascii="Arial" w:cs="Arial" w:eastAsia="Arial" w:hAnsi="Arial"/>
          <w:sz w:val="18"/>
          <w:szCs w:val="18"/>
          <w:color w:val="auto"/>
        </w:rPr>
        <w:t>Reflects transmission revenues received, including those based on a tariff with the Southwest Power Pool (SPP).</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Miscellaneous electric revenues including ancillary service revenues and rent from electric property leased to others.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Regulated electric utility sales are significantly impacted by such things as rate regulation, customer conservation efforts, wholesale demand, the overall economy of our service area, the weather and competitive forces. Our wholesale sales are impacted by, among other factors, demand, cost of fuel and purchased power, price volatility, available generation capacity and transmission availability. Changing weather affects the amount of electricity our customers use. Very hot summers and very cold winters prompt more demand, especially among our residential customers. Mild weather reduces demand.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Three Months Ended March 31, 2006 Compared to Three Months Ended March 31, 2005</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we discuss our operating results for the three months ended March 31, 2006 compared to the results for the three months ended March 31, 2005.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Changes in results of operations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8"/>
              </w:rPr>
              <w:t>Three Months Ended</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3"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3"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
              <w:spacing w:after="0" w:line="143" w:lineRule="exact"/>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right"/>
              <w:ind w:right="333"/>
              <w:spacing w:after="0" w:line="142" w:lineRule="exact"/>
              <w:rPr>
                <w:sz w:val="20"/>
                <w:szCs w:val="20"/>
                <w:color w:val="auto"/>
              </w:rPr>
            </w:pPr>
            <w:r>
              <w:rPr>
                <w:rFonts w:ascii="Arial" w:cs="Arial" w:eastAsia="Arial" w:hAnsi="Arial"/>
                <w:sz w:val="14"/>
                <w:szCs w:val="14"/>
                <w:b w:val="1"/>
                <w:bCs w:val="1"/>
                <w:color w:val="auto"/>
                <w:w w:val="75"/>
              </w:rPr>
              <w:t>Thousands)</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44,829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46,930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(2,101)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38,151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38,771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2,982</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retail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Retail Sales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122,816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121,594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1,222</w:t>
            </w:r>
          </w:p>
        </w:tc>
        <w:tc>
          <w:tcPr>
            <w:tcW w:w="3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Tariff-based wholesale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Market-based wholesale</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8,247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29,224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(20,977)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Energy marketing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Transmission (a)</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9,781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504</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Sales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150,524</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165,770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(15,246)</w:t>
            </w:r>
          </w:p>
        </w:tc>
        <w:tc>
          <w:tcPr>
            <w:tcW w:w="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Fuel and purchased power (b)</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35,227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49,168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(13,941)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and maintenance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59,735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25,307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22,986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18,833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139,102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153,054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(13,952)</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8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Transmission: </w:t>
      </w:r>
      <w:r>
        <w:rPr>
          <w:rFonts w:ascii="Arial" w:cs="Arial" w:eastAsia="Arial" w:hAnsi="Arial"/>
          <w:sz w:val="18"/>
          <w:szCs w:val="18"/>
          <w:color w:val="auto"/>
        </w:rPr>
        <w:t>Includes the SPP network transmission tariff. For the three months ended March 31, 2006, our SPP network transmission costs were</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$9.2 million. This amount, less approximately $0.7 million that was retained by the SPP as administration cost, was returned to us as revenues. For the three months ended March 31, 2005, our SPP network transmission costs were approximately $8.3 million with an administration cost of approximately $0.6 million retained by the SPP.</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Fuel and purchased power: </w:t>
      </w:r>
      <w:r>
        <w:rPr>
          <w:rFonts w:ascii="Arial" w:cs="Arial" w:eastAsia="Arial" w:hAnsi="Arial"/>
          <w:sz w:val="18"/>
          <w:szCs w:val="18"/>
          <w:color w:val="auto"/>
        </w:rPr>
        <w:t>Includes cost of fuel burned and net dispatch costs allocated to us by Westar Energy.</w:t>
      </w:r>
    </w:p>
    <w:p>
      <w:pPr>
        <w:spacing w:after="0" w:line="16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reflects changes in electric sales volumes, as measured by thousands of megawatt hours (MWh) of electricity. No sales volumes are shown for energy marketing, transmission or other. Energy marketing activities are unrelated to electricity we generate.</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8"/>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6"/>
          </w:tcPr>
          <w:p>
            <w:pPr>
              <w:jc w:val="center"/>
              <w:ind w:right="640"/>
              <w:spacing w:after="0" w:line="142" w:lineRule="exact"/>
              <w:rPr>
                <w:sz w:val="20"/>
                <w:szCs w:val="20"/>
                <w:color w:val="auto"/>
              </w:rPr>
            </w:pPr>
            <w:r>
              <w:rPr>
                <w:rFonts w:ascii="Arial" w:cs="Arial" w:eastAsia="Arial" w:hAnsi="Arial"/>
                <w:sz w:val="14"/>
                <w:szCs w:val="14"/>
                <w:b w:val="1"/>
                <w:bCs w:val="1"/>
                <w:color w:val="auto"/>
                <w:w w:val="89"/>
              </w:rPr>
              <w:t>(Thousands of MWh)</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Commercial</w:t>
            </w:r>
          </w:p>
        </w:tc>
        <w:tc>
          <w:tcPr>
            <w:tcW w:w="400" w:type="dxa"/>
            <w:vAlign w:val="bottom"/>
          </w:tcPr>
          <w:p>
            <w:pPr>
              <w:jc w:val="right"/>
              <w:spacing w:after="0"/>
              <w:rPr>
                <w:sz w:val="20"/>
                <w:szCs w:val="20"/>
                <w:color w:val="auto"/>
              </w:rPr>
            </w:pPr>
            <w:r>
              <w:rPr>
                <w:rFonts w:ascii="Arial" w:cs="Arial" w:eastAsia="Arial" w:hAnsi="Arial"/>
                <w:sz w:val="18"/>
                <w:szCs w:val="18"/>
                <w:color w:val="auto"/>
              </w:rPr>
              <w:t>637</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Other retail</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Retail</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2,199</w:t>
            </w: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2,080</w:t>
            </w:r>
          </w:p>
        </w:tc>
        <w:tc>
          <w:tcPr>
            <w:tcW w:w="1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Tariff-based wholesale</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Market-based wholesale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line="20" w:lineRule="exact"/>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2,449</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2,916</w:t>
            </w: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increase in retail sales is due primarily to the increase in industrial sales primarily attributable to additional oil refinery load and additional industrial customers. The change in other retail sales reflects the cessation in December 2005 of the accrual for rebates to customers. Sales were also impacted by the reduction in rates ordered by the December 28, 2005 KCC Order and milder temperatures during the three months ended March 31, 2006. The warmer weather has a negative impact on retail sales, especially residential sales. When measured by heating degree days, the weather during the three months ended March 31, 2006 was 14% warmer than the same period last year and approximately 18% warmer than the 20-year average. We measure heating degree days at a weather station we believe to be generally reflective of conditions in our service territory.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Due to the coal delivery problems we have experienced, as discussed above in “– Summary of Significant Items – Coal Inventory and Delivery,” we have made fewer wholesale sales and have purchased more power in an effort to increase our fuel inventory in preparation for the warmer summer months. We believe these measures will reduce the risk of depleting our coal inventory during periods when power prices can be extreme.</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Market-based wholesale sales and sales volumes decreased due primarily to coal conservation efforts. The market-based sales we made during the three months ended March 31, 2006 were at an approximate 48% higher average price per MWh than during the same period of 2005.</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increase in energy marketing reflects generally favorable contract valuations due primarily to favorable changes in market prices since we entered into sales contracts.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Fuel and purchased power expense decreased due primarily to a reduction in generation and lower allocated system costs. This was partially offset by an increase in purchased power expense and higher expense related to emissions allowances. Due to our coal conservation efforts, we used 10% fewer MMBtus of fuel, primarily coal and oil, which resulted in a 24% reduction in our fuel expense. Allocated system costs decreased $7.4 million due primarily to Wolf Creek being available more during the three months ended March 31, 2006 than during the same period of 2005. Westar Energy operates our combined system based on what is most economical for the combined companies at any given time. When less expensive power is available from Westar Energy’s central and northeastern Kansas control area, the amount of costs for that power we are allocated is typically higher than when less expensive power is available in our control area. In addition, we deferred as a regulatory asset the $7.8 million difference between the estimated fuel and purchased power costs that we billed our customers and our higher actual fuel and purchased power costs that we are allowed to collect under the terms of the retail energy cost adjustment (RECA). We will accumulate over/under fuel recovery throughout the year for inclusion in the RECA that will be included on customers’ bills in a subsequent period. While we more than doubled the volume of power we purchased, the impact of the greater power purchases was somewhat mitigated due to the average price of purchased power being 40% lower than during the three months ended March 31, 2005.</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increased due to the change in our depreciation rates in accordance with the December 28, 2005 KCC Order.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Most of our cash requirements consist of capital and maintenance expenditures designed to improve and maintain facilities that provide electric service, to meet future customer service requirements and to comply with environmental regulations. Our ability to provide the cash or debt to fund our capital expenditures depends on many things, including available resources, Westar Energy’s and our financial condition and current market conditions.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our internally generated cash, advances from Westar Energy, availability of cash through Westar Energy’s credit facilities and access to capital markets to be sufficient to fund operations and debt service payments. We do not maintain independent short-term credit facilities and rely on Westar Energy for short-term cash needs. If Westar Energy is unable to borrow under its credit facilities, we could have a short-term liquidity problem that could require us to obtain a credit facility for our short-term cash needs and that could result in higher borrowing costs.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Debt Financings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March 17, 2006, Westar Energy amended and restated its revolving credit facility dated May 6, 2005 to increase the size of the facility, extend the term and reduce borrowing costs. The amended and restated revolving credit facility matures on March 17, 2011. So long as there is no default or event of default under the revolving credit facility, Westar Energy may elect to extend the term of the credit facility for up to an additional two years, subject to lender participation. The facility allows Westar Energy to borrow up to an aggregate amount of $500.0 million, including letters of credit up to a maximum aggregate amount of $150.0 million. Westar Energy may elect to increase the aggregate amount of borrowings under the facility to $750.0 million by increasing the commitment of one or more lenders who have agreed to such increase, or by adding one or more new lenders with the consent of the Administrative Agent and any letter of credit issuing bank, which will not be unreasonably withheld, so long as there is no default or event of default under the revolving credit facility. All borrowings under the revolving credit facility are secured by our first mortgage bonds.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January 17, 2006, we repaid the outstanding $100.0 million aggregate principal amount of our 6.2% first mortgage bonds with funds made available from a capital contribution from Westar Energy.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April 2006, Moody’s Investors Service placed its ratings of our and Westar Energy’s securities under review for possible upgrade. In March 2006, Fitch Investors Service upgraded its credit ratings for our and Westar Energy’s securities as shown in the table below and changed its outlook for our ratings to stable. As of April 14, 2006, ratings with these agencies are as shown in the table below.</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Westar</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9"/>
        </w:trPr>
        <w:tc>
          <w:tcPr>
            <w:tcW w:w="6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Energy</w:t>
            </w:r>
          </w:p>
        </w:tc>
        <w:tc>
          <w:tcPr>
            <w:tcW w:w="4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Westar</w:t>
            </w:r>
          </w:p>
        </w:tc>
        <w:tc>
          <w:tcPr>
            <w:tcW w:w="4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KGE</w:t>
            </w:r>
          </w:p>
        </w:tc>
      </w:tr>
      <w:tr>
        <w:trPr>
          <w:trHeight w:val="149"/>
        </w:trPr>
        <w:tc>
          <w:tcPr>
            <w:tcW w:w="6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Mortgage</w:t>
            </w:r>
          </w:p>
        </w:tc>
        <w:tc>
          <w:tcPr>
            <w:tcW w:w="4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Energy</w:t>
            </w:r>
          </w:p>
        </w:tc>
        <w:tc>
          <w:tcPr>
            <w:tcW w:w="46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Mortgage</w:t>
            </w:r>
          </w:p>
        </w:tc>
      </w:tr>
      <w:tr>
        <w:trPr>
          <w:trHeight w:val="149"/>
        </w:trPr>
        <w:tc>
          <w:tcPr>
            <w:tcW w:w="6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Bond</w:t>
            </w:r>
          </w:p>
        </w:tc>
        <w:tc>
          <w:tcPr>
            <w:tcW w:w="460" w:type="dxa"/>
            <w:vAlign w:val="bottom"/>
          </w:tcPr>
          <w:p>
            <w:pPr>
              <w:spacing w:after="0"/>
              <w:rPr>
                <w:sz w:val="12"/>
                <w:szCs w:val="12"/>
                <w:color w:val="auto"/>
              </w:rPr>
            </w:pPr>
          </w:p>
        </w:tc>
        <w:tc>
          <w:tcPr>
            <w:tcW w:w="620" w:type="dxa"/>
            <w:vAlign w:val="bottom"/>
          </w:tcPr>
          <w:p>
            <w:pPr>
              <w:spacing w:after="0" w:line="149" w:lineRule="exact"/>
              <w:rPr>
                <w:sz w:val="20"/>
                <w:szCs w:val="20"/>
                <w:color w:val="auto"/>
              </w:rPr>
            </w:pPr>
            <w:r>
              <w:rPr>
                <w:rFonts w:ascii="Arial" w:cs="Arial" w:eastAsia="Arial" w:hAnsi="Arial"/>
                <w:sz w:val="14"/>
                <w:szCs w:val="14"/>
                <w:b w:val="1"/>
                <w:bCs w:val="1"/>
                <w:color w:val="auto"/>
                <w:w w:val="82"/>
              </w:rPr>
              <w:t>Unsecured</w:t>
            </w:r>
          </w:p>
        </w:tc>
        <w:tc>
          <w:tcPr>
            <w:tcW w:w="4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Bond</w:t>
            </w:r>
          </w:p>
        </w:tc>
      </w:tr>
      <w:tr>
        <w:trPr>
          <w:trHeight w:val="175"/>
        </w:trPr>
        <w:tc>
          <w:tcPr>
            <w:tcW w:w="69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Rating</w:t>
            </w:r>
          </w:p>
        </w:tc>
        <w:tc>
          <w:tcPr>
            <w:tcW w:w="4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Debt</w:t>
            </w:r>
          </w:p>
        </w:tc>
        <w:tc>
          <w:tcPr>
            <w:tcW w:w="4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r>
      <w:tr>
        <w:trPr>
          <w:trHeight w:val="61"/>
        </w:trPr>
        <w:tc>
          <w:tcPr>
            <w:tcW w:w="6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Standard &amp; Poor’s Ratings Group</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BB-</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Moody’s Investors Service</w:t>
            </w:r>
          </w:p>
        </w:tc>
        <w:tc>
          <w:tcPr>
            <w:tcW w:w="580" w:type="dxa"/>
            <w:vAlign w:val="bottom"/>
          </w:tcPr>
          <w:p>
            <w:pPr>
              <w:spacing w:after="0"/>
              <w:rPr>
                <w:sz w:val="20"/>
                <w:szCs w:val="20"/>
                <w:color w:val="auto"/>
              </w:rPr>
            </w:pPr>
            <w:r>
              <w:rPr>
                <w:rFonts w:ascii="Arial" w:cs="Arial" w:eastAsia="Arial" w:hAnsi="Arial"/>
                <w:sz w:val="18"/>
                <w:szCs w:val="18"/>
                <w:color w:val="auto"/>
              </w:rPr>
              <w:t>Baa3</w:t>
            </w:r>
          </w:p>
        </w:tc>
        <w:tc>
          <w:tcPr>
            <w:tcW w:w="4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Ba1</w:t>
            </w:r>
          </w:p>
        </w:tc>
        <w:tc>
          <w:tcPr>
            <w:tcW w:w="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Baa3</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Fitch Investors Service</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flows from operating activities decreased $9.4 million to $32.1 million for the three months ended March 31, 2006 from $41.5 million for the same period of 2005. The decrease in cash flows from operating activities for the three months ended March 31, 2006, compared to the same period of 2005, was due to the termination of our accounts receivables sales program, a $14.9 million increase in La Cygne unit 2 lease payments and $5.0 million for customer rebates. During the three months ended March 31, 2005, we used approximately $13.6 million for system restoration costs related to an ice storm that affected our service territory in January 2005 and we received $15.0 million from the sale of accounts receivable.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Financing activities in the three months ended March 31, 2006 used $4.9 million of cash compared to $19.1 million in the same period of 2005. In the three months ended March 31, 2006, a capital contribution by Westar Energy provided $100.0 million, which we used to retire long-term debt.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OFF-BALANCE SHEET ARRANGEMENTS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March 2006, we terminated our accounts receivable sales program. There were no other material changes in our off-balance sheet arrangements from December 31, 2005 through March 31, 2006. For additional information, see our 2005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three months ended March 31, 2006, we entered into additional unconditional purchase obligations in the ordinary course of business increasing total unconditional purchase obligations by $6.3 million to $29.8 million, from $23.5 million as of December 31, 2005. The following table shows the unconditional purchase obligations by date of termination as of March 31, 2006. There were no other material changes in our contractual obligations from December 31, 2005 through March 31, 2006. For additional information, see our 2005 Form 10-K.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April 1, 2006</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49"/>
        </w:trPr>
        <w:tc>
          <w:tcPr>
            <w:tcW w:w="4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through</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9"/>
        </w:trPr>
        <w:tc>
          <w:tcPr>
            <w:tcW w:w="4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75"/>
        </w:trPr>
        <w:tc>
          <w:tcPr>
            <w:tcW w:w="45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2006 (c)</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2007 - 2008</w:t>
            </w:r>
          </w:p>
        </w:tc>
        <w:tc>
          <w:tcPr>
            <w:tcW w:w="24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2009 - 2010</w:t>
            </w:r>
          </w:p>
        </w:tc>
        <w:tc>
          <w:tcPr>
            <w:tcW w:w="4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Thereafter</w:t>
            </w:r>
          </w:p>
        </w:tc>
      </w:tr>
      <w:tr>
        <w:trPr>
          <w:trHeight w:val="142"/>
        </w:trPr>
        <w:tc>
          <w:tcPr>
            <w:tcW w:w="4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w w:val="81"/>
              </w:rPr>
              <w:t>(In</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Unconditional purchase obligations</w:t>
            </w:r>
          </w:p>
        </w:tc>
        <w:tc>
          <w:tcPr>
            <w:tcW w:w="2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$29,849</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   18,948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6,662</w:t>
            </w: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4,239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Rebates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the three months ended June 30, 2005 and the three months ended March 31, 2006, we made rebates to customers in accordance with a July 25, 2003 KCC Order.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Energy Marketing Contracts</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tables below show the fair value of energy marketing and fuel contracts that were outstanding as of March 31, 2006, their sources and maturity periods.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Fair Value of Contracts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of contracts outstanding as of December 31, 2005</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6"/>
              </w:rPr>
              <w:t>Contracts outstanding at the beginning of the period that were realized or otherwise settled during the period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contracts outstanding at the beginning and end of the period</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Fair value of new contracts entered into during the period</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contracts outstanding as of March 31, 2006</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jc w:val="right"/>
              <w:ind w:right="2912"/>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3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sources of the fair values of the financial instruments related to these contracts are summarized in the following table.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center"/>
              <w:ind w:left="160"/>
              <w:spacing w:after="0"/>
              <w:rPr>
                <w:sz w:val="20"/>
                <w:szCs w:val="20"/>
                <w:color w:val="auto"/>
              </w:rPr>
            </w:pPr>
            <w:r>
              <w:rPr>
                <w:rFonts w:ascii="Arial" w:cs="Arial" w:eastAsia="Arial" w:hAnsi="Arial"/>
                <w:sz w:val="14"/>
                <w:szCs w:val="14"/>
                <w:b w:val="1"/>
                <w:bCs w:val="1"/>
                <w:color w:val="auto"/>
                <w:w w:val="87"/>
              </w:rPr>
              <w:t>Fair Value of Contracts at End of Period</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5"/>
              </w:rPr>
              <w:t>Maturity</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Total Fair</w:t>
            </w:r>
          </w:p>
        </w:tc>
        <w:tc>
          <w:tcPr>
            <w:tcW w:w="30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Less Than</w:t>
            </w:r>
          </w:p>
        </w:tc>
        <w:tc>
          <w:tcPr>
            <w:tcW w:w="26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5"/>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Sources of Fair Value</w:t>
            </w:r>
          </w:p>
        </w:tc>
        <w:tc>
          <w:tcPr>
            <w:tcW w:w="480" w:type="dxa"/>
            <w:vAlign w:val="bottom"/>
            <w:vMerge w:val="restart"/>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1 Year</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1-3 Years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800" w:type="dxa"/>
            <w:vAlign w:val="bottom"/>
            <w:tcBorders>
              <w:bottom w:val="single" w:sz="8" w:color="auto"/>
            </w:tcBorders>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3"/>
          </w:tcPr>
          <w:p>
            <w:pPr>
              <w:jc w:val="right"/>
              <w:spacing w:after="0" w:line="102" w:lineRule="exact"/>
              <w:rPr>
                <w:sz w:val="20"/>
                <w:szCs w:val="20"/>
                <w:color w:val="auto"/>
              </w:rPr>
            </w:pPr>
            <w:r>
              <w:rPr>
                <w:rFonts w:ascii="Arial" w:cs="Arial" w:eastAsia="Arial" w:hAnsi="Arial"/>
                <w:sz w:val="11"/>
                <w:szCs w:val="11"/>
                <w:b w:val="1"/>
                <w:bCs w:val="1"/>
                <w:color w:val="auto"/>
              </w:rPr>
              <w:t>(In Thousands)</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Prices actively quoted (futures)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5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Prices provided by other external sources (swaps and forwards)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fair value of contracts outstanding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3 is omitted pursuant to General Instruction H(2)(c) to Form 10-Q.</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wholly owned subsidiary of Westar Energy and all evaluations of our controls and procedures were conducted in conjunction with those undertaken by Westar Energy. Under the supervision and with the participation of Westar Energy’s management, and including our president and our principal financial and accounting officer, we have evaluated the effectiveness of the design and operation of our disclosure controls and procedures as defined in Rule 13a-15(e) of the Securities Exchange Act of 1934. These controls and procedures are designed to ensure that material information relating to the company is communicated to our president and our principal financial and accounting officer. Based on that evaluation, our president and our principal financial and accounting officer concluded that, as of March 31, 2006, our disclosure controls and procedures are effective to ensure that information required to be disclosed by us in reports that we file or submit under the Securities Exchange Act of 1934 is recorded, processed, summarized and reported within the time periods specified in Securities and Exchange Commission rules and forms.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were no changes in our internal controls over financial reporting during the three months ended March 31, 2006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are involved in various legal, environmental and regulatory proceedings. We believe adequate provisions have been made and accordingly believe that the ultimate disposition of such matters will not have a material adverse effect upon our consolidated financial position or results of operations.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Like other companies in our industry, our consolidated financial results will be impacted by weather, the economy of our service territory and the performance of our customers. Our creditworthiness will be affected by national and international macroeconomic trends, general market conditions and the expectations of the investment community, all of which are largely beyond our control. In addition, the following statements highlight risk factors that may affect our consolidated financial condition, results of operations and cash flows. These are not intended to be an exhaustive discussion of all such risks, and the statements below must be read together with factors discussed elsewhere in this document and in our other filings with the Securities and Exchange Commission.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Revenues Depend Upon Decisions by Regulatory Bodies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KCC regulates many aspects of our business and operations, including the retail rates that we charge customers for electric service. Retail rates are set by the KCC using a cost-of-service approach that takes into account historical operating expenses, fixed obligations and recovery of capital investments. Using this approach, the KCC sets rates at a level calculated to recover such costs and a permitted return on investment. Other parties to a rate review or the KCC staff may contend that our rates are excessive. Effective January 2006, the KCC authorized changes in our rates and approved various changes to our rate tariff. The KCC also approved the RECA, which is based on the actual cost of fuel and purchased power expense less margins earned on wholesale sales, and the ECRR, which is based on capital expenditures made to upgrade our equipment to meet stricter environmental standards required by the Clean Air Act. In April 2006, the interveners to the rate review filed appeals with the Kansas Court of Appeals challenging various aspects of the rate order. We expect the court to rule on these appeals during the third quarter of 2006. We are unable to predict the outcome of these appeals.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FERC regulates some aspects of our business, including many aspects of our wholesale sales. FERC permits us to charge prevailing market prices for some of our wholesale sales. FERC could withdraw that permission and allow us only to make wholesale sales at prices based on our cost-of-service, which could reduce our profits.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Costs May Not be Fully Recovered in Retail Rates</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Once established by the KCC, our retail rates generally remain fixed until changed in a subsequent rate review, except to the extent the KCC permits us to modify our tariffs using interim adjustment clauses, such as the RECA and the ECRR. The KCC staff or other parties may request that the KCC review our rates for possible adjustment, including a review of the reasonableness of expenditures incurred under tariffs using interim adjustment clauses, such as the RECA and the ECRR. Costs that are not recovered through our rates could have a material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Failures and Other External Factors Can Adversely Affect Our Results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generation and transmission of electricity requires the use of expensive and complicated equipment. While we have a maintenance program in place, generating plants are subject to unplanned outages because of equipment failure. In these events, we must either produce replacement power from our less efficient units or purchase power from others at unpredictable and potentially higher cost in order to supply our customers and perform our contractual agreements. In addition, this can prevent us from having power to sell in the wholesale market. Coal deliveries from the PRB region of Wyoming to our coal-fired generating stations continue to be slower than historical averages due primarily to problems with the rail delivery system and operational problems at mines where we obtain coal. If rail delivery cycle times do not improve, we may be required to continue coal conservation efforts and other compensating measures. The compensating measures include, but are not limited to: reducing coal consumption during certain periods, revising normal operational dispatch of our generating units, purchasing power from others, reducing wholesale sales, purchasing and leasing additional rail cars and, if necessary, eliminating market-based wholesale sales. In addition, decisions or mistakes by other utilities may adversely affect our ability to use transmission lines to deliver or import power, thus subjecting us to unexpected expenses or to the cost and uncertainty of public policy initiatives. These factors, as well as weather, interest rates, economic conditions, fuel availability, deliverability and prices, price volatility of fuel and other commodities and transportation availability and costs are largely beyond our control. The events mentioned above could reduce our ability to participate in energy marketing opportunities, which could reduce our profits.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Have Material Financial Exposure Under the Clean Air Act and Other Environmental Regulations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January 22, 2004, the EPA notified Westar Energy that certain projects completed at Jeffrey Energy Center violated pre-construction permitting requirements under the Clean Air Act. This notification was delivered as part of an investigation by the EPA regarding maintenance activities that have been conducted since 1980 at Jeffrey Energy Center. The EPA has informed Westar Energy that it has referred this matter to the DOJ for the DOJ to consider whether to pursue an enforcement action in federal district court. The remedy for a violation could include fines and penalties and an order to install new emission control systems at Jeffrey Energy Center and at certain of Westar Energy’s other coal-fired power plants, the associated cost of which could be material. We anticipate that a portion of any of these potential costs to Westar Energy would be allocated to us.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activities are subject to environmental regulation by federal, state, and local governmental authorities. These regulations generally involve the use of water, discharges of effluents into the water, emissions into the air, the handling, storage and use of hazardous substances, and waste handling, remediation and disposal, among others. Congress or the State of Kansas may enact legislation and the EPA or the State of Kansas may propose new regulations or change existing regulations that could require us to reduce certain emissions at our plants. Such action could require us to install costly equipment, increase our operating expense and reduce production from our plants.</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degree to which we will need to reduce emissions and the timing of when such emissions control equipment may be required is uncertain. Both the timing and the nature of required investments depend on specific outcomes that result from interpretation of regulations, new regulations, legislation, and the resolution of the EPA investigation described above. We expect to recover such costs through our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Pressures from Electric Industry Deregulation Could Adversely Affect Our Revenues and Reported Earnings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currently apply the accounting principles of Statement of Financial Accounting Standards (SFAS) No. 71, “Accounting for the Effects of Certain Types of Regulation,” to our regulated business. As of March 31, 2006, we had recorded $238.3 million of regulatory assets, net of regulatory liabilities. In the event that we determined that we could no longer apply the principles of SFAS No. 71, either as a result of the establishment of retail competition in our service territory or an expectation that permitted rates would not allow us to recover these costs, we would be required to record a charge against income in the amount of the remaining unamortized net regulatory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Financial Risks From Our Nuclear Facility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Risks of substantial liability arise from the ownership and operation of nuclear facilities, including, among others, structural problems, the storage, handling and disposal of radioactive materials, limitations on the amounts and types of insurance coverage available, uncertainties with respect to the cost and technological aspects of nuclear decommissioning at the end of Wolf Creek’s useful life and costs or measures associated with public safety. In the event of an extended or unscheduled outage at Wolf Creek, we would be required to generate power from less efficient units, purchase power in the open market to replace the power normally produced at Wolf Creek and we would have less power available for sale by us in the wholesale markets. If we were not permitted by the KCC to recover these costs, such events could have an adverse impact on our consolidated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2 is omitted pursuant to General Instruction H(2)(b) to Form 10-Q.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3 is omitted pursuant to General Instruction H(2)(b) to Form 10-Q.</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4 is omitted pursuant to General Instruction H(2)(b) to Form 10-Q.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1820" w:right="480" w:hanging="678"/>
        <w:spacing w:after="0" w:line="268"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Forty-Fifth Supplemental Indenture dated March 17, 2006 between Kansas Gas and Electric Company and BNY Midwest Trust Company, as Trustee</w:t>
      </w:r>
    </w:p>
    <w:p>
      <w:pPr>
        <w:spacing w:after="0" w:line="51" w:lineRule="exact"/>
        <w:rPr>
          <w:sz w:val="20"/>
          <w:szCs w:val="20"/>
          <w:color w:val="auto"/>
        </w:rPr>
      </w:pPr>
    </w:p>
    <w:p>
      <w:pPr>
        <w:ind w:left="1820" w:right="80" w:hanging="679"/>
        <w:spacing w:after="0" w:line="268" w:lineRule="auto"/>
        <w:tabs>
          <w:tab w:leader="none" w:pos="1800" w:val="left"/>
        </w:tabs>
        <w:rPr>
          <w:sz w:val="20"/>
          <w:szCs w:val="20"/>
          <w:color w:val="auto"/>
        </w:rPr>
      </w:pPr>
      <w:r>
        <w:rPr>
          <w:rFonts w:ascii="Arial" w:cs="Arial" w:eastAsia="Arial" w:hAnsi="Arial"/>
          <w:sz w:val="18"/>
          <w:szCs w:val="18"/>
          <w:color w:val="auto"/>
        </w:rPr>
        <w:t>31(a)</w:t>
      </w:r>
      <w:r>
        <w:rPr>
          <w:sz w:val="20"/>
          <w:szCs w:val="20"/>
          <w:color w:val="auto"/>
        </w:rPr>
        <w:tab/>
      </w:r>
      <w:r>
        <w:rPr>
          <w:rFonts w:ascii="Arial" w:cs="Arial" w:eastAsia="Arial" w:hAnsi="Arial"/>
          <w:sz w:val="18"/>
          <w:szCs w:val="18"/>
          <w:color w:val="auto"/>
        </w:rPr>
        <w:t>Certification of Principal Executive Officer pursuant to Section 302 of the Sarbanes-Oxley Act of 2002 certifying the quarterly report provided for the period ended March 31, 2006</w:t>
      </w:r>
    </w:p>
    <w:p>
      <w:pPr>
        <w:spacing w:after="0" w:line="51" w:lineRule="exact"/>
        <w:rPr>
          <w:sz w:val="20"/>
          <w:szCs w:val="20"/>
          <w:color w:val="auto"/>
        </w:rPr>
      </w:pPr>
    </w:p>
    <w:p>
      <w:pPr>
        <w:ind w:left="1820" w:right="140" w:hanging="679"/>
        <w:spacing w:after="0" w:line="268" w:lineRule="auto"/>
        <w:tabs>
          <w:tab w:leader="none" w:pos="1800" w:val="left"/>
        </w:tabs>
        <w:rPr>
          <w:sz w:val="20"/>
          <w:szCs w:val="20"/>
          <w:color w:val="auto"/>
        </w:rPr>
      </w:pPr>
      <w:r>
        <w:rPr>
          <w:rFonts w:ascii="Arial" w:cs="Arial" w:eastAsia="Arial" w:hAnsi="Arial"/>
          <w:sz w:val="18"/>
          <w:szCs w:val="18"/>
          <w:color w:val="auto"/>
        </w:rPr>
        <w:t>31(b)</w:t>
      </w:r>
      <w:r>
        <w:rPr>
          <w:sz w:val="20"/>
          <w:szCs w:val="20"/>
          <w:color w:val="auto"/>
        </w:rPr>
        <w:tab/>
      </w:r>
      <w:r>
        <w:rPr>
          <w:rFonts w:ascii="Arial" w:cs="Arial" w:eastAsia="Arial" w:hAnsi="Arial"/>
          <w:sz w:val="18"/>
          <w:szCs w:val="18"/>
          <w:color w:val="auto"/>
        </w:rPr>
        <w:t>Certification of Principal Financial Officer pursuant to Section 302 of the Sarbanes-Oxley Act of 2002 certifying the quarterly report provided for the period ended March 31, 2006</w:t>
      </w:r>
    </w:p>
    <w:p>
      <w:pPr>
        <w:spacing w:after="0" w:line="51" w:lineRule="exact"/>
        <w:rPr>
          <w:sz w:val="20"/>
          <w:szCs w:val="20"/>
          <w:color w:val="auto"/>
        </w:rPr>
      </w:pPr>
    </w:p>
    <w:p>
      <w:pPr>
        <w:ind w:left="1820" w:hanging="678"/>
        <w:spacing w:after="0" w:line="254"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Certifications pursuant to Section 906 of the Sarbanes-Oxley Act of 2002 certifying the quarterly report provided for the quarter ended March 31, 2006 (furnished and not to be considered filed as part of the Form</w:t>
      </w:r>
    </w:p>
    <w:p>
      <w:pPr>
        <w:ind w:left="1820"/>
        <w:spacing w:after="0"/>
        <w:rPr>
          <w:rFonts w:ascii="Arial" w:cs="Arial" w:eastAsia="Arial" w:hAnsi="Arial"/>
          <w:sz w:val="18"/>
          <w:szCs w:val="18"/>
          <w:color w:val="auto"/>
        </w:rPr>
      </w:pPr>
      <w:r>
        <w:rPr>
          <w:rFonts w:ascii="Arial" w:cs="Arial" w:eastAsia="Arial" w:hAnsi="Arial"/>
          <w:sz w:val="18"/>
          <w:szCs w:val="18"/>
          <w:color w:val="auto"/>
        </w:rPr>
        <w:t>10-Q)</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274" w:right="379" w:bottom="1440" w:gutter="0" w:footer="0" w:header="0"/>
        </w:sectPr>
      </w:pPr>
    </w:p>
    <w:bookmarkStart w:id="20" w:name="page21"/>
    <w:bookmarkEnd w:id="20"/>
    <w:p>
      <w:pPr>
        <w:jc w:val="center"/>
        <w:ind w:right="-9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KANSAS GAS AND ELECTRIC COMPANY</w:t>
      </w:r>
    </w:p>
    <w:p>
      <w:pPr>
        <w:spacing w:after="0" w:line="225"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May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Mark A. Ruelle</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Vice President and Treasurer</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00"/>
          </w:cols>
          <w:pgMar w:left="240" w:top="274" w:right="11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KANSAS GAS AND ELECTRIC COMPANY</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BNY MIDWEST TRUST COMPANY</w:t>
      </w:r>
    </w:p>
    <w:p>
      <w:pPr>
        <w:spacing w:after="0" w:line="1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(successor to Harris Trust and Savings Bank)</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JUDITH L. BARTOLINI</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(successor to W. A. Spooner, Henry A. Theis, Oliver R. Brooks,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Wesley L. Baker, Edwin F. McMichael and R. Amundsen)</w:t>
      </w:r>
    </w:p>
    <w:p>
      <w:pPr>
        <w:spacing w:after="0" w:line="18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as Trustees under Kansas Gas and Electric Company’s</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Mortgage and Deed of Trust, Dated as of April 1, 1940</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FORTY- FIFTH SUPPLEMENTAL INDENTURE</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Providing, among other things, for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First Mortgage Bonds, 5.57% Series Due 2011</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March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FORTY-FIFTH SUPPLEMENTAL INDENTURE</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INDENTURE, dated as of March 17, 2006, between KANSAS GAS AND ELECTRIC COMPANY, a corporation of the State of Kansas (formerly named KCA Corporation and successor by merger to Kansas Gas and Electric Company, a corporation of the State of Kansas, hereinafter sometimes called the “Company-Kansas”), whose post office address is 120 East First Street, Wichita, Kansas 67202 (hereinafter sometimes called the “Company”), and BNY Midwest Trust Company, a corporation of the State of Illinois, whose post office address is 2 North LaSalle Street, Suite 1020, Chicago, Illinois 60602 (successor to Harris Trust and Savings Bank (the “Corporate Trustee”)), and JUDITH L. BARTOLINI (successor to W.A. Spooner, Henry A. Theis, Oliver R. Brooks, Wesley L. Baker, Edwin F. McMichael and R. Amundsen, and being hereinafter sometimes called the “Individual Trustee”), whose post office address is 2 North LaSalle Street, Suite 1020, Chicago, Illinois 60602 (the Corporate Trustee and the Individual Trustee being hereinafter together sometimes called the “Trustees”), as Trustees under the Mortgage and Deed of Trust, dated as of April 1, 1940 (hereinafter called the “Mortgage”), which Mortgage was executed and delivered by Kansas Gas and Electric Company, a corporation of the State of West Virginia to which the Company-Kansas was successor by merger (hereinafter sometimes called the “Company-West Virginia”), to secure the payment of bonds issued or to be issued under and in accordance with the provisions of the Mortgage, reference to which Mortgage is hereby made, this Indenture (hereinafter sometimes called the “Forty-fifth Supplemental Indenture”) being supplemental thereto;</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WHEREAS, the Company-West Virginia caused the Mortgage to be filed for record as a mortgage of real property and as a chattel mortgage in the offices of the Registers of Deeds in various counties in the State of Kansas, and on April 25, 1940 paid to the Register of Deeds of Sedgwick County, Kansas, that being the County in which the Mortgage was first filed for record, the sum of $40,000 in payment of the Kansas mortgage registration tax as provided by Section 79-3101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General Statutes of Kansas 1935; and</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WHEREAS, by the Mortgage, the Company-West Virginia covenanted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intended to be subject to the lien thereof; and</w:t>
      </w:r>
    </w:p>
    <w:p>
      <w:pPr>
        <w:spacing w:after="0" w:line="10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WHEREAS, an instrument, dated May 31, 1949, was executed by the Company-West Virginia appointing Oliver R. Brooks as Individual Trustee in succession to said Henry A. Theis, resigned, under the Mortgage, and by Oliver R. Brooks accepting the appointment as Individual Trustee under the Mortgage in succession to said Henry A. Theis, which instrument was filed for record in the offices of the Registers of Deeds in various counties in the State of Kansas; and</w:t>
      </w:r>
    </w:p>
    <w:p>
      <w:pPr>
        <w:spacing w:after="0" w:line="8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WHEREAS, an instrument, dated March 3, 1958, was executed by the Company-West Virginia appointing Wesley L. Baker as Individual Trustee in succession to said Oliver R. Brooks, resigned, under the Mortgage, and by Wesley L. Baker accepting the appointment as Individual Trustee under the Mortgage in succession to said Oliver R. Brooks, which instrument was filed for record in the offices of the Registers of Deeds in various counties in the State of Kansas; and</w:t>
      </w:r>
    </w:p>
    <w:p>
      <w:pPr>
        <w:sectPr>
          <w:pgSz w:w="11900" w:h="16838" w:orient="portrait"/>
          <w:cols w:equalWidth="0" w:num="1">
            <w:col w:w="11380"/>
          </w:cols>
          <w:pgMar w:left="240" w:top="274" w:right="279" w:bottom="1440" w:gutter="0" w:footer="0" w:header="0"/>
        </w:sectPr>
      </w:pPr>
    </w:p>
    <w:bookmarkStart w:id="23" w:name="page24"/>
    <w:bookmarkEnd w:id="23"/>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an instrument, dated November 20, 1969, was executed by the Company-West Virginia appointing Edwin F. McMichael as Individual Trustee in succession to said Wesley L. Baker, resigned, under the Mortgage, and by Edwin F. McMichael accepting the appointment as Individual Trustee under the Mortgage in succession to said Wesley L. Baker, which instrument was filed for record in the offices of the Registers of Deeds in various counties in the State of Kansas; and</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WHEREAS, by the Twenty-seventh Supplemental Indenture mentioned below, the Company-Kansas, among other things, appointed R. Amundsen as Individual Trustee in succession to said Edwin F. McMichael, resigned, under the Mortgage, and by R. Amundsen accepting the appointment as Individual Trustee under the Mortgage in succession to said Edwin F. McMichael; and</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WHEREAS, by the Thirty-second Supplemental Indenture mentioned below, the Company-Kansas, among other things, appointed W. A. Spooner as Individual Trustee in succession to said R. Amundsen, resigned, under the Mortgage, and by W. A. Spooner accepting the appointment as Individual Trustee under the Mortgage in succession to said R. Amundsen; and</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WHEREAS, by the Fortieth Supplemental Indenture mentioned below, the Company-Kansas, among other things, appointed Judith L. Bartolini as Individual Trustee in succession to said W.A. Spooner resigned, under the Mortgage, and by Judith L. Bartolini accepting the appointment as Individual Trustee under the Mortgage in succession to said W.A. Spooner; and</w:t>
      </w:r>
    </w:p>
    <w:p>
      <w:pPr>
        <w:spacing w:after="0" w:line="14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WHEREAS, the Company-West Virginia executed and delivered to the Trustees a First Supplemental Indenture, dated as of June 1, 1942 (which supplemental indenture is hereinafter sometimes called the “First Supplemental Indenture”); and</w:t>
      </w:r>
    </w:p>
    <w:p>
      <w:pPr>
        <w:spacing w:after="0" w:line="132"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WHEREAS, the Company-West Virginia caused the First Supplemental Indenture to be filed for record as a mortgage of real property and as a chattel mortgage in the offices of the Registers of Deeds in various counties in the State of Kansas, but paid no mortgage registration tax in connection with the recordation of the First Supplemental Indenture, no such tax having been payable in connection with such recordation; and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Company-West Virginia executed and delivered to the Trustees the following supplemental indentures: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Designation</w:t>
            </w:r>
          </w:p>
        </w:tc>
        <w:tc>
          <w:tcPr>
            <w:tcW w:w="49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Dated as of</w:t>
            </w:r>
          </w:p>
        </w:tc>
      </w:tr>
      <w:tr>
        <w:trPr>
          <w:trHeight w:val="275"/>
        </w:trPr>
        <w:tc>
          <w:tcPr>
            <w:tcW w:w="3760" w:type="dxa"/>
            <w:vAlign w:val="bottom"/>
          </w:tcPr>
          <w:p>
            <w:pPr>
              <w:spacing w:after="0"/>
              <w:rPr>
                <w:sz w:val="20"/>
                <w:szCs w:val="20"/>
                <w:color w:val="auto"/>
              </w:rPr>
            </w:pPr>
            <w:r>
              <w:rPr>
                <w:rFonts w:ascii="Arial" w:cs="Arial" w:eastAsia="Arial" w:hAnsi="Arial"/>
                <w:sz w:val="18"/>
                <w:szCs w:val="18"/>
                <w:color w:val="auto"/>
              </w:rPr>
              <w:t>Second Supplemental Indenture</w:t>
            </w:r>
          </w:p>
        </w:tc>
        <w:tc>
          <w:tcPr>
            <w:tcW w:w="4960" w:type="dxa"/>
            <w:vAlign w:val="bottom"/>
          </w:tcPr>
          <w:p>
            <w:pPr>
              <w:spacing w:after="0"/>
              <w:rPr>
                <w:sz w:val="23"/>
                <w:szCs w:val="23"/>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color w:val="auto"/>
              </w:rPr>
              <w:t>March 1, 1948</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Third Supplemental Indenture</w:t>
            </w:r>
          </w:p>
        </w:tc>
        <w:tc>
          <w:tcPr>
            <w:tcW w:w="4960" w:type="dxa"/>
            <w:vAlign w:val="bottom"/>
          </w:tcPr>
          <w:p>
            <w:pPr>
              <w:spacing w:after="0"/>
              <w:rPr>
                <w:sz w:val="18"/>
                <w:szCs w:val="18"/>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color w:val="auto"/>
                <w:w w:val="97"/>
              </w:rPr>
              <w:t>December 1, 1949</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Fourth Supplemental Indenture</w:t>
            </w:r>
          </w:p>
        </w:tc>
        <w:tc>
          <w:tcPr>
            <w:tcW w:w="4960" w:type="dxa"/>
            <w:vAlign w:val="bottom"/>
          </w:tcPr>
          <w:p>
            <w:pPr>
              <w:spacing w:after="0"/>
              <w:rPr>
                <w:sz w:val="18"/>
                <w:szCs w:val="18"/>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color w:val="auto"/>
              </w:rPr>
              <w:t>June 1, 1952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Fifth Supplemental Indenture</w:t>
            </w:r>
          </w:p>
        </w:tc>
        <w:tc>
          <w:tcPr>
            <w:tcW w:w="4960" w:type="dxa"/>
            <w:vAlign w:val="bottom"/>
          </w:tcPr>
          <w:p>
            <w:pPr>
              <w:spacing w:after="0"/>
              <w:rPr>
                <w:sz w:val="18"/>
                <w:szCs w:val="18"/>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color w:val="auto"/>
              </w:rPr>
              <w:t>October 1, 1953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Sixth Supplemental Indenture</w:t>
            </w:r>
          </w:p>
        </w:tc>
        <w:tc>
          <w:tcPr>
            <w:tcW w:w="4960" w:type="dxa"/>
            <w:vAlign w:val="bottom"/>
          </w:tcPr>
          <w:p>
            <w:pPr>
              <w:spacing w:after="0"/>
              <w:rPr>
                <w:sz w:val="18"/>
                <w:szCs w:val="18"/>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color w:val="auto"/>
              </w:rPr>
              <w:t>March 1, 1955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Seventh Supplemental Indenture</w:t>
            </w:r>
          </w:p>
        </w:tc>
        <w:tc>
          <w:tcPr>
            <w:tcW w:w="4960" w:type="dxa"/>
            <w:vAlign w:val="bottom"/>
          </w:tcPr>
          <w:p>
            <w:pPr>
              <w:spacing w:after="0"/>
              <w:rPr>
                <w:sz w:val="18"/>
                <w:szCs w:val="18"/>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color w:val="auto"/>
              </w:rPr>
              <w:t>February 1, 1956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Eighth Supplemental Indenture</w:t>
            </w:r>
          </w:p>
        </w:tc>
        <w:tc>
          <w:tcPr>
            <w:tcW w:w="4960" w:type="dxa"/>
            <w:vAlign w:val="bottom"/>
          </w:tcPr>
          <w:p>
            <w:pPr>
              <w:spacing w:after="0"/>
              <w:rPr>
                <w:sz w:val="18"/>
                <w:szCs w:val="18"/>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color w:val="auto"/>
              </w:rPr>
              <w:t>January 1, 1961</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Ninth Supplemental Indenture</w:t>
            </w:r>
          </w:p>
        </w:tc>
        <w:tc>
          <w:tcPr>
            <w:tcW w:w="4960" w:type="dxa"/>
            <w:vAlign w:val="bottom"/>
          </w:tcPr>
          <w:p>
            <w:pPr>
              <w:spacing w:after="0"/>
              <w:rPr>
                <w:sz w:val="18"/>
                <w:szCs w:val="18"/>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color w:val="auto"/>
              </w:rPr>
              <w:t>May 1, 1966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Tenth Supplemental Indenture</w:t>
            </w:r>
          </w:p>
        </w:tc>
        <w:tc>
          <w:tcPr>
            <w:tcW w:w="4960" w:type="dxa"/>
            <w:vAlign w:val="bottom"/>
          </w:tcPr>
          <w:p>
            <w:pPr>
              <w:spacing w:after="0"/>
              <w:rPr>
                <w:sz w:val="18"/>
                <w:szCs w:val="18"/>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color w:val="auto"/>
              </w:rPr>
              <w:t>March 1, 1970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Eleventh Supplemental Indenture</w:t>
            </w:r>
          </w:p>
        </w:tc>
        <w:tc>
          <w:tcPr>
            <w:tcW w:w="4960" w:type="dxa"/>
            <w:vAlign w:val="bottom"/>
          </w:tcPr>
          <w:p>
            <w:pPr>
              <w:spacing w:after="0"/>
              <w:rPr>
                <w:sz w:val="18"/>
                <w:szCs w:val="18"/>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color w:val="auto"/>
              </w:rPr>
              <w:t>May 1, 1971</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Twelfth Supplemental Indenture</w:t>
            </w:r>
          </w:p>
        </w:tc>
        <w:tc>
          <w:tcPr>
            <w:tcW w:w="4960" w:type="dxa"/>
            <w:vAlign w:val="bottom"/>
          </w:tcPr>
          <w:p>
            <w:pPr>
              <w:spacing w:after="0"/>
              <w:rPr>
                <w:sz w:val="19"/>
                <w:szCs w:val="19"/>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color w:val="auto"/>
              </w:rPr>
              <w:t>March 1, 1972</w:t>
            </w:r>
          </w:p>
        </w:tc>
      </w:tr>
      <w:tr>
        <w:trPr>
          <w:trHeight w:val="365"/>
        </w:trPr>
        <w:tc>
          <w:tcPr>
            <w:tcW w:w="3760" w:type="dxa"/>
            <w:vAlign w:val="bottom"/>
          </w:tcPr>
          <w:p>
            <w:pPr>
              <w:spacing w:after="0"/>
              <w:rPr>
                <w:sz w:val="24"/>
                <w:szCs w:val="24"/>
                <w:color w:val="auto"/>
              </w:rPr>
            </w:pPr>
          </w:p>
        </w:tc>
        <w:tc>
          <w:tcPr>
            <w:tcW w:w="4960" w:type="dxa"/>
            <w:vAlign w:val="bottom"/>
          </w:tcPr>
          <w:p>
            <w:pPr>
              <w:jc w:val="right"/>
              <w:ind w:right="3272"/>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360"/>
          </w:cols>
          <w:pgMar w:left="240" w:top="280"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supplemental indentures are hereinafter sometimes called the Second through Twelfth Supplemental Indentures, respectively; and</w:t>
      </w:r>
    </w:p>
    <w:p>
      <w:pPr>
        <w:spacing w:after="0" w:line="171" w:lineRule="exact"/>
        <w:rPr>
          <w:sz w:val="20"/>
          <w:szCs w:val="20"/>
          <w:color w:val="auto"/>
        </w:rPr>
      </w:pPr>
    </w:p>
    <w:p>
      <w:pPr>
        <w:jc w:val="both"/>
        <w:ind w:right="140" w:firstLine="456"/>
        <w:spacing w:after="0" w:line="318" w:lineRule="auto"/>
        <w:rPr>
          <w:sz w:val="20"/>
          <w:szCs w:val="20"/>
          <w:color w:val="auto"/>
        </w:rPr>
      </w:pPr>
      <w:r>
        <w:rPr>
          <w:rFonts w:ascii="Arial" w:cs="Arial" w:eastAsia="Arial" w:hAnsi="Arial"/>
          <w:sz w:val="15"/>
          <w:szCs w:val="15"/>
          <w:color w:val="auto"/>
        </w:rPr>
        <w:t>WHEREAS, the Company-West Virginia caused the Second through Eighth Supplemental Indentures to be filed for record as a mortgage of real property and as a chattel mortgage in the offices of the Registers of Deeds in various counties in the State of Kansas, and caused the Ninth through Twelfth Supplemental Indentures to be filed for record as a mortgage of real property in the offices of the Registers of Deeds in various counties in the State of Kansas and as a chattel mortgage in the Office of the Secretary of State of Kansas, and on the following dates paid to the Register of Deeds of Sedgwick County, Kansas, that being the County in which the Second through Twelfth Supplemental Indentures were first filed for record as a mortgage of real property, the following amounts:</w:t>
      </w:r>
    </w:p>
    <w:p>
      <w:pPr>
        <w:spacing w:after="0" w:line="1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March 30, 1948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December 7, 1949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June 17, 1952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October 21, 1953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March 22, 1955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March 5, 1956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January 24, 1961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May 17, 1966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March 10, 1970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May 19, 1971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March 23, 1972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such amounts being in payment of the Kansas mortgage registration tax as provided by the then currently applicable sections of the statutes of the State of Kansas in effect on those dates; and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Company-West Virginia was merged into the Company-Kansas on May 31, 1973; and</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WHEREAS, in order to evidence the succession of the Company-Kansas to the Company-West Virginia and the assumption by the Company-Kansas of the covenants and conditions of the Company-West Virginia in the bonds and in the Mortgage contained, and to enable the Company-Kansas to have and exercise the powers and rights of the Company-West Virginia under the Mortgage in accordance with the terms thereof, the Company-Kansas executed and delivered to the Trustees a Thirteenth Supplemental Indenture, dated as of May 31, 1973 (which supplemental indenture is hereinafter sometimes called the “Thirteenth Supplemental Indenture”);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5" w:name="page26"/>
    <w:bookmarkEnd w:id="25"/>
    <w:p>
      <w:pPr>
        <w:ind w:right="1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Company-Kansas caused the Thirteenth Supplemental Indenture to be filed for record as a mortgage of real property in the offices of the Registers of Deeds in various counties in the State of Kansas and as a chattel mortgage in the Office of the Secretary of State of Kansas, but paid no mortgage registration tax in connection with the recordation of the Thirteenth Supplemental Indenture, no such tax having been payable in connection with such recordation; and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Company-Kansas executed and delivered to the Trustees the following supplemental indentures: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Designation</w:t>
            </w:r>
          </w:p>
        </w:tc>
        <w:tc>
          <w:tcPr>
            <w:tcW w:w="220" w:type="dxa"/>
            <w:vAlign w:val="bottom"/>
          </w:tcPr>
          <w:p>
            <w:pPr>
              <w:spacing w:after="0"/>
              <w:rPr>
                <w:sz w:val="14"/>
                <w:szCs w:val="14"/>
                <w:color w:val="auto"/>
              </w:rPr>
            </w:pPr>
          </w:p>
        </w:tc>
        <w:tc>
          <w:tcPr>
            <w:tcW w:w="16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Dated as of</w:t>
            </w:r>
          </w:p>
        </w:tc>
      </w:tr>
      <w:tr>
        <w:trPr>
          <w:trHeight w:val="275"/>
        </w:trPr>
        <w:tc>
          <w:tcPr>
            <w:tcW w:w="9600" w:type="dxa"/>
            <w:vAlign w:val="bottom"/>
          </w:tcPr>
          <w:p>
            <w:pPr>
              <w:spacing w:after="0"/>
              <w:rPr>
                <w:sz w:val="20"/>
                <w:szCs w:val="20"/>
                <w:color w:val="auto"/>
              </w:rPr>
            </w:pPr>
            <w:r>
              <w:rPr>
                <w:rFonts w:ascii="Arial" w:cs="Arial" w:eastAsia="Arial" w:hAnsi="Arial"/>
                <w:sz w:val="18"/>
                <w:szCs w:val="18"/>
                <w:color w:val="auto"/>
              </w:rPr>
              <w:t>Fourteenth Supplemental Indenture</w:t>
            </w:r>
          </w:p>
        </w:tc>
        <w:tc>
          <w:tcPr>
            <w:tcW w:w="220" w:type="dxa"/>
            <w:vAlign w:val="bottom"/>
          </w:tcPr>
          <w:p>
            <w:pPr>
              <w:spacing w:after="0"/>
              <w:rPr>
                <w:sz w:val="23"/>
                <w:szCs w:val="23"/>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July 1, 1975</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Fifteenth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December 1, 1975</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Sixteenth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September 1, 1976</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Seventeenth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1, 1977</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Eighteenth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1, 1977</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Nineteenth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August 1, 1977</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Twentieth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15, 1978</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Twenty-first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January 1, 1979</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Twenty-second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April 1, 1980</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Twenty-third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July 1, 1980</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Twenty-fourth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August 1, 1980</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Twenty-fifth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June 1, 1981</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Twenty-sixth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December 1, 1981</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Twenty-seventh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1, 1982</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Twenty-eighth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15, 1984</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Twenty-ninth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September 1, 1984</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Thirtieth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September 1, 1984</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Thirty-first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February 1, 1985</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Thirty-second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April 15, 1986</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Thirty-third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June 1, 1991</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Thirty-fourth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31, 1992</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Thirty-fifth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w w:val="99"/>
              </w:rPr>
              <w:t>December 17, 1992</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Thirty-sixth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August 12, 1993</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Thirty-seventh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January 15, 1994</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Thirty-eighth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1, 1994</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Thirty-ninth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April 15, 1994</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Fortieth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June 28, 2000</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Forty-first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June 6, 2002</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Forty-second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12, 2004</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Forty-third Supplemental Indenture</w:t>
            </w:r>
          </w:p>
        </w:tc>
        <w:tc>
          <w:tcPr>
            <w:tcW w:w="2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June 1, 2004</w:t>
            </w:r>
          </w:p>
        </w:tc>
      </w:tr>
      <w:tr>
        <w:trPr>
          <w:trHeight w:val="222"/>
        </w:trPr>
        <w:tc>
          <w:tcPr>
            <w:tcW w:w="9600" w:type="dxa"/>
            <w:vAlign w:val="bottom"/>
          </w:tcPr>
          <w:p>
            <w:pPr>
              <w:spacing w:after="0"/>
              <w:rPr>
                <w:sz w:val="20"/>
                <w:szCs w:val="20"/>
                <w:color w:val="auto"/>
              </w:rPr>
            </w:pPr>
            <w:r>
              <w:rPr>
                <w:rFonts w:ascii="Arial" w:cs="Arial" w:eastAsia="Arial" w:hAnsi="Arial"/>
                <w:sz w:val="18"/>
                <w:szCs w:val="18"/>
                <w:color w:val="auto"/>
              </w:rPr>
              <w:t>Forty-fourth Supplemental Indenture</w:t>
            </w:r>
          </w:p>
        </w:tc>
        <w:tc>
          <w:tcPr>
            <w:tcW w:w="22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6, 2005</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which supplemental indentures are hereinafter sometimes called the Fourteenth through Forty-fourth Supplemental Indentures, respectively; and</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6" w:name="page27"/>
    <w:bookmarkEnd w:id="26"/>
    <w:p>
      <w:pPr>
        <w:ind w:right="1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Company-Kansas caused the Fourteenth Supplemental Indenture to be filed for record as a mortgage of real property in the offices of the Registers of Deeds in various counties in the State of Kansas and as a chattel mortgage in the Office of the Secretary of State of Kansas; and</w:t>
      </w:r>
    </w:p>
    <w:p>
      <w:pPr>
        <w:spacing w:after="0" w:line="8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WHEREAS, the Company-Kansas caused the Fifteenth Supplemental Indenture to be filed for record as a mortgage of real property in the office of the Register of Deeds of Sedgwick County, Kansas (filed on December 10, 1975, Film 169, page 363), and as a chattel mortgage in the Office of the Secretary of State of Kansas (filed on December 10, 1975 and indexed as No. 325,911); and</w:t>
      </w:r>
    </w:p>
    <w:p>
      <w:pPr>
        <w:spacing w:after="0" w:line="14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WHEREAS, the Company-Kansas caused the Sixteenth Supplemental Indenture to be filed for record as a mortgage of real property in the office of the Register of Deeds of Sedgwick County, Kansas (filed on September 29, 1976, Film 21 1, page 363), and as a chattel mortgage in the Office of the Secretary of State of Kansas (filed on September 29, 1976 and indexed as No. 363,835); and</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WHEREAS, the Company-Kansas caused the Seventeenth Supplemental Indenture to be filed for record as a mortgage of real property in the office of the Register of Deeds of Sedgwick County, Kansas (filed on March 16, 1977, Film 234, page 492), and as a chattel mortgage in the Office of the Secretary of State of Kansas (filed on March 1, 1977 and indexed as No. 384,759); and</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WHEREAS, the Company-Kansas caused the Eighteenth Supplemental Indenture to be filed for record as a mortgage of real property in the office of the Register of Deeds of Sedgwick County, Kansas (filed on May 26, 1977, Film 246, page 655), and as a chattel mortgage in the Office of the Secretary of State of Kansas (filed on May 26, 1977 and indexed as No. 394,573); and</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WHEREAS, the Company-Kansas caused the Nineteenth Supplemental Indenture to be filed for record as a mortgage of real property in the office of the Register of Deeds of Sedgwick County, Kansas (filed on August 31, 1977, Film 263, page 882), and as a chattel mortgage in the Office of the Secretary of State of Kansas (filed on September 1, 1977 and indexed as No. 406,577); and</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WHEREAS, the Company-Kansas caused the Twentieth Supplemental Indenture to be filed for record as a mortgage of real property in the office of the Register of Deeds of Sedgwick County, Kansas (filed on March 29, 1978, Film 297, pages 635-656), and as a chattel mortgage in the Office of the Secretary of State of Kansas (filed on March 30, 1978 and indexed as No. 434,072); and</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WHEREAS, the Company-Kansas caused the Twenty-first Supplemental Indenture to be filed for record as a mortgage of real property in the office of the Register of Deeds of Sedgwick County, Kansas (filed on January 9, 1979, Film 345, page 648), and as a chattel mortgage in the Office of the Secretary of State of Kansas (filed on January 10, 1979 and indexed as No. 470,851); and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Company-Kansas caused the Twenty-second Supplemental Indenture to be filed for record as a mortgage of real property in the office of the Register of Deeds of Sedgwick County, Kansas (filed on April 2, 1980, Film 413, page 1,468), and as a chattel mortgage in the Office of the Secretary of State of Kansas (filed on April 3, 1980 and indexed as No. 533,415); and</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the Company-Kansas caused the Twenty-third Supplemental Indenture to be filed for record as a mortgage of real property in the office of the Register of Deeds of Sedgwick County, Kansas (filed on July 1, 1980, Film 425, page 1,003), and as a chattel mortgage in the Office of the Secretary of State of Kansas (filed on July 2, 1980 and indexed as No. 546,185);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7" w:name="page28"/>
    <w:bookmarkEnd w:id="27"/>
    <w:p>
      <w:pPr>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Company-Kansas caused the Twenty-fourth Supplemental Indenture to be filed for record as a mortgage of real property in the office of the Register of Deeds of Sedgwick County, Kansas (filed on August 28, 1980, Film 435, page 266), and as a chattel mortgage in the Office of the Secretary of State of Kansas (filed on August 29, 1980 and indexed as No. 554,543); and</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WHEREAS, the Company-Kansas caused the Twenty-fifth Supplemental Indenture to be filed for record as a mortgage of real property in the office of the Register of Deeds of Sedgwick County, Kansas (filed on June 30, 1981, Film 483, page 1,512), and as a chattel mortgage in the Office of the Secretary of State of Kansas (filed on June 30, 1981 and indexed as No. 601,270); and</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the Company-Kansas caused the Twenty-sixth Supplemental Indenture to be filed for record as a mortgage of real property in the office of the Register of Deeds of Sedgwick County, Kansas (filed on December 30, 1981, Film 510, page 300), and as a chattel mortgage in the Office of the Secretary of State of Kansas (filed on December 31, 1981 and indexed as No. 628,293); and</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WHEREAS, the Company-Kansas caused the Twenty-seventh Supplemental Indenture to be filed for record as a mortgage of real property in the office of the Register of Deeds of Sedgwick County, Kansas (filed on May 6, 1982, Film 526, page 1,141), and as a chattel mortgage in the Office of the Secretary of State of Kansas (filed on May 7, 1982 and indexed as No. 650,115); and</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WHEREAS, the Company-Kansas caused the Twenty-eighth Supplemental Indenture to be filed for record as a mortgage of real property in the office of the Register of Deeds of Sedgwick County, Kansas (filed on March 22, 1984, Film 645, page 1,524), and as a chattel mortgage in the Office of the Secretary of State of Kansas (filed on March 23, 1984 and indexed as No. 796,449); and</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WHEREAS, the Company-Kansas caused the Twenty-ninth Supplemental Indenture to be filed for record as a mortgage of real property in the office of the Register of Deeds of Sedgwick County, Kansas (filed on September 5, 1984, Film 681, page 763), and as a chattel mortgage in the Office of the Secretary of State of Kansas (filed on September 6, 1984 and indexed as No. 852,425); and</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WHEREAS, the Company-Kansas caused the Thirtieth Supplemental Indenture to be filed for record as a mortgage of real property in the office of the Register of Deeds of Sedgwick County, Kansas (filed on September 12, 1984, Film 682, page 1,087), and as a chattel mortgage in the Office of the Secretary of State of Kansas (filed on September 13, 1984 and indexed as No. 854,284); and</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WHEREAS, the Company-Kansas caused the Thirty-third Supplemental Indenture to be filed for record as a mortgage of real property in the office of the Register of Deeds of Sedgwick County, Kansas (filed on June 18, 1991, Film 1 177, page 0876), and as a security agreement in the Office of Secretary of State of Kansas (filed on June 18, 1991 and indexed as No. 1,693,446);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8" w:name="page29"/>
    <w:bookmarkEnd w:id="28"/>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Company-Kansas caused the Fortieth Supplemental Indenture to be filed for record as a mortgage of real property in the office of the Register of Deeds of Sedgwick County, Kansas (filed on June 28, 2000, Film 2062, page 0053), and as a security agreement in the Office of Secretary of State of Kansas (filed on June 28, 2000, and indexed as No. 3756913); and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Company on the following dates paid to the Register of Deeds of Sedgwick County, Kansas, that being the County in which the Fourteenth through Thirtieth Supplemental Indentures, the Thirty-third Supplemental Indenture and the Fortieth Supplemental Indenture were first filed for record as a mortgage of real property, the following amounts: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520" w:type="dxa"/>
            <w:vAlign w:val="bottom"/>
          </w:tcPr>
          <w:p>
            <w:pPr>
              <w:spacing w:after="0"/>
              <w:rPr>
                <w:sz w:val="14"/>
                <w:szCs w:val="14"/>
                <w:color w:val="auto"/>
              </w:rPr>
            </w:pPr>
          </w:p>
        </w:tc>
        <w:tc>
          <w:tcPr>
            <w:tcW w:w="1020" w:type="dxa"/>
            <w:vAlign w:val="bottom"/>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July 2, 1975</w:t>
            </w:r>
          </w:p>
        </w:tc>
        <w:tc>
          <w:tcPr>
            <w:tcW w:w="1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  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December 10, 1975</w:t>
            </w:r>
          </w:p>
        </w:tc>
        <w:tc>
          <w:tcPr>
            <w:tcW w:w="1540" w:type="dxa"/>
            <w:vAlign w:val="bottom"/>
            <w:gridSpan w:val="2"/>
          </w:tcPr>
          <w:p>
            <w:pPr>
              <w:jc w:val="right"/>
              <w:ind w:right="152"/>
              <w:spacing w:after="0"/>
              <w:rPr>
                <w:sz w:val="20"/>
                <w:szCs w:val="20"/>
                <w:color w:val="auto"/>
              </w:rPr>
            </w:pPr>
            <w:r>
              <w:rPr>
                <w:rFonts w:ascii="Arial" w:cs="Arial" w:eastAsia="Arial" w:hAnsi="Arial"/>
                <w:sz w:val="18"/>
                <w:szCs w:val="18"/>
                <w:color w:val="auto"/>
              </w:rPr>
              <w:t>48,750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September 29, 1976</w:t>
            </w:r>
          </w:p>
        </w:tc>
        <w:tc>
          <w:tcPr>
            <w:tcW w:w="1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March 16, 1977</w:t>
            </w:r>
          </w:p>
        </w:tc>
        <w:tc>
          <w:tcPr>
            <w:tcW w:w="1540" w:type="dxa"/>
            <w:vAlign w:val="bottom"/>
            <w:gridSpan w:val="2"/>
          </w:tcPr>
          <w:p>
            <w:pPr>
              <w:jc w:val="right"/>
              <w:ind w:right="152"/>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May 26, 1977</w:t>
            </w:r>
          </w:p>
        </w:tc>
        <w:tc>
          <w:tcPr>
            <w:tcW w:w="1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August 31, 1977</w:t>
            </w:r>
          </w:p>
        </w:tc>
        <w:tc>
          <w:tcPr>
            <w:tcW w:w="1540" w:type="dxa"/>
            <w:vAlign w:val="bottom"/>
            <w:gridSpan w:val="2"/>
          </w:tcPr>
          <w:p>
            <w:pPr>
              <w:jc w:val="right"/>
              <w:ind w:right="152"/>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March 29, 1978</w:t>
            </w:r>
          </w:p>
        </w:tc>
        <w:tc>
          <w:tcPr>
            <w:tcW w:w="1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January 9, 1979</w:t>
            </w:r>
          </w:p>
        </w:tc>
        <w:tc>
          <w:tcPr>
            <w:tcW w:w="1540" w:type="dxa"/>
            <w:vAlign w:val="bottom"/>
            <w:gridSpan w:val="2"/>
          </w:tcPr>
          <w:p>
            <w:pPr>
              <w:jc w:val="right"/>
              <w:ind w:right="152"/>
              <w:spacing w:after="0"/>
              <w:rPr>
                <w:sz w:val="20"/>
                <w:szCs w:val="20"/>
                <w:color w:val="auto"/>
              </w:rPr>
            </w:pPr>
            <w:r>
              <w:rPr>
                <w:rFonts w:ascii="Arial" w:cs="Arial" w:eastAsia="Arial" w:hAnsi="Arial"/>
                <w:sz w:val="18"/>
                <w:szCs w:val="18"/>
                <w:color w:val="auto"/>
              </w:rPr>
              <w:t>36,250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April 2, 1980</w:t>
            </w:r>
          </w:p>
        </w:tc>
        <w:tc>
          <w:tcPr>
            <w:tcW w:w="1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July 1, 1980</w:t>
            </w:r>
          </w:p>
        </w:tc>
        <w:tc>
          <w:tcPr>
            <w:tcW w:w="1540" w:type="dxa"/>
            <w:vAlign w:val="bottom"/>
            <w:gridSpan w:val="2"/>
          </w:tcPr>
          <w:p>
            <w:pPr>
              <w:jc w:val="right"/>
              <w:ind w:right="152"/>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August 28, 1980</w:t>
            </w:r>
          </w:p>
        </w:tc>
        <w:tc>
          <w:tcPr>
            <w:tcW w:w="1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June 30, 1981</w:t>
            </w:r>
          </w:p>
        </w:tc>
        <w:tc>
          <w:tcPr>
            <w:tcW w:w="1540" w:type="dxa"/>
            <w:vAlign w:val="bottom"/>
            <w:gridSpan w:val="2"/>
          </w:tcPr>
          <w:p>
            <w:pPr>
              <w:jc w:val="right"/>
              <w:ind w:right="152"/>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December 30, 1981</w:t>
            </w:r>
          </w:p>
        </w:tc>
        <w:tc>
          <w:tcPr>
            <w:tcW w:w="1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May 6, 1982</w:t>
            </w:r>
          </w:p>
        </w:tc>
        <w:tc>
          <w:tcPr>
            <w:tcW w:w="1540" w:type="dxa"/>
            <w:vAlign w:val="bottom"/>
            <w:gridSpan w:val="2"/>
          </w:tcPr>
          <w:p>
            <w:pPr>
              <w:jc w:val="right"/>
              <w:ind w:right="152"/>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March 22, 1984</w:t>
            </w:r>
          </w:p>
        </w:tc>
        <w:tc>
          <w:tcPr>
            <w:tcW w:w="1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93,750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September 5, 1984</w:t>
            </w:r>
          </w:p>
        </w:tc>
        <w:tc>
          <w:tcPr>
            <w:tcW w:w="1540" w:type="dxa"/>
            <w:vAlign w:val="bottom"/>
            <w:gridSpan w:val="2"/>
          </w:tcPr>
          <w:p>
            <w:pPr>
              <w:jc w:val="right"/>
              <w:ind w:right="152"/>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September 12, 1984</w:t>
            </w:r>
          </w:p>
        </w:tc>
        <w:tc>
          <w:tcPr>
            <w:tcW w:w="1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June 18, 1991</w:t>
            </w:r>
          </w:p>
        </w:tc>
        <w:tc>
          <w:tcPr>
            <w:tcW w:w="1540" w:type="dxa"/>
            <w:vAlign w:val="bottom"/>
            <w:gridSpan w:val="2"/>
          </w:tcPr>
          <w:p>
            <w:pPr>
              <w:jc w:val="right"/>
              <w:ind w:right="152"/>
              <w:spacing w:after="0"/>
              <w:rPr>
                <w:sz w:val="20"/>
                <w:szCs w:val="20"/>
                <w:color w:val="auto"/>
              </w:rPr>
            </w:pPr>
            <w:r>
              <w:rPr>
                <w:rFonts w:ascii="Arial" w:cs="Arial" w:eastAsia="Arial" w:hAnsi="Arial"/>
                <w:sz w:val="18"/>
                <w:szCs w:val="18"/>
                <w:color w:val="auto"/>
              </w:rPr>
              <w:t>334,100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June 28, 2000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1,780,538.50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such amounts being in payment of the Kansas mortgage registration tax as provided by the then currently applicable sections of the statutes of the State of Kansas in effect on those dates; and</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WHEREAS, the Company-Kansas caused the Thirty-first Supplemental Indenture to be filed for record as a mortgage of real property in the office of the Register of Deeds of Sedgwick County, Kansas (filed on February 1, 1985, Film 707, page 378), and as a chattel mortgage in the Office of the Secretary of State of Kansas (filed on February 4, 1985 and indexed as No. 895,468), but paid no mortgage registration tax in connection with the recordation of the Thirty-first Supplemental Indenture, no such tax having been payable in connection with such recordation; and</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the Company-Kansas caused the Thirty-second Supplemental Indenture to be filed for record as a mortgage of real property in the office of the Register of Deeds of Sedgwick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9" w:name="page30"/>
    <w:bookmarkEnd w:id="29"/>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County, Kansas (filed on April 16, 1986, Film 791, page 1,336), and as a chattel mortgage in the Office of the Secretary of State of Kansas (filed on April 17, 1986 and indexed as No. 1,048,212), but paid no mortgage registration tax in connection with the recordation of the Thirty-second Supplemental Indenture, no such tax having been payable in connection with such recordation; and</w:t>
      </w:r>
    </w:p>
    <w:p>
      <w:pPr>
        <w:spacing w:after="0" w:line="14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WHEREAS, in order to evidence the succession of the Company to the Company-Kansas and the assumption by the Company of the covenants and conditions of the Company-Kansas in the bonds and in the Mortgage contained, and to enable the Company to have and exercise the powers and rights of the Company-Kansas under the Mortgage in accordance with the terms thereof, the Company executed and delivered to the Trustees a Thirty-fourth Supplemental Indenture, dated as of March 31, 1992 (which supplemental indenture is hereinafter sometimes called the “Thirty-fourth Supplemental Indenture”); and</w:t>
      </w:r>
    </w:p>
    <w:p>
      <w:pPr>
        <w:spacing w:after="0" w:line="9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WHEREAS, the Company-Kansas caused the Thirty-fourth Supplemental Indenture to be filed for record as a mortgage of real property in the office of the Register of Deeds of Sedgwick County, Kansas (filed on March 31, 1992, Film 1236, page 987), and as a security agreement in the Office of Secretary of State of Kansas (filed on March 31, 1992 and indexed as No. 1,780,893), but paid no mortgage registration tax in connection with the recordation of the Thirty-fourth Supplemental Indenture, no such tax having been payable in connection with such recordation; and</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WHEREAS, the Company caused the Thirty-fifth Supplemental Indenture to be filed for record as a mortgage of real property in the office of the Register of Deeds of Sedgwick County, Kansas (filed on December 16, 1992, Film 301, page 0104), and as a security agreement in the Office of Secretary of State of Kansas (filed on December 16, 1992 and indexed as No. 1,861,886), but paid no mortgage registration tax in connection with the recordation of the Thirty-fifth Supplemental Indenture, no such tax having been payable in connection with such recordation; and</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WHEREAS, the Company-Kansas caused the Thirty-sixth Supplemental Indenture to be filed for record as a mortgage of real property in the office of the Register of Deeds of Sedgwick County, Kansas (filed on August 10, 1993, Film 1364, page 0515), and as a security agreement in the Office of Secretary of State of Kansas (filed on August 11, 1993 and indexed as No. 1,936,501), but paid no mortgage registration tax in connection with the recordation of the Thirty-sixth Supplemental Indenture, no such tax having been payable in connection with such recordation; and</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WHEREAS, the Company-Kansas caused the Thirty-seventh Supplemental Indenture to be filed for record as a mortgage of real property in the office of the Register of Deeds of Sedgwick County, Kansas (filed on January 18, 1994, Film 1411, page 0710), and as a security agreement in the Office of Secretary of State of Kansas (filed on January 18, 1994 and indexed as No. 1,985,104), but paid no mortgage registration tax in connection with the recordation of the Thirty-seventh Supplemental Indenture, no such tax having been payable in connection with such recordation; and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WHEREAS, the Company-Kansas caused the Thirty-eighth Supplemental Indenture to be filed for record as a mortgage of real property in the office of the Register of Deeds of Sedgwick County, Kansas (filed on February 28, 1994, Film 1422, page 1046), and as a security agreement in the Office of Secretary of State of Kansas (filed on February 28, 1994 and indexed as No. 1,997,743), but paid no mortgage registration tax in connection with the recordation of the Thirty-eighth Supplemental Indenture, no such tax having been payable in connection with such recordation;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30" w:name="page31"/>
    <w:bookmarkEnd w:id="30"/>
    <w:p>
      <w:pPr>
        <w:ind w:right="1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Company-Kansas caused the Thirty-ninth Supplemental Indenture to be filed for record as a mortgage of real property in the office of the Register of Deeds of Sedgwick County, Kansas (filed on April 27, 1994, Film 1440, page 855), and as a security agreement in the Office of Secretary of State of Kansas (filed on April 27, 1994 and indexed as No. 1,377,915), but paid no mortgage registration tax in connection with the recordation of the Thirty-ninth Supplemental Indenture, no such tax having been payable in connection with such recordation; and</w:t>
      </w:r>
    </w:p>
    <w:p>
      <w:pPr>
        <w:spacing w:after="0" w:line="11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WHEREAS, the Company-Kansas caused the Forty-first Supplemental Indenture to be filed for record as a mortgage of real property in the office of the Register of Deeds of Sedgwick County, Kansas (filed on June 6, 2002, Film 2460, page 1), and as a security agreement in the office of Secretary of State of Kansas (filed on June 6, 2002, and indexed as No. 5264221), but paid no mortgage registration tax in connection with the recordation of the Forty-first Supplemental Indenture, no such tax having been payable in connection with such recordation; and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WHEREAS, the Company-Kansas caused the Forty-second Supplemental Indenture to be filed for record as a mortgage of real property in the office of the Register of Deeds of Sedgwick County, Kansas (filed on March 12, 2004, Film 2854, page 8731), and as a security agreement in the office of Secretary of State of Kansas (filed on March 12, 2004, and indexed as No. 5760673), but paid no mortgage registration tax in connection with the recordation of the Forty-second Supplemental Indenture, no such tax having been payable in connection with such recordation; and</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WHEREAS, the Company-Kansas caused the Forty-third Supplemental Indenture to be filed for record as a mortgage of real property in the office of the Register of Deeds of Sedgwick County, Kansas (filed on June 10, 2004, Film and Page 28578510), and as a security agreement in the office of Secretary of State of Kansas (filed on June 10, 2004, and indexed as No. 5820311), but paid no mortgage registration tax in connection with the recordation of the Forty-third Supplemental Indenture, no such tax having been payable in connection with such recordation; and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WHEREAS, the Company-Kansas caused the Forty-fourth Supplemental Indenture to be filed for record as a mortgage of real property in the office of the Register of Deeds of Sedgwick County, Kansas (filed on May 6, 2005, Film and Page 28671438), and as a security agreement in the office of Secretary of State of Kansas (filed on May 6, 2005, and indexed as No. 5981824), but paid no mortgage registration tax in connection with the recordation of the Forty-fourth Supplemental Indenture, no such tax having been payable in connection with such recordation; and</w:t>
      </w:r>
    </w:p>
    <w:p>
      <w:pPr>
        <w:spacing w:after="0" w:line="11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 xml:space="preserve">WHEREAS, the Company-West Virginia, the Company-Kansas or the Company has from time to time caused to be filed in the respective offices of the above-mentioned Registers of Deeds and Secretary of State affidavits executed by the Trustees under the Mortgage, preserving and continuing the lien thereof either as a chattel mortgage in accordance with the provisions of K.S.A. 58-303 (Section 58-303 of the General Statutes of Kansas 1935) or as a security agreement under the provisions of K.S.A. 84-9-401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31" w:name="page32"/>
    <w:bookmarkEnd w:id="31"/>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in addition to the aforesaid filings for record in the respective offices of the above-mentioned Registers of Deeds, the Company-West Virginia, the Company-Kansas or the Company has filed copies of the Mortgage and the First through Forty-fourth Supplemental Indentures, certified as true by it, with the Secretary of State of Kansas; and</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the Company-West Virginia, the Company-Kansas or the Company has heretofore issued, in accordance with the provisions of the Mortgage, as heretofore supplemented, the following series of First Mortgage Bonds: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50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4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1"/>
              </w:rPr>
              <w:t>Issued</w:t>
            </w:r>
          </w:p>
        </w:tc>
        <w:tc>
          <w:tcPr>
            <w:tcW w:w="5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Outstanding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shd w:val="clear" w:color="auto" w:fill="000000"/>
          </w:tcPr>
          <w:p>
            <w:pPr>
              <w:spacing w:after="0"/>
              <w:rPr>
                <w:sz w:val="2"/>
                <w:szCs w:val="2"/>
                <w:color w:val="auto"/>
              </w:rPr>
            </w:pPr>
          </w:p>
        </w:tc>
        <w:tc>
          <w:tcPr>
            <w:tcW w:w="41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3-3/8% Series due 1970</w:t>
            </w:r>
          </w:p>
        </w:tc>
        <w:tc>
          <w:tcPr>
            <w:tcW w:w="4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3-1/8% Series due 1978</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2-3/4% Series due 1979</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3-3/8% Series due 1982</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12,000,000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3-5/8% Series due 1983</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3-3/8% Series due 1985</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10,000,000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3-3/8% Series due 1986</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4-5/8% Series due 1991</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7,000,000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5-5/8% Series due 1996</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8-1/2% Series due 2000</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35,000,000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8-1/8% Series due 2001</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7-3/8% Series due 2002</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25,000,000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9-5/8% Series due 2005</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6% Series due 1985</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7,000,000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7-3/4% Series due 2005</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8-3/8% Series due 2006</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25,000,000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8-1/2% Series due 2007</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6% Series due 2007</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10,000,000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5-7/8% Series due 2007</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21,940,000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8-7/8% Series due 2008</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30,000,000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6.80% Series due 2004</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16-1/4% Series due 1987</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30,000,000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6-1/2% Series due 1983</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7-1/4% Series due 1983</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25,500,000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14-7/8% Series due 1987-1991</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16% Series due 1996</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25,000,000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15-3/4% Series due 1989</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13-1/2% Series due 1989</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100,000,000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14.05% Series due 1991</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14-1/8% Series due 1991</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20,000,000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10-7/8% Series due 1987</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9-3/4% Series due 2016</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50,000,000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160" w:type="dxa"/>
            <w:vAlign w:val="bottom"/>
          </w:tcPr>
          <w:p>
            <w:pPr>
              <w:jc w:val="right"/>
              <w:ind w:right="2312"/>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20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40" w:type="dxa"/>
            <w:vAlign w:val="bottom"/>
            <w:vMerge w:val="restart"/>
          </w:tcPr>
          <w:p>
            <w:pPr>
              <w:spacing w:after="0"/>
              <w:rPr>
                <w:sz w:val="12"/>
                <w:szCs w:val="12"/>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28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55"/>
        </w:trPr>
        <w:tc>
          <w:tcPr>
            <w:tcW w:w="40" w:type="dxa"/>
            <w:vAlign w:val="bottom"/>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3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1"/>
              </w:rPr>
              <w:t>Issued</w:t>
            </w:r>
          </w:p>
        </w:tc>
        <w:tc>
          <w:tcPr>
            <w:tcW w:w="20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7.00%</w:t>
            </w: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A due 2031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18,900,000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7.00%</w:t>
            </w: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Series B due 2031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308,600,000</w:t>
            </w:r>
          </w:p>
        </w:tc>
        <w:tc>
          <w:tcPr>
            <w:tcW w:w="20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7.60%</w:t>
            </w: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due 2003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6-1/2% Series due 2005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65,000,000</w:t>
            </w:r>
          </w:p>
        </w:tc>
        <w:tc>
          <w:tcPr>
            <w:tcW w:w="20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6.20%</w:t>
            </w: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due 2006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5.10%</w:t>
            </w: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Series due 2023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13,982,500</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13,487,500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7-1/2% Series A due 2032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14,500,000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7-1/2% Series B due 2027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21,940,000</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21,940,000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7-1/2% Series C due 2032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9-1/2% Series due 2003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702,200,000</w:t>
            </w:r>
          </w:p>
        </w:tc>
        <w:tc>
          <w:tcPr>
            <w:tcW w:w="20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8% Series due 2005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735,000,000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3-1/2% Series due in 2007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300,000,000</w:t>
            </w:r>
          </w:p>
        </w:tc>
        <w:tc>
          <w:tcPr>
            <w:tcW w:w="20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5.30%</w:t>
            </w: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due 2031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18,900,000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18,900,000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5.30%</w:t>
            </w: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Series A due 2031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108,600,000</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108,600,000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2.65%</w:t>
            </w: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B due 2031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Variable Rate Series C due 2031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100,000,000</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4.60%</w:t>
            </w: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due 2010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None*</w:t>
            </w:r>
          </w:p>
        </w:tc>
        <w:tc>
          <w:tcPr>
            <w:tcW w:w="0" w:type="dxa"/>
            <w:vAlign w:val="bottom"/>
          </w:tcPr>
          <w:p>
            <w:pPr>
              <w:spacing w:after="0"/>
              <w:rPr>
                <w:sz w:val="1"/>
                <w:szCs w:val="1"/>
                <w:color w:val="auto"/>
              </w:rPr>
            </w:pPr>
          </w:p>
        </w:tc>
      </w:tr>
      <w:tr>
        <w:trPr>
          <w:trHeight w:val="149"/>
        </w:trPr>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6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issuance of the bonds of the 2011 Series pursuant to this Supplemental Indenture, the 4.60% First Mortgage Bonds Series due 2010 will be retired and will no longer be outstanding under the Indenture.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hereinafter sometimes called Bonds of the First through Forty-ninth Series; and</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WHEREAS, Section 8 of the Mortgage provides that the form of each series of bonds (other than the First Series) issued thereunder and of the coupons to be attached to the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63" w:right="29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 now desires to create a new series of bonds; and</w:t>
      </w:r>
    </w:p>
    <w:p>
      <w:pPr>
        <w:spacing w:after="0" w:line="17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WHEREAS, the execution and delivery by the Company of this Forty-fifth Supplemental Indenture, and the terms of the Bonds of the 2011 Series, hereinafter referred to, have been duly authorized by the Board of Directors of the Company by appropriate Resolutions of said Board of Directors;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90"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That Kansas Gas and Electric Company, in consideration of the premises and of One Dollar ($1) to it duly paid by the Trustees at or before the ensealing and delivery of these presents, the receipt whereof is hereby acknowledged, and in further evidence of assurance of the estate, title and rights of the Trustees and in order further to secure the payment both of the principal of and interest and premium, if any, on the bonds from time to time issued under the Mortgage,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as defined in Section 6 of the Mortgage) unto BNY Midwest Trust Company and to Judith L. Bartolini, as Trustees under the Mortgage, and to their successor or successors in said trust, and to said Trustees and their successors and assigns forever, all property, real, personal and mixed, acquired by the Company after the date of the execution and delivery of the Mortgage, in addition to property covered by the First through the Forty-fourth Supplemental Indentures (except any herein or in the Mortgage, as heretofore supplemented, expressly excepted), now owned or, subject to the provisions of Section 87 of the Mortgage, hereafter acquired by the Company and wheresoever situated, including (without in anywise limiting or impairing by the enumeration of the same the scope and intent of the foregoing or of any general description contained in this Forty-fifth Supplemental Indenture) all lands, flowage rights, water rights, flumes, raceways, dams, rights of way and roads; all steam and power houses, gas plants, street lighting systems, standards and other equipment incidental thereto, telephone, radio and television systems, air-conditioning systems and equipment incidental thereto, water works, steam heat and hot water plants, lines, service and supply systems, bridges, culverts, tracks, rolling stock, ice or refrigeration plants and equipment, street and interurban railway systems, offices, buildings and other structures and the equipment thereof; all machinery, engines, boilers, dynamos, electric and gas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chattels and chooses in action; all municipal and other franchises; all lines for the transmission and distribution of electric current, gas, steam heat or water for any purpose, including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34" w:name="page35"/>
    <w:bookmarkEnd w:id="34"/>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 all and singular the tenements, hereditarnents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IT IS HEREBY AGREED by the Company that, subject to the provisions of Section 87 of the Mortgage, all the property, rights and franchises acquired by the Company after the date hereof (except any herein or in the Mortgage, as heretofore supplemented, expressly excepted), shall be as fully embraced within the lien hereof and the lien of the Mortgage, as if such property, rights and franchises were now owned by the Company and were specifically described herein and conveyed hereby.</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PROVIDED that the following are not and are not intended to be now or hereafter granted, bargained, sold, released, conveyed, assigned, transferred, mortgaged, pledged, set over or confirmed hereunder and are hereby expressly excepted from the lien and operation of this Forty-fifth Supplemental Indenture and from the lien and operation of the Mortgage, viz.: (1) cash, shares of stock and obligations (including bonds, notes and other securities) not hereafter specifically pledged, paid, deposited or delivered under the Mortgage or covenanted so to be; (2) merchandise, equipment, materials or supplies held for the purpose of sale in the usual course of business and fuel, oil and similar materials and supplies consumable in the operation of any properties of the Company; vehicles and automobiles; (3) bills, notes and accounts receivable, and all contracts, leases and operating agreements not specifically pledged under the Mortgage or covenanted so to be; and (4) electric energy, and other materials or products generated, manufactured, produced or purchased by the Company for sale, distribution or use in the ordinary course of its business; provided, however, that the property and rights expressly excepted from the lien and operation of the Mortgage and this Forty-fifth Supplemental Indenture in the above subdivisions (2) and (3) shall (to the extent permitted by law) cease to be so excepted in the event that either or both of the Trustees or a receiver or trustee shall enter upon and take possession of the Mortgaged and Pledged Property in the manner provided in Article XII of the Mortgage by reason of the occurrence of a Default as defined in said Article XII.</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THERE is expressly excepted from the lien of the Mortgage and from the lien hereof all property of the Company located in the State of Missouri now owned or hereafter acquired unless such property in the State of Missouri shall be subjected to the lien of the Mortgage by an indenture or indentures supplemental thereto, pursuant to authorization by the Board of Directors of the Company.</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TO HAVE AND TO HOLD all such properties, real, personal and mixed, granted, bargained, sold, released, conveyed, assigned, transferred, mortgaged, pledged, set over or confirmed by the Company as aforesaid, or intended so to be, unto the Trustees, their successors and assigns forever.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35" w:name="page36"/>
    <w:bookmarkEnd w:id="35"/>
    <w:p>
      <w:pPr>
        <w:ind w:right="5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TRUST NEVERTHELESS, for the same purposes and upon the same terms, trusts and conditions and subject to and with the same provisos and covenants as are set forth in the Mortgage, as supplemented, this Forty-fifth Supplemental Indenture being supplemental thereto.</w:t>
      </w:r>
    </w:p>
    <w:p>
      <w:pPr>
        <w:spacing w:after="0" w:line="8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AND IT IS HEREBY COVENANTED by the Company that all the terms, conditions, provisos, covenants and provisions contained in the Mortgage, as supplemented, shall affect and apply to the property hereinbefore described and conveyed and to the estate, rights, obligations and duties of the Company and Trustees and the beneficiaries of the trust with respect to said property, and to the Trustees and their successors as Trustees of said property in the same manner and with the same effect as if the said property had been owned by the Company at the time of the execution of the Mortgage, and had been specifically and at length described in and conveyed to the Trustees by the Mortgage as a part of the property therein stated to be conveyed.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further covenants and agrees to and with the Trustees and their successors in said trust under the Mortgage, as follows: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2011 SERIES OF BONDS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SECTION 1. (I) There shall be a series of bonds designated 5.57% Series due 2011 (herein sometimes referred to as the “Bonds of the 2011 Series”), each</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which shall also bear the descriptive title, First Mortgage Bond, and the form thereof, which is established by Resolution of the Board of Directors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shall contain suitable provisions with respect to the matters hereinafter in this Article I specified. Bonds of the 2011 Series shall be limited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$500,000,000 in aggregate principal amount, except as provided in Section 16 of the Mortgage, shall mature on March 17, 2011, and shall be issued as fully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bonds in denominations of Five Thousand Dollars and in any multiple or multiples of Five Thousand Dollars. Bonds of the 2011 Series shall bear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interest at the rate of 5.57% per annum payable (subject to the second paragraph of Section 1(III)) on the interest payment dates for the Loans (as defined below).</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Every Bond of the 2011 Series shall bear interest from each interest payment date for the Loans next preceding the date thereof, unless no interest has been paid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 this Bond in which case from March 17, 2006. The principal of and interest on Bonds of the 2011 Series shall be payable at the office or agency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in the Borough of Manhattan, City of New York, in such coin or currency of the United States of America as at the time of payment is legal tender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and private debts. Bonds of the 2011 Series shall be dated as in Section 10 of the Mortgage provided.</w:t>
      </w:r>
    </w:p>
    <w:p>
      <w:pPr>
        <w:spacing w:after="0" w:line="165" w:lineRule="exact"/>
        <w:rPr>
          <w:sz w:val="20"/>
          <w:szCs w:val="20"/>
          <w:color w:val="auto"/>
        </w:rPr>
      </w:pPr>
    </w:p>
    <w:p>
      <w:pPr>
        <w:ind w:firstLine="464"/>
        <w:spacing w:after="0" w:line="255" w:lineRule="auto"/>
        <w:tabs>
          <w:tab w:leader="none" w:pos="7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Bonds of the 2011 Series are redeemable prior to maturity only upon demand therefor by the Collateral Agent. To effect the redemption of Bonds of the 2011 Series, the Collateral Agent shall deliver to the Trustee (and deliver a copy thereof to the Company) a written demand (hereinafter referred to as a “Redemption Demand”) for the redemption of Bonds of the 2011 Series, signed by an authorized officer and dated the date of its delivery to the Corporate Trustee, stating (i) that an Event of Default (as defined in the Collateral Agreement and as defined in the Credit Agreement referred to below) has occurred and is continuing, (ii) that there are not sufficient available funds held by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36" w:name="page37"/>
    <w:bookmarkEnd w:id="36"/>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Collateral Agent pursuant to the Collateral Agreement to make all payments required as a result of such Event of Default, (iii) the amount of funds, in addition to available funds held by the Collateral Agent pursuant to the Collateral Agreement, required to make such payments, and (iv) the principal amount of Bonds of the 2011 Series the Collateral Agent demands to have redeemed and the redemption date therefor which date should be at least thirty-one (31) days after the date of such Redemption Demand (</w:t>
      </w:r>
      <w:r>
        <w:rPr>
          <w:rFonts w:ascii="Arial" w:cs="Arial" w:eastAsia="Arial" w:hAnsi="Arial"/>
          <w:sz w:val="16"/>
          <w:szCs w:val="16"/>
          <w:i w:val="1"/>
          <w:iCs w:val="1"/>
          <w:color w:val="auto"/>
        </w:rPr>
        <w:t>provided</w:t>
      </w:r>
      <w:r>
        <w:rPr>
          <w:rFonts w:ascii="Arial" w:cs="Arial" w:eastAsia="Arial" w:hAnsi="Arial"/>
          <w:sz w:val="16"/>
          <w:szCs w:val="16"/>
          <w:color w:val="auto"/>
        </w:rPr>
        <w:t>, such principal amount shall not exceed the amount of funds specified pursuant to the foregoing clause (iii)). The Trustee may conclusively presume the statements contained in the Redemption Demand to be correct. Redemption of Bonds of the 2011 Series shall in all cases be at a price equal to the principal amount of the Bonds to be redeemed together with accrued interest to the redemption date, and such amount shall become and be due and payable on the redemption date.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hereby covenants that if a Redemption Demand shall be delivered to the Corporate Trustee, the Company will deposit, on or before the redemption date, with the Corporate Trustee, in accordance with Article X of the Mortgage, an amount in cash sufficient to redeem the Bonds of the 2011 Series so called for redemption.</w:t>
      </w:r>
    </w:p>
    <w:p>
      <w:pPr>
        <w:spacing w:after="0" w:line="140" w:lineRule="exact"/>
        <w:rPr>
          <w:sz w:val="20"/>
          <w:szCs w:val="20"/>
          <w:color w:val="auto"/>
        </w:rPr>
      </w:pPr>
    </w:p>
    <w:p>
      <w:pPr>
        <w:ind w:firstLine="464"/>
        <w:spacing w:after="0" w:line="294" w:lineRule="auto"/>
        <w:tabs>
          <w:tab w:leader="none" w:pos="79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Bonds of the 2011 Series shall be issued and pledged by the Company to the Collateral Agent pursuant to a Collateral and Guarantee Agreement dated as of March 17, 2006 among the Company, Westar Energy, Inc. (“WEI”) and JPMorgan Chase Bank, N.A. (in such capacity, the “Collateral Agent”) to secure the payment of the principal of, and up to 5.57% per annum of the interest on any of the loans issued pursuant to the $500,000,000 Second Amended and Restated Credit Agreement, dated as of March 17, 2006 among WEI, JPMorgan Chase Bank, N.A., as administrative agent, the other agents party thereto, and the lenders party thereto (the “Credit Agreement” and the loans thereunder are referred to collectively as the “Loans”).</w:t>
      </w:r>
    </w:p>
    <w:p>
      <w:pPr>
        <w:spacing w:after="0" w:line="116"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The obligation of the Company to make payments with respect to the principal of and interest on Bonds of the 2011 Series (including without limitation upon maturity thereof) shall be fully or partially, as the case may be, satisfied and discharged to the extent that, at the time that any such payment shall be due, the then due principal of and interest on the Loans shall have been fully or partially paid, or there shall be held by the Collateral Agent pursuant to the Collateral Agreement sufficient available funds to fully or partially pay the then due principal of and interest on the Loans. Notwithstanding any other provisions of this Supplemental Indenture or the Mortgage, interest on the Bonds of the 2011 Series shall be deemed fully or partially satisfied and discharged as provided herein even if the interest rate on Bonds of the 2011 Series may be higher or lower than the interest rate on any of the Loans at the time interest on any such Loans is paid. The Corporate Trustee may conclusively presume that the obligation of the Company to make payments with respect to the principal of and interest on Bonds of the 2011 Series shall have been fully satisfied and discharged unless and until the Corporate Trustee shall have received a written notice from the Collateral Agent, signed by an authorized officer, stating (i) that timely payment of the principal of or interest on the Loans required to be made by the Company has not been made, (ii) that there are not sufficient available funds held by the Collateral Agent pursuant to the Collateral Agreement to make such payment and</w:t>
      </w:r>
    </w:p>
    <w:p>
      <w:pPr>
        <w:spacing w:after="0" w:line="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of funds, in addition to available funds held by the Collateral Agent pursuant to the Collateral Agreement, required to make such payment.</w:t>
      </w:r>
    </w:p>
    <w:p>
      <w:pPr>
        <w:spacing w:after="0" w:line="174" w:lineRule="exact"/>
        <w:rPr>
          <w:rFonts w:ascii="Arial" w:cs="Arial" w:eastAsia="Arial" w:hAnsi="Arial"/>
          <w:sz w:val="16"/>
          <w:szCs w:val="16"/>
          <w:color w:val="auto"/>
        </w:rPr>
      </w:pPr>
    </w:p>
    <w:p>
      <w:pPr>
        <w:ind w:left="5560"/>
        <w:spacing w:after="0"/>
        <w:rPr>
          <w:rFonts w:ascii="Arial" w:cs="Arial" w:eastAsia="Arial" w:hAnsi="Arial"/>
          <w:sz w:val="16"/>
          <w:szCs w:val="16"/>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37" w:name="page38"/>
    <w:bookmarkEnd w:id="37"/>
    <w:p>
      <w:pPr>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(IV) At the option of the registered owner, any Bonds of the 2011 Series, upon surrender thereof, for cancellation, at the office or agency of the Company in the Borough of Manhattan, City of New York, shall be exchangeable for a like aggregate principal amount of bonds of the same series of other authorized denominations. The Bonds of the 2011 Series may bear such legends as may be necessary to comply with any law or with any rules or regulations made pursuant thereto or with the rules or regulations of any stock exchange or to conform to usage with respect thereto.</w:t>
      </w:r>
    </w:p>
    <w:p>
      <w:pPr>
        <w:spacing w:after="0" w:line="113" w:lineRule="exact"/>
        <w:rPr>
          <w:sz w:val="20"/>
          <w:szCs w:val="20"/>
          <w:color w:val="auto"/>
        </w:rPr>
      </w:pPr>
    </w:p>
    <w:p>
      <w:pPr>
        <w:ind w:right="400" w:firstLine="464"/>
        <w:spacing w:after="0" w:line="259" w:lineRule="auto"/>
        <w:tabs>
          <w:tab w:leader="none" w:pos="7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Bonds of the 2011 Series shall be transferable upon the surrender thereof, for cancellation together with a written instrument of transfer in form approved by the registrar duly executed by the registered owner or by his duly authorized attorney, at the office or agency of the Company in the Borough of Manhattan, City of New York.</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(VI) The Company may deliver to the Trustee in substitution for any Bonds of the 2011 Series, mortgage bonds or other similar instruments of the Company or any successor entity, whether by merger, combination or acquisition of all or substantially all of the assets of the Company, or otherwise, issued under a mortgage and deed of trust or similar instrument of the Company or any successor entity in like principal amount of like term and bearing the same rate of interest as the Bonds of the 2011 Series.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TO THE MORTGAGE AND RESERVATION OF RIGHTS</w:t>
      </w:r>
    </w:p>
    <w:p>
      <w:pPr>
        <w:spacing w:after="0" w:line="17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5"/>
          <w:szCs w:val="15"/>
          <w:color w:val="auto"/>
        </w:rPr>
        <w:t>SECTION 1. The Company reserves the right, subject to appropriate corporate action, but without any consent or other action by holders of Bonds of the 2011 Series, or of any subsequent series of bonds, to make such amendments to the Mortgage, as supplemented, as shall be necessary in order to (A) permit the issuance of additional Prior Lien Bonds other than to the Corporate Trustee (i) in a principal amount not to exceed the principal amount of Bonds which could then be issued on the basis of Property Additions under the Mortgage or (ii) upon the redemption or retirement of Prior Lien Bonds secured by such Prior Lien,</w:t>
      </w:r>
    </w:p>
    <w:p>
      <w:pPr>
        <w:spacing w:after="0" w:line="3" w:lineRule="exact"/>
        <w:rPr>
          <w:sz w:val="20"/>
          <w:szCs w:val="20"/>
          <w:color w:val="auto"/>
        </w:rPr>
      </w:pPr>
    </w:p>
    <w:p>
      <w:pPr>
        <w:ind w:right="40" w:firstLine="8"/>
        <w:spacing w:after="0" w:line="254" w:lineRule="auto"/>
        <w:tabs>
          <w:tab w:leader="none" w:pos="2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remove the requirement that Prior Lien Bonds be issued to the Corporate Trustee, (C) remove the provisions of Article V which eliminate from the calculation of unfunded net Property Additions available for issuance of Bonds the amount of any Property Additions subject to a Prior Lien if the aggregate amount of Outstanding Prior Lien Bonds is 15% or more of the sum of the Outstanding Bonds and Prior Lien Bonds, and (D) make such other amendments to the Mortgage as may be necessary or desirable in the opinion of the Company to effect the foregoing.</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2. The Company reserves the right, subject to appropriate action, but without any consent or other action by holders of Bonds of the 2011 Series, or of any subsequent series of bonds, to clarify the ability of the Company to issue variable rate bonds under the Mortgage, notwithstanding any provision of the Mortgage to the contrary. The Company may make such other amendments to the Mortgage as may be necessary or desirable in the opinion of the Company to effect the foregoing.</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3. The Company reserves the right, subject to appropriate action, but without any consent or other action by holders of Bonds of the 2011 Series, or of any subsequent series of bonds,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38" w:name="page39"/>
    <w:bookmarkEnd w:id="38"/>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amend the Mortgage to eliminate the requirements for the provision by the Company of a Net Earning Certificate by deleting Section 27, Section 28(6) and Section 30(3) and deleting the following language from the end of Section 26: “and, in case the bonds are to be authenticated and delivered under the provisions of the next preceding paragraph of this Section by reason of an increase in the aggregate principal amount of bonds authenticated and delivered under this Indenture having increased the aggregate principal amount of bonds which may be authenticated and delivered within the limitations prescribed by this Section, a Net Earning Certificate showing the Net Earnings of the Company to be as required by Section 27 hereof.” The Company may make such other amendments to the Mortgage as may be necessary or desirable in the opinion of the Company to effect the foregoing.</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4. The Company reserves the right, subject to appropriate action, but without any consent or other action by holders of Bonds of the 2011 Series, or of any subsequent series of bonds, to amend the Mortgage as may be necessary in order to permit the Company to deliver to the Trustee in substitution for any bonds issued under the Mortgage, mortgage bonds or other similar instruments of the Company or any successor entity, whether by merger, combination or acquisition of all or substantially all of the assets of the Company, or otherwise, issued under a mortgage and deed of trust or similar instrument of the Company or any successor entity in like principal amount of like term and bearing the same rate of interest as the original bonds.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5. The Company reserves the right, subject to appropriate action, but without any consent or other action by holders of Bonds of the 2011 Series, or of any subsequent series of bonds, to amend the Mortgage to add the following new section: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Indenture shall be deemed to be a contract made under the laws of the State of Kansas and for all purposes shall be construed in accordance with the laws of the State of Kansas, without regard to conflicts of laws principles thereof.”</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6. The Company reserves the right, subject to appropriate action, but without any consent or other action by holders of Bonds of the 2011 Series, or of any subsequent series of bonds, to amend the Mortgage to:</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Eliminate maintenance and improvement fund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(II) Simplify the provisions for release of obsolete property, de minimis property releases and substitution of property and unfunded property;</w:t>
      </w:r>
    </w:p>
    <w:p>
      <w:pPr>
        <w:spacing w:after="0" w:line="194" w:lineRule="exact"/>
        <w:rPr>
          <w:sz w:val="20"/>
          <w:szCs w:val="20"/>
          <w:color w:val="auto"/>
        </w:rPr>
      </w:pPr>
    </w:p>
    <w:p>
      <w:pPr>
        <w:ind w:left="800" w:hanging="33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Permit additional terms of bonds or forms of bond in supplemental indentures, including terms for uncertificated and global securities and medium-</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 notes;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 Make any changes necessary to conform the Mortgage with the requirements of the Trust Indenture Act;</w:t>
      </w:r>
    </w:p>
    <w:p>
      <w:pPr>
        <w:spacing w:after="0" w:line="171" w:lineRule="exact"/>
        <w:rPr>
          <w:sz w:val="20"/>
          <w:szCs w:val="20"/>
          <w:color w:val="auto"/>
        </w:rPr>
      </w:pPr>
    </w:p>
    <w:p>
      <w:pPr>
        <w:ind w:left="460" w:right="5020" w:firstLine="4"/>
        <w:spacing w:after="0" w:line="516" w:lineRule="auto"/>
        <w:tabs>
          <w:tab w:leader="none" w:pos="7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Add defeasance provisions providing for covenant and legal defeasance options; (VI) Permitting the Company to remove the trustee in certain circumstances;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(VII) Providing for direction to the trustee under the Mortgage to vote pledged prior lien bonds for specified amendments to the prior lien mortgage;</w:t>
      </w:r>
    </w:p>
    <w:p>
      <w:pPr>
        <w:spacing w:after="0" w:line="1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(VIII) Providing broader investment directions to the trustee or permitting the Company to direct investment of money held by the trustee, so long as there is no event of default under the Mortgage;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(IX) Amending the definition of “Excepted Property” to exclude property which generally cannot be mortgaged without undue administrative burden (i.e., automobiles), but allowing the Company to subject Excepted Property to the Mortgage;</w:t>
      </w:r>
    </w:p>
    <w:p>
      <w:pPr>
        <w:spacing w:after="0" w:line="132" w:lineRule="exact"/>
        <w:rPr>
          <w:sz w:val="20"/>
          <w:szCs w:val="20"/>
          <w:color w:val="auto"/>
        </w:rPr>
      </w:pPr>
    </w:p>
    <w:p>
      <w:pPr>
        <w:ind w:left="460" w:right="3780" w:firstLine="4"/>
        <w:spacing w:after="0" w:line="438" w:lineRule="auto"/>
        <w:tabs>
          <w:tab w:leader="none" w:pos="7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Amending the definition of “Bondable Property” to allow all mortgaged property to be bondable; (XI) Updating the definition of “Permitted Liens”; and</w:t>
      </w:r>
    </w:p>
    <w:p>
      <w:pPr>
        <w:ind w:left="460"/>
        <w:spacing w:after="0"/>
        <w:rPr>
          <w:rFonts w:ascii="Arial" w:cs="Arial" w:eastAsia="Arial" w:hAnsi="Arial"/>
          <w:sz w:val="18"/>
          <w:szCs w:val="18"/>
          <w:color w:val="auto"/>
        </w:rPr>
      </w:pPr>
      <w:r>
        <w:rPr>
          <w:rFonts w:ascii="Arial" w:cs="Arial" w:eastAsia="Arial" w:hAnsi="Arial"/>
          <w:sz w:val="18"/>
          <w:szCs w:val="18"/>
          <w:color w:val="auto"/>
        </w:rPr>
        <w:t>(XII) Eliminate the requirement to have an individual trustee under the Mortgage.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 All Bonds of the 2011 Series acquired by the Company shall forthwith be delivered to the Corporate Trustee for cancellation.</w:t>
      </w:r>
    </w:p>
    <w:p>
      <w:pPr>
        <w:spacing w:after="0" w:line="194"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SECTION 2. Subject to the amendments provided for in this Forty-fifth Supplemental Indenture, the terms defined in the Mortgage, as heretofore supplemented, shall, for all purposes of this Forty-fifth Supplemental Indenture, have the meanings specified in the Mortgage, as heretofore supplemented.</w:t>
      </w:r>
    </w:p>
    <w:p>
      <w:pPr>
        <w:spacing w:after="0" w:line="6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SECTION 3. The Trustees hereby accept the trusts herein declared, provided, created or supplemented and agree to perform the same upon the terms and conditions set forth herein and in the Mortgage, as heretofore amended and supplemented, and upon the following terms and conditions:</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Trustees shall not be responsible in any manner whatsoever for or in respect of the validity or sufficiency of this Forty-fifth Supplemental Indenture or for or in respect of the recitals contained herein, all of which recitals are made by the Company solely. In general, each and every term and condition contained in Article XVI of the Mortgage, as heretofore amended and supplemented, shall apply to and form part of this Forty-fifth Supplemental Indenture with the same force and effect as if the same were herein set forth in full with such omissions, variations and insertions, if any, as may be appropriate to make the same conform to the provisions of this Forty-fifth Supplemental Indenture.</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 4. Subject to the provisions of Article XV and Article XVI of the Mortgage, as heretofore amended and supplemented, whenever in this Forty-fifth Supplemental Indenture any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40" w:name="page41"/>
    <w:bookmarkEnd w:id="40"/>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parties hereto is named or referred to, this shall be deemed to include the successors or assigns of such party, and all the covenants and agreements in this Forty-fifth Supplemental Indenture contained by or on behalf of the Company or by or on behalf of the Trustees shall bind and inure to the benefit of the respective successors and assigns of such parties whether so expressed or not.</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5. Nothing in this Forty-fifth Supplemental Indenture, expressed or implied, is intended, or shall be construed, to confer upon, or to give to, any person, firm or corporation, other than the parties hereto and the holders of the bonds and coupons Outstanding under the Mortgage, any right, remedy or claim under or by reason of this Forty-fifth Supplemental Indenture or any covenant, condition, stipulation, promise or agreement hereof, and all the covenants, conditions, stipulations, promises and agreements in this Forty-fifth Supplemental Indenture contained by or on behalf of the Company shall be for the sole and exclusive benefit of the parties hereto, and of the holders of the bonds and of the coupons Outstanding under the Mortgage.</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SECTION 6. This Forty-fifth Supplemental Indenture shall be executed in several counterparts, each of which shall be an original and all of which shall constitute but one and the same instrument.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80" w:right="319" w:bottom="1440" w:gutter="0" w:footer="0" w:header="0"/>
        </w:sectPr>
      </w:pPr>
    </w:p>
    <w:bookmarkStart w:id="41" w:name="page42"/>
    <w:bookmarkEnd w:id="41"/>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KANSAS GAS AND ELECTRIC COMPANY has caused its corporate name to be hereunto affixed, and this instrument to be signed and sealed by Mark A. Ruelle, Vice President and Treasurer, and its corporate seal to be attested by Larry D. Irick, its Secretary for and on its behalf, BNY MIDWEST TRUST COMPANY has caused its corporate name to be hereunto affixed, and this instrument to be signed and sealed by one of its duly authorized officers and its corporate seal to be attested by one of its Assistant Secretaries for and on its behalf, and Judith L. Bartolini has hereunto set her hand and all as of the day and year first above written.</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KANSAS GAS AND ELECTRIC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Mark A. Ruelle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Treasurer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Larry D. Irick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Larry D. Irick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Executed, sealed and delivered by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KANSAS GAS AND ELECTRIC COMPANY, in the presence of:</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Peggy S. Wettengel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Peggy S. Wettengel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Patti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Patti Beasley</w:t>
      </w:r>
    </w:p>
    <w:p>
      <w:pPr>
        <w:sectPr>
          <w:pgSz w:w="11900" w:h="16838" w:orient="portrait"/>
          <w:cols w:equalWidth="0" w:num="1">
            <w:col w:w="11380"/>
          </w:cols>
          <w:pgMar w:left="240" w:top="280" w:right="2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19"/>
                <w:szCs w:val="19"/>
                <w:color w:val="auto"/>
              </w:rPr>
            </w:pPr>
          </w:p>
        </w:tc>
        <w:tc>
          <w:tcPr>
            <w:tcW w:w="6500" w:type="dxa"/>
            <w:vAlign w:val="bottom"/>
            <w:gridSpan w:val="3"/>
          </w:tcPr>
          <w:p>
            <w:pPr>
              <w:ind w:left="660"/>
              <w:spacing w:after="0"/>
              <w:rPr>
                <w:sz w:val="20"/>
                <w:szCs w:val="20"/>
                <w:color w:val="auto"/>
              </w:rPr>
            </w:pPr>
            <w:r>
              <w:rPr>
                <w:rFonts w:ascii="Arial" w:cs="Arial" w:eastAsia="Arial" w:hAnsi="Arial"/>
                <w:sz w:val="18"/>
                <w:szCs w:val="18"/>
                <w:color w:val="auto"/>
              </w:rPr>
              <w:t>BNY MIDWEST TRUST COMPANY, as Trustee</w:t>
            </w:r>
          </w:p>
        </w:tc>
      </w:tr>
      <w:tr>
        <w:trPr>
          <w:trHeight w:val="434"/>
        </w:trPr>
        <w:tc>
          <w:tcPr>
            <w:tcW w:w="4920" w:type="dxa"/>
            <w:vAlign w:val="bottom"/>
          </w:tcPr>
          <w:p>
            <w:pPr>
              <w:spacing w:after="0"/>
              <w:rPr>
                <w:sz w:val="24"/>
                <w:szCs w:val="24"/>
                <w:color w:val="auto"/>
              </w:rPr>
            </w:pPr>
          </w:p>
        </w:tc>
        <w:tc>
          <w:tcPr>
            <w:tcW w:w="6500" w:type="dxa"/>
            <w:vAlign w:val="bottom"/>
            <w:gridSpan w:val="3"/>
          </w:tcPr>
          <w:p>
            <w:pPr>
              <w:ind w:left="660"/>
              <w:spacing w:after="0"/>
              <w:rPr>
                <w:sz w:val="20"/>
                <w:szCs w:val="20"/>
                <w:color w:val="auto"/>
              </w:rPr>
            </w:pPr>
            <w:r>
              <w:rPr>
                <w:rFonts w:ascii="Arial" w:cs="Arial" w:eastAsia="Arial" w:hAnsi="Arial"/>
                <w:sz w:val="18"/>
                <w:szCs w:val="18"/>
                <w:color w:val="auto"/>
              </w:rPr>
              <w:t>By: /s/ D.G. Donovan</w:t>
            </w:r>
          </w:p>
        </w:tc>
      </w:tr>
      <w:tr>
        <w:trPr>
          <w:trHeight w:val="215"/>
        </w:trPr>
        <w:tc>
          <w:tcPr>
            <w:tcW w:w="4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D.G. Donovan</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Attest:</w:t>
            </w:r>
          </w:p>
        </w:tc>
        <w:tc>
          <w:tcPr>
            <w:tcW w:w="10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42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 Garcia</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 Garcia</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Assistant Vice President</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420"/>
        </w:trPr>
        <w:tc>
          <w:tcPr>
            <w:tcW w:w="4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Judith L. Bartolini</w:t>
            </w:r>
          </w:p>
        </w:tc>
      </w:tr>
      <w:tr>
        <w:trPr>
          <w:trHeight w:val="222"/>
        </w:trPr>
        <w:tc>
          <w:tcPr>
            <w:tcW w:w="4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(Judith L. Bartolini)</w:t>
            </w:r>
          </w:p>
        </w:tc>
      </w:tr>
      <w:tr>
        <w:trPr>
          <w:trHeight w:val="453"/>
        </w:trPr>
        <w:tc>
          <w:tcPr>
            <w:tcW w:w="4920" w:type="dxa"/>
            <w:vAlign w:val="bottom"/>
          </w:tcPr>
          <w:p>
            <w:pPr>
              <w:ind w:left="20"/>
              <w:spacing w:after="0"/>
              <w:rPr>
                <w:sz w:val="20"/>
                <w:szCs w:val="20"/>
                <w:color w:val="auto"/>
              </w:rPr>
            </w:pPr>
            <w:r>
              <w:rPr>
                <w:rFonts w:ascii="Arial" w:cs="Arial" w:eastAsia="Arial" w:hAnsi="Arial"/>
                <w:sz w:val="18"/>
                <w:szCs w:val="18"/>
                <w:color w:val="auto"/>
              </w:rPr>
              <w:t>Executed, sealed and delivered by</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BNY MIDWEST TRUST COMPANY</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8"/>
                <w:szCs w:val="18"/>
                <w:color w:val="auto"/>
              </w:rPr>
              <w:t>and JUDITH L. BARTOLINI, in the presence of:</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42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Roxane Ellwanger</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Roxane Ellwanger</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43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J. Wauro</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Stephen J. Wauro</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56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3" w:name="page44"/>
    <w:bookmarkEnd w:id="43"/>
    <w:p>
      <w:pPr>
        <w:spacing w:after="0" w:line="528" w:lineRule="auto"/>
        <w:rPr>
          <w:sz w:val="20"/>
          <w:szCs w:val="20"/>
          <w:color w:val="auto"/>
        </w:rPr>
      </w:pPr>
      <w:r>
        <w:rPr>
          <w:rFonts w:ascii="Arial" w:cs="Arial" w:eastAsia="Arial" w:hAnsi="Arial"/>
          <w:sz w:val="16"/>
          <w:szCs w:val="16"/>
          <w:color w:val="auto"/>
        </w:rPr>
        <w:t>STATE OF KANSAS COUNTY OF SEDGWICK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-219710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1980" w:space="440"/>
            <w:col w:w="8980"/>
          </w:cols>
          <w:pgMar w:left="240" w:top="280" w:right="259" w:bottom="1440" w:gutter="0" w:footer="0" w:header="0"/>
        </w:sectPr>
      </w:pPr>
    </w:p>
    <w:p>
      <w:pPr>
        <w:ind w:right="180" w:firstLine="456"/>
        <w:spacing w:after="0" w:line="294" w:lineRule="auto"/>
        <w:rPr>
          <w:sz w:val="20"/>
          <w:szCs w:val="20"/>
          <w:color w:val="auto"/>
        </w:rPr>
      </w:pPr>
      <w:r>
        <w:rPr>
          <w:rFonts w:ascii="Arial" w:cs="Arial" w:eastAsia="Arial" w:hAnsi="Arial"/>
          <w:sz w:val="16"/>
          <w:szCs w:val="16"/>
          <w:color w:val="auto"/>
        </w:rPr>
        <w:t>BE IT REMEMBERED, that on this 16th day of March, A.D. 2006, before me, the undersigned, a Notary Public within and for the County and State aforesaid, came Mark A. Ruelle, the Vice President and Treasurer of KANSAS GAS AND ELECTRIC COMPANY, a corporation duly organized, incorporated and existing under the laws of the State of Kansas, who is personally known to me to be such officer, and who is personally known to me to be the same person who executed, as such officer, the within instrument of writing, and such person duly acknowledged the execution of the same to be the act and deed of said corporation and that said instrument of writing was so executed by order of the Board of Directors of said corporation.</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this 16th day of March, 2006, before me appeared Larry D. Irick, to me personally known, who being by me duly sworn did say that he is the Secretary of KANSAS GAS AND ELECTRIC COMPANY, and that the seal affixed to the foregoing instrument is the corporate seal of said corporation, and that said instrument was signed and sealed in behalf of said corporation by authority of its Board of Directors, and said Larry D. Irick acknowledged said instrument to be the free act and deed of said corporation.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the 16th day of March in the year 2006, before me personally appeared Mark A. Ruelle to me known, who, being by me duly sworn, did depose and say that he is the Vice President and Treasurer of KANSAS GAS AND ELECTRIC COMPANY; that the seal affixed to the foregoing instrument is the corporate seal of said corporation, and that said instrument was signed and sealed in behalf of said corporation by authority of its Board of Directors, and said Mark A. Ruelle acknowledged said instrument to be the free act and of said corporation.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subscribed my name and affixed my official seal on the day and year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Merilee K.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 STATE OF KANSAS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APPOINTMENT EXPIRES 7-8-2007</w:t>
      </w:r>
    </w:p>
    <w:p>
      <w:pPr>
        <w:sectPr>
          <w:pgSz w:w="11900" w:h="16838" w:orient="portrait"/>
          <w:cols w:equalWidth="0" w:num="1">
            <w:col w:w="11400"/>
          </w:cols>
          <w:pgMar w:left="240" w:top="280" w:right="259" w:bottom="1440" w:gutter="0" w:footer="0" w:header="0"/>
          <w:type w:val="continuous"/>
        </w:sectPr>
      </w:pPr>
    </w:p>
    <w:bookmarkStart w:id="44" w:name="page45"/>
    <w:bookmarkEnd w:id="44"/>
    <w:p>
      <w:pPr>
        <w:jc w:val="both"/>
        <w:ind w:right="120"/>
        <w:spacing w:after="0" w:line="528" w:lineRule="auto"/>
        <w:rPr>
          <w:sz w:val="20"/>
          <w:szCs w:val="20"/>
          <w:color w:val="auto"/>
        </w:rPr>
      </w:pPr>
      <w:r>
        <w:rPr>
          <w:rFonts w:ascii="Arial" w:cs="Arial" w:eastAsia="Arial" w:hAnsi="Arial"/>
          <w:sz w:val="16"/>
          <w:szCs w:val="16"/>
          <w:color w:val="auto"/>
        </w:rPr>
        <w:t>STATE OF ILLINOIS COUNTY OF COOK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-219710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1700" w:space="720"/>
            <w:col w:w="8900"/>
          </w:cols>
          <w:pgMar w:left="240" w:top="280" w:right="339" w:bottom="1440" w:gutter="0" w:footer="0" w:header="0"/>
        </w:sectPr>
      </w:pPr>
    </w:p>
    <w:p>
      <w:pPr>
        <w:ind w:right="80" w:firstLine="456"/>
        <w:spacing w:after="0" w:line="294" w:lineRule="auto"/>
        <w:rPr>
          <w:sz w:val="20"/>
          <w:szCs w:val="20"/>
          <w:color w:val="auto"/>
        </w:rPr>
      </w:pPr>
      <w:r>
        <w:rPr>
          <w:rFonts w:ascii="Arial" w:cs="Arial" w:eastAsia="Arial" w:hAnsi="Arial"/>
          <w:sz w:val="16"/>
          <w:szCs w:val="16"/>
          <w:color w:val="auto"/>
        </w:rPr>
        <w:t>BE IT REMEMBERED, that on this 14th day of March, A.D. 2006, before me, the undersigned, a Notary Public within and for the County and State aforesaid, came D.G. Donovan, a Vice President of BNY Midwest Trust Company as trustee, a corporation, duly organized, incorporated and existing under the laws of the State of Illinois, who is personally known to me to be such officer, and who is personally known to me to be the same person who executed, as such officer, the within instrument of writing, and such person duly acknowledged the execution of the same to be the act and deed of said corporation and that said instrument of writing was so executed by authority of the Board of Directors of said corporation.</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this 14th day of March, 2006, before me appeared L. Garcia, to me personally known, who being by me duly sworn did say that she is a Assistant Vice President of BNY MIDWEST TRUST COMPANY, and that the seal affixed to the foregoing instrument is the corporate seal of said corporation, and that said instrument was signed and sealed in behalf of said corporation by authority of its Board of Directors, and said L. Garcia acknowledged said instrument to be the free act and deed of said corporation.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the 14th day of March in the year 2006, before me personally came D.G. Donovan, to me known, who, being by me duly sworn, did depose and say that she resides at Arlington Heights, IL; that she is a Vice President of BNY MIDWEST TRUST COMPANY, one of the corporations described in and which executed the above instrument; that she knows the seal of said corporation; that the seal affixed to said instrument is such corporate seal; that it was so affixed by authority of the Board of Directors of said corporation, and that she signed her name thereto by like authority.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subscribed my name and affixed my official seal on the day and year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 Mosterd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STATE OF ILLINOIS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QUALIFIED IN COOK COUNTY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COMMISSION EXPIRES 1/22/09</w:t>
      </w:r>
    </w:p>
    <w:p>
      <w:pPr>
        <w:sectPr>
          <w:pgSz w:w="11900" w:h="16838" w:orient="portrait"/>
          <w:cols w:equalWidth="0" w:num="1">
            <w:col w:w="11320"/>
          </w:cols>
          <w:pgMar w:left="240" w:top="280" w:right="339" w:bottom="1440" w:gutter="0" w:footer="0" w:header="0"/>
          <w:type w:val="continuous"/>
        </w:sectPr>
      </w:pPr>
    </w:p>
    <w:bookmarkStart w:id="45" w:name="page46"/>
    <w:bookmarkEnd w:id="45"/>
    <w:p>
      <w:pPr>
        <w:jc w:val="both"/>
        <w:ind w:right="120"/>
        <w:spacing w:after="0" w:line="528" w:lineRule="auto"/>
        <w:rPr>
          <w:sz w:val="20"/>
          <w:szCs w:val="20"/>
          <w:color w:val="auto"/>
        </w:rPr>
      </w:pPr>
      <w:r>
        <w:rPr>
          <w:rFonts w:ascii="Arial" w:cs="Arial" w:eastAsia="Arial" w:hAnsi="Arial"/>
          <w:sz w:val="16"/>
          <w:szCs w:val="16"/>
          <w:color w:val="auto"/>
        </w:rPr>
        <w:t>STATE OF ILLINOIS COUNTY OF COOK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-219710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1700" w:space="720"/>
            <w:col w:w="8860"/>
          </w:cols>
          <w:pgMar w:left="240" w:top="280" w:right="379" w:bottom="1440" w:gutter="0" w:footer="0" w:header="0"/>
        </w:sectPr>
      </w:pPr>
    </w:p>
    <w:p>
      <w:pPr>
        <w:ind w:firstLine="456"/>
        <w:spacing w:after="0" w:line="259" w:lineRule="auto"/>
        <w:rPr>
          <w:sz w:val="20"/>
          <w:szCs w:val="20"/>
          <w:color w:val="auto"/>
        </w:rPr>
      </w:pPr>
      <w:r>
        <w:rPr>
          <w:rFonts w:ascii="Arial" w:cs="Arial" w:eastAsia="Arial" w:hAnsi="Arial"/>
          <w:sz w:val="18"/>
          <w:szCs w:val="18"/>
          <w:color w:val="auto"/>
        </w:rPr>
        <w:t>On this 14th day of March in the year 2006, before me, the undersigned, a Notary Public in and for the State of Illinois, in the County of Cook, personally appeared and came Judith L. Bartolini, to me known and known to me to be the person described in and who executed the within and foregoing instrument and whose name is subscribed thereto and acknowledged to me that he executed the same.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I have hereunto subscribed my name and affixed my official seal the day and year in this certificate first above written.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 Mosterd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STATE OF ILLINOIS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QUALIFIED IN COOK COUNTY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COMMISSION EXPIRES 1/22/09</w:t>
      </w:r>
    </w:p>
    <w:p>
      <w:pPr>
        <w:sectPr>
          <w:pgSz w:w="11900" w:h="16838" w:orient="portrait"/>
          <w:cols w:equalWidth="0" w:num="1">
            <w:col w:w="11280"/>
          </w:cols>
          <w:pgMar w:left="240" w:top="280" w:right="379" w:bottom="1440" w:gutter="0" w:footer="0" w:header="0"/>
          <w:type w:val="continuous"/>
        </w:sectPr>
      </w:pPr>
    </w:p>
    <w:bookmarkStart w:id="46" w:name="page47"/>
    <w:bookmarkEnd w:id="46"/>
    <w:p>
      <w:pPr>
        <w:jc w:val="center"/>
        <w:ind w:right="-13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AFFIDAVIT</w:t>
      </w:r>
    </w:p>
    <w:p>
      <w:pPr>
        <w:sectPr>
          <w:pgSz w:w="11900" w:h="16838" w:orient="portrait"/>
          <w:cols w:equalWidth="0" w:num="1">
            <w:col w:w="11280"/>
          </w:cols>
          <w:pgMar w:left="240" w:top="280" w:right="379" w:bottom="1440" w:gutter="0" w:footer="0" w:header="0"/>
        </w:sectPr>
      </w:pPr>
    </w:p>
    <w:p>
      <w:pPr>
        <w:spacing w:after="0" w:line="235" w:lineRule="exact"/>
        <w:rPr>
          <w:sz w:val="20"/>
          <w:szCs w:val="20"/>
          <w:color w:val="auto"/>
        </w:rPr>
      </w:pPr>
    </w:p>
    <w:p>
      <w:pPr>
        <w:spacing w:after="0" w:line="528" w:lineRule="auto"/>
        <w:rPr>
          <w:sz w:val="20"/>
          <w:szCs w:val="20"/>
          <w:color w:val="auto"/>
        </w:rPr>
      </w:pPr>
      <w:r>
        <w:rPr>
          <w:rFonts w:ascii="Arial" w:cs="Arial" w:eastAsia="Arial" w:hAnsi="Arial"/>
          <w:sz w:val="16"/>
          <w:szCs w:val="16"/>
          <w:color w:val="auto"/>
        </w:rPr>
        <w:t>STATE OF KANSAS COUNTY OF SEDGWICK</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1980" w:space="440"/>
            <w:col w:w="8860"/>
          </w:cols>
          <w:pgMar w:left="240" w:top="280" w:right="3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 Larry D. Irick, being first duly sworn on oath, depose and say:</w:t>
      </w:r>
    </w:p>
    <w:p>
      <w:pPr>
        <w:spacing w:after="0" w:line="90" w:lineRule="exact"/>
        <w:rPr>
          <w:sz w:val="20"/>
          <w:szCs w:val="20"/>
          <w:color w:val="auto"/>
        </w:rPr>
      </w:pPr>
    </w:p>
    <w:p>
      <w:pPr>
        <w:ind w:right="720" w:firstLine="464"/>
        <w:spacing w:after="0" w:line="268"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am the Secretary of Kansas Gas and Electric Company, a corporation duly organized and existing under the laws of the State of Kansas (the “Company”). I am duly authorized to make this affidavit on behalf of the Company.</w:t>
      </w:r>
    </w:p>
    <w:p>
      <w:pPr>
        <w:spacing w:after="0" w:line="131" w:lineRule="exact"/>
        <w:rPr>
          <w:rFonts w:ascii="Arial" w:cs="Arial" w:eastAsia="Arial" w:hAnsi="Arial"/>
          <w:sz w:val="18"/>
          <w:szCs w:val="18"/>
          <w:color w:val="auto"/>
        </w:rPr>
      </w:pPr>
    </w:p>
    <w:p>
      <w:pPr>
        <w:ind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heretofore executed and delivered to BNY Midwest Trust Company (as successor to Harris Trust and Savings Bank) (the “Corporate Trustee”) and Judith L. Bartolini (the “Individual Trustee”, together with the Corporate Trustee, the “Trustees”), a Mortgage and Deed of Trust, dated as of April 1, 1940, (hereinafter called the “Indenture”), to secure the Company’s First Mortgage Bonds.</w:t>
      </w:r>
    </w:p>
    <w:p>
      <w:pPr>
        <w:spacing w:after="0" w:line="140" w:lineRule="exact"/>
        <w:rPr>
          <w:rFonts w:ascii="Arial" w:cs="Arial" w:eastAsia="Arial" w:hAnsi="Arial"/>
          <w:sz w:val="18"/>
          <w:szCs w:val="18"/>
          <w:color w:val="auto"/>
        </w:rPr>
      </w:pPr>
    </w:p>
    <w:p>
      <w:pPr>
        <w:ind w:right="420" w:firstLine="464"/>
        <w:spacing w:after="0" w:line="268"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heretofore executed and delivered to the Trustees supplemental indentures numbered “First” through “Forty-fourth,” inclusive, (hereinafter called the “Supplemental Indentures”), creating other series of the Company’s First Mortgage Bonds.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280" w:right="379" w:bottom="1440" w:gutter="0" w:footer="0" w:header="0"/>
          <w:type w:val="continuous"/>
        </w:sectPr>
      </w:pPr>
    </w:p>
    <w:bookmarkStart w:id="47" w:name="page48"/>
    <w:bookmarkEnd w:id="47"/>
    <w:p>
      <w:pPr>
        <w:ind w:right="80" w:firstLine="464"/>
        <w:spacing w:after="0" w:line="268"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Indenture and all Supplemental Indentures confirmed unto the Trustees the real property situated in the State of Kansas which is subject to the lien of the Indenture.</w:t>
      </w:r>
    </w:p>
    <w:p>
      <w:pPr>
        <w:spacing w:after="0" w:line="131" w:lineRule="exact"/>
        <w:rPr>
          <w:rFonts w:ascii="Arial" w:cs="Arial" w:eastAsia="Arial" w:hAnsi="Arial"/>
          <w:sz w:val="18"/>
          <w:szCs w:val="18"/>
          <w:color w:val="auto"/>
        </w:rPr>
      </w:pPr>
    </w:p>
    <w:p>
      <w:pPr>
        <w:ind w:right="420" w:firstLine="464"/>
        <w:spacing w:after="0" w:line="268"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Indenture and all Supplemental Indentures were duly received and filed for record in accordance with the laws of the State of Kansas, and the mortgage registration fee thereon provided for was, and has been, paid in full by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Under the Fortieth Supplemental Indenture, the Company duly paid the mortgage registration fee in the amount of $1,780,538.50, based upon</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$684,822,500 of the Company’s indebtedness. The Fortieth Supplemental Indenture is found in the Sedgwick County Register of Deeds office at film 2062, page 53.</w:t>
      </w:r>
    </w:p>
    <w:p>
      <w:pPr>
        <w:spacing w:after="0" w:line="138" w:lineRule="exact"/>
        <w:rPr>
          <w:sz w:val="20"/>
          <w:szCs w:val="20"/>
          <w:color w:val="auto"/>
        </w:rPr>
      </w:pPr>
    </w:p>
    <w:p>
      <w:pPr>
        <w:ind w:right="40" w:firstLine="464"/>
        <w:spacing w:after="0" w:line="25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has executed and delivered to the Trustees a new series of First Mortgage Bonds called “5.57% Series Due March 17, 2011” to be issued under and secured by the Indenture, the Supplemental Indentures and a new Supplemental Indenture dated as of March 17, 2006, (hereinafter called the “Forty-fifth Supplemental Indenture”).</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purpose of the Forty-fifth Supplemental Indenture is to reflect the issuance and pledge of $500,000,000 principal amount of First Mortgage Bonds.</w:t>
      </w:r>
    </w:p>
    <w:p>
      <w:pPr>
        <w:spacing w:after="0" w:line="194" w:lineRule="exact"/>
        <w:rPr>
          <w:rFonts w:ascii="Arial" w:cs="Arial" w:eastAsia="Arial" w:hAnsi="Arial"/>
          <w:sz w:val="16"/>
          <w:szCs w:val="16"/>
          <w:color w:val="auto"/>
        </w:rPr>
      </w:pPr>
    </w:p>
    <w:p>
      <w:pPr>
        <w:jc w:val="both"/>
        <w:ind w:right="540" w:firstLine="464"/>
        <w:spacing w:after="0" w:line="25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$500,000,000 of the principal amount of the First Mortgage Bonds issued pursuant to the Forty-fifth Supplemental Indenture tendered for filing constitutes the same principal indebtedness covered or included in the Fortieth Supplemental Indenture with BNY Midwest Trust Company and Judith L. Bartolini, Trustees, the same lender.</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280" w:right="339" w:bottom="1440" w:gutter="0" w:footer="0" w:header="0"/>
        </w:sectPr>
      </w:pPr>
    </w:p>
    <w:bookmarkStart w:id="48" w:name="page49"/>
    <w:bookmarkEnd w:id="48"/>
    <w:p>
      <w:pPr>
        <w:jc w:val="both"/>
        <w:ind w:left="-180" w:firstLine="464"/>
        <w:spacing w:after="0" w:line="306"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Forty-fifth Supplemental Indenture the registration fee with respect to all of the indebtedness of $500,000,000 has been previously paid by the Company in connection with the Fortieth Supplemental Indenture and by virtue thereof is considered by the Company to be the same indebtedness, and thus exempt from the payment of further registration fees pursuant to the provisions of K.S.A. 79-3102(d)(3).</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BLANK INTENTIONALLY]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420" w:top="280" w:right="41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AFFIANT SAITH NAUGHT.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Larry D. Irick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Larry D. Irick, Secretary</w:t>
      </w:r>
    </w:p>
    <w:p>
      <w:pPr>
        <w:spacing w:after="0" w:line="1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Kansas Gas and Electric Company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Subscribed and sworn to before me this 16th day of March,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Patti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 11-18-08</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280"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KANSAS GAS AND ELECTRIC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William B. Moore, certify that:</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2006 of Kansas Gas and Electric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report (the “Evaluation Date”); and</w:t>
      </w:r>
    </w:p>
    <w:p>
      <w:pPr>
        <w:spacing w:after="0" w:line="5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Presented in this report our conclusions about the effectiveness of the disclosure controls and procedures based on our evaluation as of the Evaluation Date;</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 w:leader="none" w:pos="7920" w:val="left"/>
        </w:tabs>
        <w:rPr>
          <w:sz w:val="20"/>
          <w:szCs w:val="20"/>
          <w:color w:val="auto"/>
        </w:rPr>
      </w:pPr>
      <w:r>
        <w:rPr>
          <w:rFonts w:ascii="Arial" w:cs="Arial" w:eastAsia="Arial" w:hAnsi="Arial"/>
          <w:sz w:val="18"/>
          <w:szCs w:val="18"/>
          <w:color w:val="auto"/>
        </w:rPr>
        <w:t>Date: May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William B. Moore,</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Chairman of the Board and President</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31(b)</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KANSAS GAS AND ELECTRIC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PRINCIPAL FINANCIAL AND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Mark A. Ruelle, certify that:</w:t>
      </w:r>
    </w:p>
    <w:p>
      <w:pPr>
        <w:spacing w:after="0" w:line="9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2006 of Kansas Gas and Electric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68"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report (the “Evaluation Date”); and</w:t>
      </w:r>
    </w:p>
    <w:p>
      <w:pPr>
        <w:spacing w:after="0" w:line="5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Presented in this report our conclusions about the effectiveness of the disclosure controls and procedures based on our evaluation as of the Evaluation Date;</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Date: May 9, 2006</w:t>
            </w:r>
          </w:p>
        </w:tc>
        <w:tc>
          <w:tcPr>
            <w:tcW w:w="2500" w:type="dxa"/>
            <w:vAlign w:val="bottom"/>
          </w:tcPr>
          <w:p>
            <w:pPr>
              <w:ind w:left="21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Mark A. Ruelle</w:t>
            </w:r>
          </w:p>
        </w:tc>
      </w:tr>
      <w:tr>
        <w:trPr>
          <w:trHeight w:val="216"/>
        </w:trPr>
        <w:tc>
          <w:tcPr>
            <w:tcW w:w="34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Mark A. Ruelle,</w:t>
            </w:r>
          </w:p>
        </w:tc>
      </w:tr>
      <w:tr>
        <w:trPr>
          <w:trHeight w:val="222"/>
        </w:trPr>
        <w:tc>
          <w:tcPr>
            <w:tcW w:w="3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6"/>
              </w:rPr>
              <w:t>Vice President and Treasurer</w:t>
            </w:r>
          </w:p>
        </w:tc>
      </w:tr>
      <w:tr>
        <w:trPr>
          <w:trHeight w:val="230"/>
        </w:trPr>
        <w:tc>
          <w:tcPr>
            <w:tcW w:w="3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(Principal Financial and Accounting Officer)</w:t>
            </w:r>
          </w:p>
        </w:tc>
      </w:tr>
    </w:tbl>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THE SARBANES-OXLEY ACT OF 2002</w:t>
      </w:r>
    </w:p>
    <w:p>
      <w:pPr>
        <w:spacing w:after="0" w:line="165"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In connection with the Quarterly Report of Kansas Gas and Electric Company (the Company) on Form 10-Q for the quarter ended March 31, 2006 (the Report), which this certification accompanies, William B. Moore, in my capacity as Chairman of the Board and President (Principle Executive Officer) of the Company, and Mark A. Ruelle, in my capacity as Vice President and Treasurer (Principle Financial and Accounting Officer) of the Company, certify that the Report fully complies with the requirements of Section 13(a) or Section 15(d) of the Securities Exchange Act of 1934 and that information contained in the Report fairly presents, in all material respects, the financial condition and results of operations of the Company.</w:t>
      </w:r>
    </w:p>
    <w:p>
      <w:pPr>
        <w:spacing w:after="0" w:line="156" w:lineRule="exact"/>
        <w:rPr>
          <w:sz w:val="20"/>
          <w:szCs w:val="20"/>
          <w:color w:val="auto"/>
        </w:rPr>
      </w:pPr>
    </w:p>
    <w:p>
      <w:pPr>
        <w:spacing w:after="0"/>
        <w:tabs>
          <w:tab w:leader="none" w:pos="5560" w:val="left"/>
          <w:tab w:leader="none" w:pos="7920" w:val="left"/>
        </w:tabs>
        <w:rPr>
          <w:sz w:val="20"/>
          <w:szCs w:val="20"/>
          <w:color w:val="auto"/>
        </w:rPr>
      </w:pPr>
      <w:r>
        <w:rPr>
          <w:rFonts w:ascii="Arial" w:cs="Arial" w:eastAsia="Arial" w:hAnsi="Arial"/>
          <w:sz w:val="18"/>
          <w:szCs w:val="18"/>
          <w:color w:val="auto"/>
        </w:rPr>
        <w:t>Date: May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William B. Moore,</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Chairman of the Board and President</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May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Mark A. Ruelle,</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Vice President and Treasurer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7"/>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4"/>
      <w:numFmt w:val="bullet"/>
      <w:start w:val="1"/>
    </w:lvl>
  </w:abstractNum>
  <w:abstractNum w:abstractNumId="8">
    <w:nsid w:val="4E6AFB66"/>
    <w:multiLevelType w:val="hybridMultilevel"/>
    <w:lvl w:ilvl="0">
      <w:lvlJc w:val="left"/>
      <w:lvlText w:val="%1"/>
      <w:numFmt w:val="decimal"/>
      <w:start w:val="32"/>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upperLetter"/>
      <w:start w:val="35"/>
    </w:lvl>
  </w:abstractNum>
  <w:abstractNum w:abstractNumId="11">
    <w:nsid w:val="431BD7B7"/>
    <w:multiLevelType w:val="hybridMultilevel"/>
    <w:lvl w:ilvl="0">
      <w:lvlJc w:val="left"/>
      <w:lvlText w:val="(%1)"/>
      <w:numFmt w:val="upperLetter"/>
      <w:start w:val="61"/>
    </w:lvl>
  </w:abstractNum>
  <w:abstractNum w:abstractNumId="12">
    <w:nsid w:val="3F2DBA31"/>
    <w:multiLevelType w:val="hybridMultilevel"/>
    <w:lvl w:ilvl="0">
      <w:lvlJc w:val="left"/>
      <w:lvlText w:val="(%1)"/>
      <w:numFmt w:val="lowerRoman"/>
      <w:start w:val="3"/>
    </w:lvl>
  </w:abstractNum>
  <w:abstractNum w:abstractNumId="13">
    <w:nsid w:val="7C83E458"/>
    <w:multiLevelType w:val="hybridMultilevel"/>
    <w:lvl w:ilvl="0">
      <w:lvlJc w:val="left"/>
      <w:lvlText w:val="(%1)"/>
      <w:numFmt w:val="upperLetter"/>
      <w:start w:val="22"/>
    </w:lvl>
  </w:abstractNum>
  <w:abstractNum w:abstractNumId="14">
    <w:nsid w:val="257130A3"/>
    <w:multiLevelType w:val="hybridMultilevel"/>
    <w:lvl w:ilvl="0">
      <w:lvlJc w:val="left"/>
      <w:lvlText w:val="(%1)"/>
      <w:numFmt w:val="upperLetter"/>
      <w:start w:val="2"/>
    </w:lvl>
  </w:abstractNum>
  <w:abstractNum w:abstractNumId="15">
    <w:nsid w:val="62BBD95A"/>
    <w:multiLevelType w:val="hybridMultilevel"/>
    <w:lvl w:ilvl="0">
      <w:lvlJc w:val="left"/>
      <w:lvlText w:val="(%1)"/>
      <w:numFmt w:val="upperLetter"/>
      <w:start w:val="61"/>
    </w:lvl>
  </w:abstractNum>
  <w:abstractNum w:abstractNumId="16">
    <w:nsid w:val="436C6125"/>
    <w:multiLevelType w:val="hybridMultilevel"/>
    <w:lvl w:ilvl="0">
      <w:lvlJc w:val="left"/>
      <w:lvlText w:val="(%1)"/>
      <w:numFmt w:val="upperLetter"/>
      <w:start w:val="22"/>
    </w:lvl>
  </w:abstractNum>
  <w:abstractNum w:abstractNumId="17">
    <w:nsid w:val="628C895D"/>
    <w:multiLevelType w:val="hybridMultilevel"/>
    <w:lvl w:ilvl="0">
      <w:lvlJc w:val="left"/>
      <w:lvlText w:val="(%1)"/>
      <w:numFmt w:val="upperLetter"/>
      <w:start w:val="24"/>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4"/>
    </w:lvl>
  </w:abstractNum>
  <w:abstractNum w:abstractNumId="20">
    <w:nsid w:val="2443A858"/>
    <w:multiLevelType w:val="hybridMultilevel"/>
    <w:lvl w:ilvl="0">
      <w:lvlJc w:val="left"/>
      <w:lvlText w:val="%1."/>
      <w:numFmt w:val="decimal"/>
      <w:start w:val="7"/>
    </w:lvl>
  </w:abstractNum>
  <w:abstractNum w:abstractNumId="21">
    <w:nsid w:val="2D1D5AE9"/>
    <w:multiLevelType w:val="hybridMultilevel"/>
    <w:lvl w:ilvl="0">
      <w:lvlJc w:val="left"/>
      <w:lvlText w:val="%1."/>
      <w:numFmt w:val="decimal"/>
      <w:start w:val="10"/>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2019-12-11T18:06:32Z</dcterms:created>
  <dcterms:modified xsi:type="dcterms:W3CDTF">2019-12-11T18:06:32Z</dcterms:modified>
</cp:coreProperties>
</file>