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jc w:val="center"/>
        <w:ind w:left="360"/>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-10795</wp:posOffset>
            </wp:positionV>
            <wp:extent cx="144780" cy="196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80" cy="196215"/>
                    </a:xfrm>
                    <a:prstGeom prst="rect">
                      <a:avLst/>
                    </a:prstGeom>
                    <a:noFill/>
                  </pic:spPr>
                </pic:pic>
              </a:graphicData>
            </a:graphic>
          </wp:anchor>
        </w:drawing>
      </w:r>
    </w:p>
    <w:p>
      <w:pPr>
        <w:jc w:val="both"/>
        <w:ind w:left="360" w:right="380" w:hanging="272"/>
        <w:spacing w:after="0" w:line="187"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5494655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-1684020</wp:posOffset>
            </wp:positionH>
            <wp:positionV relativeFrom="paragraph">
              <wp:posOffset>20955</wp:posOffset>
            </wp:positionV>
            <wp:extent cx="7323455" cy="5516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1624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40" w:space="300"/>
            <w:col w:w="888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FERGUSON RANDALL C JR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0"/>
        <w:spacing w:after="0" w:line="361" w:lineRule="auto"/>
        <w:rPr>
          <w:sz w:val="20"/>
          <w:szCs w:val="20"/>
          <w:color w:val="auto"/>
        </w:rPr>
      </w:pPr>
      <w:r>
        <w:rPr>
          <w:rFonts w:ascii="Arial" w:cs="Arial" w:eastAsia="Arial" w:hAnsi="Arial"/>
          <w:sz w:val="17"/>
          <w:szCs w:val="17"/>
          <w:color w:val="0000FF"/>
        </w:rPr>
        <w:t>C/O GREAT PLAINS ENERGY INCORPORATED 1200 MAIN STREET</w:t>
      </w:r>
    </w:p>
    <w:p>
      <w:pPr>
        <w:spacing w:after="0" w:line="18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KANSAS CITY  MO</w:t>
            </w:r>
          </w:p>
        </w:tc>
        <w:tc>
          <w:tcPr>
            <w:tcW w:w="1680" w:type="dxa"/>
            <w:vAlign w:val="bottom"/>
          </w:tcPr>
          <w:p>
            <w:pPr>
              <w:ind w:left="440"/>
              <w:spacing w:after="0"/>
              <w:rPr>
                <w:sz w:val="20"/>
                <w:szCs w:val="20"/>
                <w:color w:val="auto"/>
              </w:rPr>
            </w:pPr>
            <w:r>
              <w:rPr>
                <w:rFonts w:ascii="Arial" w:cs="Arial" w:eastAsia="Arial" w:hAnsi="Arial"/>
                <w:sz w:val="17"/>
                <w:szCs w:val="17"/>
                <w:color w:val="0000FF"/>
              </w:rPr>
              <w:t>64105</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4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2"/>
        </w:trPr>
        <w:tc>
          <w:tcPr>
            <w:tcW w:w="3960" w:type="dxa"/>
            <w:vAlign w:val="bottom"/>
            <w:gridSpan w:val="4"/>
          </w:tcPr>
          <w:p>
            <w:pPr>
              <w:ind w:left="6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GREAT PLAINS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GXP</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94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4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7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4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tcPr>
          <w:p>
            <w:pPr>
              <w:ind w:left="420"/>
              <w:spacing w:after="0" w:line="127" w:lineRule="exact"/>
              <w:rPr>
                <w:sz w:val="20"/>
                <w:szCs w:val="20"/>
                <w:color w:val="auto"/>
              </w:rPr>
            </w:pPr>
            <w:r>
              <w:rPr>
                <w:rFonts w:ascii="Arial" w:cs="Arial" w:eastAsia="Arial" w:hAnsi="Arial"/>
                <w:sz w:val="13"/>
                <w:szCs w:val="13"/>
                <w:color w:val="auto"/>
              </w:rPr>
              <w:t>below)</w:t>
            </w:r>
          </w:p>
        </w:tc>
        <w:tc>
          <w:tcPr>
            <w:tcW w:w="150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2"/>
        </w:trPr>
        <w:tc>
          <w:tcPr>
            <w:tcW w:w="2900" w:type="dxa"/>
            <w:vAlign w:val="bottom"/>
            <w:gridSpan w:val="3"/>
          </w:tcPr>
          <w:p>
            <w:pPr>
              <w:ind w:left="60"/>
              <w:spacing w:after="0"/>
              <w:rPr>
                <w:sz w:val="20"/>
                <w:szCs w:val="20"/>
                <w:color w:val="auto"/>
              </w:rPr>
            </w:pPr>
            <w:r>
              <w:rPr>
                <w:rFonts w:ascii="Arial" w:cs="Arial" w:eastAsia="Arial" w:hAnsi="Arial"/>
                <w:sz w:val="17"/>
                <w:szCs w:val="17"/>
                <w:color w:val="0000FF"/>
              </w:rPr>
              <w:t>06/04/2018</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4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36" w:lineRule="auto"/>
        <w:tabs>
          <w:tab w:leader="none" w:pos="45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Form filed by More than One Reporting</w:t>
      </w:r>
    </w:p>
    <w:p>
      <w:pPr>
        <w:ind w:left="458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900" w:space="10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940" w:type="dxa"/>
            <w:vAlign w:val="bottom"/>
            <w:gridSpan w:val="2"/>
            <w:vMerge w:val="restart"/>
          </w:tcPr>
          <w:p>
            <w:pPr>
              <w:ind w:left="940"/>
              <w:spacing w:after="0"/>
              <w:rPr>
                <w:sz w:val="20"/>
                <w:szCs w:val="20"/>
                <w:color w:val="auto"/>
              </w:rPr>
            </w:pPr>
            <w:r>
              <w:rPr>
                <w:rFonts w:ascii="Arial" w:cs="Arial" w:eastAsia="Arial" w:hAnsi="Arial"/>
                <w:sz w:val="17"/>
                <w:szCs w:val="17"/>
                <w:color w:val="0000FF"/>
              </w:rPr>
              <w:t>06/04/2018</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0000FF"/>
              </w:rPr>
              <w:t>D</w:t>
            </w:r>
          </w:p>
        </w:tc>
        <w:tc>
          <w:tcPr>
            <w:tcW w:w="180" w:type="dxa"/>
            <w:vAlign w:val="bottom"/>
          </w:tcPr>
          <w:p>
            <w:pPr>
              <w:spacing w:after="0"/>
              <w:rPr>
                <w:sz w:val="22"/>
                <w:szCs w:val="22"/>
                <w:color w:val="auto"/>
              </w:rPr>
            </w:pPr>
          </w:p>
        </w:tc>
        <w:tc>
          <w:tcPr>
            <w:tcW w:w="600" w:type="dxa"/>
            <w:vAlign w:val="bottom"/>
            <w:vMerge w:val="restart"/>
          </w:tcPr>
          <w:p>
            <w:pPr>
              <w:ind w:left="200"/>
              <w:spacing w:after="0"/>
              <w:rPr>
                <w:sz w:val="20"/>
                <w:szCs w:val="20"/>
                <w:color w:val="auto"/>
              </w:rPr>
            </w:pPr>
            <w:r>
              <w:rPr>
                <w:rFonts w:ascii="Arial" w:cs="Arial" w:eastAsia="Arial" w:hAnsi="Arial"/>
                <w:sz w:val="17"/>
                <w:szCs w:val="17"/>
                <w:color w:val="0000FF"/>
                <w:w w:val="89"/>
              </w:rPr>
              <w:t>1,200</w:t>
            </w:r>
          </w:p>
        </w:tc>
        <w:tc>
          <w:tcPr>
            <w:tcW w:w="660" w:type="dxa"/>
            <w:vAlign w:val="bottom"/>
            <w:vMerge w:val="restart"/>
          </w:tcPr>
          <w:p>
            <w:pPr>
              <w:ind w:left="420"/>
              <w:spacing w:after="0"/>
              <w:rPr>
                <w:sz w:val="20"/>
                <w:szCs w:val="20"/>
                <w:color w:val="auto"/>
              </w:rPr>
            </w:pPr>
            <w:r>
              <w:rPr>
                <w:rFonts w:ascii="Arial" w:cs="Arial" w:eastAsia="Arial" w:hAnsi="Arial"/>
                <w:sz w:val="17"/>
                <w:szCs w:val="17"/>
                <w:color w:val="0000FF"/>
              </w:rPr>
              <w:t>D</w:t>
            </w:r>
          </w:p>
        </w:tc>
        <w:tc>
          <w:tcPr>
            <w:tcW w:w="5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80" w:type="dxa"/>
            <w:vAlign w:val="bottom"/>
            <w:gridSpan w:val="2"/>
            <w:vMerge w:val="restart"/>
          </w:tcPr>
          <w:p>
            <w:pPr>
              <w:ind w:left="700"/>
              <w:spacing w:after="0"/>
              <w:rPr>
                <w:sz w:val="20"/>
                <w:szCs w:val="20"/>
                <w:color w:val="auto"/>
              </w:rPr>
            </w:pPr>
            <w:r>
              <w:rPr>
                <w:rFonts w:ascii="Arial" w:cs="Arial" w:eastAsia="Arial" w:hAnsi="Arial"/>
                <w:sz w:val="15"/>
                <w:szCs w:val="15"/>
                <w:color w:val="0000FF"/>
                <w:w w:val="71"/>
              </w:rPr>
              <w:t>0</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Keough</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94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06/04/2018</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D</w:t>
            </w:r>
          </w:p>
        </w:tc>
        <w:tc>
          <w:tcPr>
            <w:tcW w:w="180" w:type="dxa"/>
            <w:vAlign w:val="bottom"/>
          </w:tcPr>
          <w:p>
            <w:pPr>
              <w:spacing w:after="0"/>
              <w:rPr>
                <w:sz w:val="23"/>
                <w:szCs w:val="23"/>
                <w:color w:val="auto"/>
              </w:rPr>
            </w:pPr>
          </w:p>
        </w:tc>
        <w:tc>
          <w:tcPr>
            <w:tcW w:w="600" w:type="dxa"/>
            <w:vAlign w:val="bottom"/>
          </w:tcPr>
          <w:p>
            <w:pPr>
              <w:ind w:left="200"/>
              <w:spacing w:after="0"/>
              <w:rPr>
                <w:sz w:val="20"/>
                <w:szCs w:val="20"/>
                <w:color w:val="auto"/>
              </w:rPr>
            </w:pPr>
            <w:r>
              <w:rPr>
                <w:rFonts w:ascii="Arial" w:cs="Arial" w:eastAsia="Arial" w:hAnsi="Arial"/>
                <w:sz w:val="17"/>
                <w:szCs w:val="17"/>
                <w:color w:val="0000FF"/>
                <w:w w:val="89"/>
              </w:rPr>
              <w:t>6,576</w:t>
            </w:r>
          </w:p>
        </w:tc>
        <w:tc>
          <w:tcPr>
            <w:tcW w:w="660" w:type="dxa"/>
            <w:vAlign w:val="bottom"/>
          </w:tcPr>
          <w:p>
            <w:pPr>
              <w:ind w:left="420"/>
              <w:spacing w:after="0"/>
              <w:rPr>
                <w:sz w:val="20"/>
                <w:szCs w:val="20"/>
                <w:color w:val="auto"/>
              </w:rPr>
            </w:pPr>
            <w:r>
              <w:rPr>
                <w:rFonts w:ascii="Arial" w:cs="Arial" w:eastAsia="Arial" w:hAnsi="Arial"/>
                <w:sz w:val="17"/>
                <w:szCs w:val="17"/>
                <w:color w:val="0000FF"/>
              </w:rPr>
              <w:t>D</w:t>
            </w:r>
          </w:p>
        </w:tc>
        <w:tc>
          <w:tcPr>
            <w:tcW w:w="560" w:type="dxa"/>
            <w:vAlign w:val="bottom"/>
          </w:tcPr>
          <w:p>
            <w:pPr>
              <w:ind w:left="320"/>
              <w:spacing w:after="0"/>
              <w:rPr>
                <w:sz w:val="20"/>
                <w:szCs w:val="20"/>
                <w:color w:val="auto"/>
              </w:rPr>
            </w:pPr>
            <w:r>
              <w:rPr>
                <w:rFonts w:ascii="Arial" w:cs="Arial" w:eastAsia="Arial" w:hAnsi="Arial"/>
                <w:sz w:val="11"/>
                <w:szCs w:val="11"/>
                <w:color w:val="008000"/>
              </w:rPr>
              <w:t>(1)</w:t>
            </w:r>
          </w:p>
        </w:tc>
        <w:tc>
          <w:tcPr>
            <w:tcW w:w="780" w:type="dxa"/>
            <w:vAlign w:val="bottom"/>
            <w:gridSpan w:val="2"/>
          </w:tcPr>
          <w:p>
            <w:pPr>
              <w:ind w:left="700"/>
              <w:spacing w:after="0"/>
              <w:rPr>
                <w:sz w:val="20"/>
                <w:szCs w:val="20"/>
                <w:color w:val="auto"/>
              </w:rPr>
            </w:pPr>
            <w:r>
              <w:rPr>
                <w:rFonts w:ascii="Arial" w:cs="Arial" w:eastAsia="Arial" w:hAnsi="Arial"/>
                <w:sz w:val="15"/>
                <w:szCs w:val="15"/>
                <w:color w:val="0000FF"/>
                <w:w w:val="71"/>
              </w:rPr>
              <w:t>0</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800" w:type="dxa"/>
            <w:vAlign w:val="bottom"/>
            <w:tcBorders>
              <w:bottom w:val="single" w:sz="8" w:color="2C2C2C"/>
            </w:tcBorders>
            <w:gridSpan w:val="6"/>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jc w:val="right"/>
              <w:ind w:right="5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06/04/2018</w:t>
            </w:r>
          </w:p>
        </w:tc>
        <w:tc>
          <w:tcPr>
            <w:tcW w:w="11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D</w:t>
            </w:r>
          </w:p>
        </w:tc>
        <w:tc>
          <w:tcPr>
            <w:tcW w:w="960" w:type="dxa"/>
            <w:vAlign w:val="bottom"/>
          </w:tcPr>
          <w:p>
            <w:pPr>
              <w:ind w:left="480"/>
              <w:spacing w:after="0"/>
              <w:rPr>
                <w:sz w:val="20"/>
                <w:szCs w:val="20"/>
                <w:color w:val="auto"/>
              </w:rPr>
            </w:pPr>
            <w:r>
              <w:rPr>
                <w:rFonts w:ascii="Arial" w:cs="Arial" w:eastAsia="Arial" w:hAnsi="Arial"/>
                <w:sz w:val="13"/>
                <w:szCs w:val="13"/>
                <w:color w:val="0000FF"/>
              </w:rPr>
              <w:t>35,898</w:t>
            </w: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008000"/>
              </w:rPr>
              <w:t>(2)</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35,898</w:t>
            </w: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60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Share</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ind w:left="120"/>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Disposed of pursuant to that certain Amended and Restated Agreement and Plan of Merger ("Merger Agreement") dated as of July 9, 2017 by and among Great Plains Energy Incorporated ("Great Plains Energy"), Westar Energy, Inc., Evergy, Inc. ("Evergy") (formerly Monarch Energy Holding, Inc.), King Energy, Inc., and for certain limited purposes, GP Star, Inc. in exchange for shares of Evergy common stock at an exchange ratio of 0.5981 for each Great Plains Energy share on the effective date of the merger. On the effective date of the merger, the closing price of Great Plains Energy's common stock was $31.99 per share, and Evergy's common stock had not yet commenced trading on the New York Stock Exchange.</w:t>
      </w:r>
    </w:p>
    <w:p>
      <w:pPr>
        <w:spacing w:after="0" w:line="26"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Director Deferred Share units are granted under the Long-Term Incentive Plan. Each unit represents the right to receive one share of Great Plains Energy Common Stock, plus stock reflecting reinvested dividends. Units are converted to stock and distributed following termination of service on the Board pursuant to elections made by the reporting person.</w:t>
      </w:r>
    </w:p>
    <w:p>
      <w:pPr>
        <w:spacing w:after="0" w:line="10" w:lineRule="exact"/>
        <w:rPr>
          <w:rFonts w:ascii="Arial" w:cs="Arial" w:eastAsia="Arial" w:hAnsi="Arial"/>
          <w:sz w:val="13"/>
          <w:szCs w:val="13"/>
          <w:color w:val="008000"/>
        </w:rPr>
      </w:pPr>
    </w:p>
    <w:p>
      <w:pPr>
        <w:ind w:left="40" w:right="5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Great Plains Energy Director Deferred Share units were exchanged for Evergy Director Deferred Share units pursuant to the Merger Agreement at an exchange ratio of 0.5981 for each Great Plains Energy share.</w:t>
      </w:r>
    </w:p>
    <w:p>
      <w:pPr>
        <w:spacing w:after="0" w:line="4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Executed on behalf of Randall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3481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C. Ferguson, Jr. by Jaileah X.</w:t>
      </w:r>
      <w:r>
        <w:rPr>
          <w:sz w:val="20"/>
          <w:szCs w:val="20"/>
          <w:color w:val="auto"/>
        </w:rPr>
        <w:tab/>
      </w:r>
      <w:r>
        <w:rPr>
          <w:rFonts w:ascii="Arial" w:cs="Arial" w:eastAsia="Arial" w:hAnsi="Arial"/>
          <w:sz w:val="15"/>
          <w:szCs w:val="15"/>
          <w:color w:val="0000FF"/>
        </w:rPr>
        <w:t>06/05/2018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Huddleston,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2560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854" TargetMode="External"/><Relationship Id="rId13" Type="http://schemas.openxmlformats.org/officeDocument/2006/relationships/hyperlink" Target="http://www.sec.gov/cgi-bin/browse-edgar?action=getcompany&amp;CIK=00011430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2019-12-04T00:48:55Z</dcterms:created>
  <dcterms:modified xsi:type="dcterms:W3CDTF">2019-12-04T00:48:55Z</dcterms:modified>
</cp:coreProperties>
</file>