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600" w:right="2240" w:hanging="2347"/>
        <w:spacing w:after="0" w:line="277" w:lineRule="auto"/>
        <w:tabs>
          <w:tab w:leader="none" w:pos="24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2023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600" w:right="2240" w:hanging="2358"/>
        <w:spacing w:after="0" w:line="277" w:lineRule="auto"/>
        <w:tabs>
          <w:tab w:leader="none" w:pos="2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8"/>
              </w:rPr>
              <w:t>Commission</w:t>
            </w:r>
          </w:p>
        </w:tc>
        <w:tc>
          <w:tcPr>
            <w:tcW w:w="100" w:type="dxa"/>
            <w:vAlign w:val="bottom"/>
          </w:tcPr>
          <w:p>
            <w:pPr>
              <w:spacing w:after="0"/>
              <w:rPr>
                <w:sz w:val="19"/>
                <w:szCs w:val="19"/>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I.R.S. Employer</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b w:val="1"/>
                <w:bCs w:val="1"/>
                <w:color w:val="auto"/>
                <w:w w:val="94"/>
              </w:rPr>
              <w:t>File Number</w:t>
            </w:r>
          </w:p>
        </w:tc>
        <w:tc>
          <w:tcPr>
            <w:tcW w:w="100" w:type="dxa"/>
            <w:vAlign w:val="bottom"/>
          </w:tcPr>
          <w:p>
            <w:pPr>
              <w:spacing w:after="0"/>
              <w:rPr>
                <w:sz w:val="22"/>
                <w:szCs w:val="22"/>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94"/>
              </w:rPr>
              <w:t>Identification Number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140" w:type="dxa"/>
            <w:vAlign w:val="bottom"/>
            <w:gridSpan w:val="3"/>
          </w:tcPr>
          <w:p>
            <w:pPr>
              <w:jc w:val="center"/>
              <w:ind w:left="67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2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rPr>
              <w:t>EVERGY, INC.</w:t>
            </w:r>
          </w:p>
        </w:tc>
        <w:tc>
          <w:tcPr>
            <w:tcW w:w="2840" w:type="dxa"/>
            <w:vAlign w:val="bottom"/>
            <w:gridSpan w:val="6"/>
          </w:tcPr>
          <w:p>
            <w:pPr>
              <w:jc w:val="center"/>
              <w:ind w:left="210"/>
              <w:spacing w:after="0"/>
              <w:rPr>
                <w:sz w:val="20"/>
                <w:szCs w:val="20"/>
                <w:color w:val="auto"/>
              </w:rPr>
            </w:pPr>
            <w:r>
              <w:rPr>
                <w:rFonts w:ascii="Arial" w:cs="Arial" w:eastAsia="Arial" w:hAnsi="Arial"/>
                <w:sz w:val="18"/>
                <w:szCs w:val="18"/>
                <w:color w:val="auto"/>
                <w:w w:val="89"/>
              </w:rPr>
              <w:t>82-2733395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3"/>
              </w:rPr>
              <w:t>(a Missouri corporation)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320" w:type="dxa"/>
            <w:vAlign w:val="bottom"/>
            <w:gridSpan w:val="2"/>
          </w:tcPr>
          <w:p>
            <w:pPr>
              <w:jc w:val="center"/>
              <w:ind w:right="1880"/>
              <w:spacing w:after="0"/>
              <w:rPr>
                <w:sz w:val="20"/>
                <w:szCs w:val="20"/>
                <w:color w:val="auto"/>
              </w:rPr>
            </w:pPr>
            <w:r>
              <w:rPr>
                <w:rFonts w:ascii="Arial" w:cs="Arial" w:eastAsia="Arial" w:hAnsi="Arial"/>
                <w:sz w:val="18"/>
                <w:szCs w:val="18"/>
                <w:color w:val="auto"/>
                <w:w w:val="90"/>
              </w:rPr>
              <w:t>1200 Main Street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1"/>
              </w:rPr>
              <w:t>Kansas City, Missouri 64105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40" w:type="dxa"/>
            <w:vAlign w:val="bottom"/>
            <w:gridSpan w:val="3"/>
          </w:tcPr>
          <w:p>
            <w:pPr>
              <w:jc w:val="center"/>
              <w:ind w:left="1910"/>
              <w:spacing w:after="0"/>
              <w:rPr>
                <w:sz w:val="20"/>
                <w:szCs w:val="20"/>
                <w:color w:val="auto"/>
              </w:rPr>
            </w:pPr>
            <w:r>
              <w:rPr>
                <w:rFonts w:ascii="Arial" w:cs="Arial" w:eastAsia="Arial" w:hAnsi="Arial"/>
                <w:sz w:val="18"/>
                <w:szCs w:val="18"/>
                <w:color w:val="auto"/>
                <w:w w:val="90"/>
              </w:rPr>
              <w:t>(816) 556-2200</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40" w:type="dxa"/>
            <w:vAlign w:val="bottom"/>
            <w:gridSpan w:val="3"/>
          </w:tcPr>
          <w:p>
            <w:pPr>
              <w:jc w:val="center"/>
              <w:ind w:left="67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EVERGY KANSAS CENTRAL, INC.</w:t>
            </w:r>
          </w:p>
        </w:tc>
        <w:tc>
          <w:tcPr>
            <w:tcW w:w="2840" w:type="dxa"/>
            <w:vAlign w:val="bottom"/>
            <w:gridSpan w:val="6"/>
          </w:tcPr>
          <w:p>
            <w:pPr>
              <w:jc w:val="center"/>
              <w:ind w:left="210"/>
              <w:spacing w:after="0"/>
              <w:rPr>
                <w:sz w:val="20"/>
                <w:szCs w:val="20"/>
                <w:color w:val="auto"/>
              </w:rPr>
            </w:pPr>
            <w:r>
              <w:rPr>
                <w:rFonts w:ascii="Arial" w:cs="Arial" w:eastAsia="Arial" w:hAnsi="Arial"/>
                <w:sz w:val="18"/>
                <w:szCs w:val="18"/>
                <w:color w:val="auto"/>
                <w:w w:val="89"/>
              </w:rPr>
              <w:t>48-0290150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0"/>
              </w:rPr>
              <w:t>(a Kansas corporation)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88"/>
              </w:rPr>
              <w:t>818 South Kansas Avenue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88"/>
              </w:rPr>
              <w:t>Topeka, Kansas 66612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40" w:type="dxa"/>
            <w:vAlign w:val="bottom"/>
            <w:gridSpan w:val="3"/>
          </w:tcPr>
          <w:p>
            <w:pPr>
              <w:jc w:val="center"/>
              <w:ind w:left="1910"/>
              <w:spacing w:after="0"/>
              <w:rPr>
                <w:sz w:val="20"/>
                <w:szCs w:val="20"/>
                <w:color w:val="auto"/>
              </w:rPr>
            </w:pPr>
            <w:r>
              <w:rPr>
                <w:rFonts w:ascii="Arial" w:cs="Arial" w:eastAsia="Arial" w:hAnsi="Arial"/>
                <w:sz w:val="18"/>
                <w:szCs w:val="18"/>
                <w:color w:val="auto"/>
                <w:w w:val="90"/>
              </w:rPr>
              <w:t>(785) 575-6300</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140" w:type="dxa"/>
            <w:vAlign w:val="bottom"/>
            <w:gridSpan w:val="3"/>
          </w:tcPr>
          <w:p>
            <w:pPr>
              <w:jc w:val="center"/>
              <w:ind w:left="67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b w:val="1"/>
                <w:bCs w:val="1"/>
                <w:color w:val="auto"/>
              </w:rPr>
              <w:t>EVERGY METRO, INC.</w:t>
            </w:r>
          </w:p>
        </w:tc>
        <w:tc>
          <w:tcPr>
            <w:tcW w:w="2840" w:type="dxa"/>
            <w:vAlign w:val="bottom"/>
            <w:gridSpan w:val="6"/>
          </w:tcPr>
          <w:p>
            <w:pPr>
              <w:jc w:val="center"/>
              <w:ind w:left="210"/>
              <w:spacing w:after="0"/>
              <w:rPr>
                <w:sz w:val="20"/>
                <w:szCs w:val="20"/>
                <w:color w:val="auto"/>
              </w:rPr>
            </w:pPr>
            <w:r>
              <w:rPr>
                <w:rFonts w:ascii="Arial" w:cs="Arial" w:eastAsia="Arial" w:hAnsi="Arial"/>
                <w:sz w:val="18"/>
                <w:szCs w:val="18"/>
                <w:color w:val="auto"/>
                <w:w w:val="89"/>
              </w:rPr>
              <w:t>44-0308720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3"/>
              </w:rPr>
              <w:t>(a Missouri corporation)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320" w:type="dxa"/>
            <w:vAlign w:val="bottom"/>
            <w:gridSpan w:val="2"/>
          </w:tcPr>
          <w:p>
            <w:pPr>
              <w:jc w:val="center"/>
              <w:ind w:right="1880"/>
              <w:spacing w:after="0"/>
              <w:rPr>
                <w:sz w:val="20"/>
                <w:szCs w:val="20"/>
                <w:color w:val="auto"/>
              </w:rPr>
            </w:pPr>
            <w:r>
              <w:rPr>
                <w:rFonts w:ascii="Arial" w:cs="Arial" w:eastAsia="Arial" w:hAnsi="Arial"/>
                <w:sz w:val="18"/>
                <w:szCs w:val="18"/>
                <w:color w:val="auto"/>
                <w:w w:val="90"/>
              </w:rPr>
              <w:t>1200 Main Street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1"/>
              </w:rPr>
              <w:t>Kansas City, Missouri 64105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40" w:type="dxa"/>
            <w:vAlign w:val="bottom"/>
            <w:gridSpan w:val="3"/>
          </w:tcPr>
          <w:p>
            <w:pPr>
              <w:jc w:val="center"/>
              <w:ind w:left="1910"/>
              <w:spacing w:after="0"/>
              <w:rPr>
                <w:sz w:val="20"/>
                <w:szCs w:val="20"/>
                <w:color w:val="auto"/>
              </w:rPr>
            </w:pPr>
            <w:r>
              <w:rPr>
                <w:rFonts w:ascii="Arial" w:cs="Arial" w:eastAsia="Arial" w:hAnsi="Arial"/>
                <w:sz w:val="18"/>
                <w:szCs w:val="18"/>
                <w:color w:val="auto"/>
                <w:w w:val="90"/>
              </w:rPr>
              <w:t>(816) 556-2200</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20" w:type="dxa"/>
            <w:vAlign w:val="bottom"/>
            <w:gridSpan w:val="3"/>
          </w:tcPr>
          <w:p>
            <w:pPr>
              <w:ind w:left="560"/>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c>
          <w:tcPr>
            <w:tcW w:w="180" w:type="dxa"/>
            <w:vAlign w:val="bottom"/>
            <w:gridSpan w:val="2"/>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16"/>
                <w:szCs w:val="16"/>
                <w:color w:val="auto"/>
              </w:rPr>
            </w:pPr>
          </w:p>
        </w:tc>
        <w:tc>
          <w:tcPr>
            <w:tcW w:w="52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Borders>
              <w:bottom w:val="single" w:sz="8" w:color="auto"/>
            </w:tcBorders>
            <w:gridSpan w:val="3"/>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8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52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restart"/>
          </w:tcPr>
          <w:p>
            <w:pPr>
              <w:spacing w:after="0"/>
              <w:rPr>
                <w:sz w:val="6"/>
                <w:szCs w:val="6"/>
                <w:color w:val="auto"/>
              </w:rPr>
            </w:pPr>
          </w:p>
        </w:tc>
        <w:tc>
          <w:tcPr>
            <w:tcW w:w="780" w:type="dxa"/>
            <w:vAlign w:val="bottom"/>
            <w:vMerge w:val="restart"/>
          </w:tcPr>
          <w:p>
            <w:pPr>
              <w:jc w:val="center"/>
              <w:spacing w:after="0" w:line="156" w:lineRule="exact"/>
              <w:rPr>
                <w:sz w:val="20"/>
                <w:szCs w:val="20"/>
                <w:color w:val="auto"/>
              </w:rPr>
            </w:pPr>
            <w:r>
              <w:rPr>
                <w:rFonts w:ascii="Arial" w:cs="Arial" w:eastAsia="Arial" w:hAnsi="Arial"/>
                <w:sz w:val="18"/>
                <w:szCs w:val="18"/>
                <w:b w:val="1"/>
                <w:bCs w:val="1"/>
                <w:color w:val="auto"/>
                <w:w w:val="89"/>
              </w:rPr>
              <w:t>registered</w:t>
            </w:r>
          </w:p>
        </w:tc>
        <w:tc>
          <w:tcPr>
            <w:tcW w:w="1060" w:type="dxa"/>
            <w:vAlign w:val="bottom"/>
            <w:gridSpan w:val="3"/>
            <w:vMerge w:val="restart"/>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0"/>
              </w:rPr>
              <w:t>Evergy, Inc. common stock</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320" w:type="dxa"/>
            <w:vAlign w:val="bottom"/>
            <w:gridSpan w:val="2"/>
          </w:tcPr>
          <w:p>
            <w:pPr>
              <w:jc w:val="center"/>
              <w:ind w:right="1880"/>
              <w:spacing w:after="0"/>
              <w:rPr>
                <w:sz w:val="20"/>
                <w:szCs w:val="20"/>
                <w:color w:val="auto"/>
              </w:rPr>
            </w:pPr>
            <w:r>
              <w:rPr>
                <w:rFonts w:ascii="Arial" w:cs="Arial" w:eastAsia="Arial" w:hAnsi="Arial"/>
                <w:sz w:val="18"/>
                <w:szCs w:val="18"/>
                <w:color w:val="auto"/>
                <w:w w:val="93"/>
              </w:rPr>
              <w:t>EVRG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7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6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88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800" w:type="dxa"/>
            <w:vAlign w:val="bottom"/>
          </w:tcPr>
          <w:p>
            <w:pPr>
              <w:spacing w:after="0"/>
              <w:rPr>
                <w:sz w:val="20"/>
                <w:szCs w:val="20"/>
                <w:color w:val="auto"/>
              </w:rPr>
            </w:pPr>
            <w:r>
              <w:rPr>
                <w:rFonts w:ascii="Arial" w:cs="Arial" w:eastAsia="Arial" w:hAnsi="Arial"/>
                <w:sz w:val="16"/>
                <w:szCs w:val="16"/>
                <w:color w:val="auto"/>
              </w:rPr>
              <w:t>Evergy, Inc.</w:t>
            </w:r>
          </w:p>
        </w:tc>
        <w:tc>
          <w:tcPr>
            <w:tcW w:w="1400" w:type="dxa"/>
            <w:vAlign w:val="bottom"/>
          </w:tcPr>
          <w:p>
            <w:pPr>
              <w:ind w:left="960"/>
              <w:spacing w:after="0"/>
              <w:rPr>
                <w:sz w:val="20"/>
                <w:szCs w:val="20"/>
                <w:color w:val="auto"/>
              </w:rPr>
            </w:pPr>
            <w:r>
              <w:rPr>
                <w:rFonts w:ascii="Arial" w:cs="Arial" w:eastAsia="Arial" w:hAnsi="Arial"/>
                <w:sz w:val="16"/>
                <w:szCs w:val="16"/>
                <w:color w:val="auto"/>
              </w:rPr>
              <w:t>Yes</w:t>
            </w:r>
          </w:p>
        </w:tc>
        <w:tc>
          <w:tcPr>
            <w:tcW w:w="72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0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400" w:type="dxa"/>
            <w:vAlign w:val="bottom"/>
          </w:tcPr>
          <w:p>
            <w:pPr>
              <w:ind w:left="960"/>
              <w:spacing w:after="0"/>
              <w:rPr>
                <w:sz w:val="20"/>
                <w:szCs w:val="20"/>
                <w:color w:val="auto"/>
              </w:rPr>
            </w:pPr>
            <w:r>
              <w:rPr>
                <w:rFonts w:ascii="Arial" w:cs="Arial" w:eastAsia="Arial" w:hAnsi="Arial"/>
                <w:sz w:val="16"/>
                <w:szCs w:val="16"/>
                <w:color w:val="auto"/>
              </w:rPr>
              <w:t>Yes</w:t>
            </w:r>
          </w:p>
        </w:tc>
        <w:tc>
          <w:tcPr>
            <w:tcW w:w="72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00" w:type="dxa"/>
            <w:vAlign w:val="bottom"/>
          </w:tcPr>
          <w:p>
            <w:pPr>
              <w:spacing w:after="0"/>
              <w:rPr>
                <w:sz w:val="20"/>
                <w:szCs w:val="20"/>
                <w:color w:val="auto"/>
              </w:rPr>
            </w:pPr>
            <w:r>
              <w:rPr>
                <w:rFonts w:ascii="Arial" w:cs="Arial" w:eastAsia="Arial" w:hAnsi="Arial"/>
                <w:sz w:val="16"/>
                <w:szCs w:val="16"/>
                <w:color w:val="auto"/>
              </w:rPr>
              <w:t>Evergy Metro, Inc.</w:t>
            </w:r>
          </w:p>
        </w:tc>
        <w:tc>
          <w:tcPr>
            <w:tcW w:w="1400" w:type="dxa"/>
            <w:vAlign w:val="bottom"/>
          </w:tcPr>
          <w:p>
            <w:pPr>
              <w:ind w:left="960"/>
              <w:spacing w:after="0"/>
              <w:rPr>
                <w:sz w:val="20"/>
                <w:szCs w:val="20"/>
                <w:color w:val="auto"/>
              </w:rPr>
            </w:pPr>
            <w:r>
              <w:rPr>
                <w:rFonts w:ascii="Arial" w:cs="Arial" w:eastAsia="Arial" w:hAnsi="Arial"/>
                <w:sz w:val="16"/>
                <w:szCs w:val="16"/>
                <w:color w:val="auto"/>
              </w:rPr>
              <w:t>Yes</w:t>
            </w:r>
          </w:p>
        </w:tc>
        <w:tc>
          <w:tcPr>
            <w:tcW w:w="72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0"/>
          <w:szCs w:val="20"/>
          <w:color w:val="auto"/>
        </w:rPr>
      </w:pPr>
    </w:p>
    <w:p>
      <w:pPr>
        <w:ind w:left="20" w:right="360"/>
        <w:spacing w:after="0" w:line="26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2800" w:type="dxa"/>
            <w:vAlign w:val="bottom"/>
          </w:tcPr>
          <w:p>
            <w:pPr>
              <w:spacing w:after="0"/>
              <w:rPr>
                <w:sz w:val="20"/>
                <w:szCs w:val="20"/>
                <w:color w:val="auto"/>
              </w:rPr>
            </w:pPr>
            <w:r>
              <w:rPr>
                <w:rFonts w:ascii="Arial" w:cs="Arial" w:eastAsia="Arial" w:hAnsi="Arial"/>
                <w:sz w:val="16"/>
                <w:szCs w:val="16"/>
                <w:color w:val="auto"/>
              </w:rPr>
              <w:t>Evergy, Inc.</w:t>
            </w:r>
          </w:p>
        </w:tc>
        <w:tc>
          <w:tcPr>
            <w:tcW w:w="1400" w:type="dxa"/>
            <w:vAlign w:val="bottom"/>
          </w:tcPr>
          <w:p>
            <w:pPr>
              <w:ind w:left="960"/>
              <w:spacing w:after="0"/>
              <w:rPr>
                <w:sz w:val="20"/>
                <w:szCs w:val="20"/>
                <w:color w:val="auto"/>
              </w:rPr>
            </w:pPr>
            <w:r>
              <w:rPr>
                <w:rFonts w:ascii="Arial" w:cs="Arial" w:eastAsia="Arial" w:hAnsi="Arial"/>
                <w:sz w:val="16"/>
                <w:szCs w:val="16"/>
                <w:color w:val="auto"/>
              </w:rPr>
              <w:t>Yes</w:t>
            </w:r>
          </w:p>
        </w:tc>
        <w:tc>
          <w:tcPr>
            <w:tcW w:w="72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80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400" w:type="dxa"/>
            <w:vAlign w:val="bottom"/>
          </w:tcPr>
          <w:p>
            <w:pPr>
              <w:ind w:left="960"/>
              <w:spacing w:after="0"/>
              <w:rPr>
                <w:sz w:val="20"/>
                <w:szCs w:val="20"/>
                <w:color w:val="auto"/>
              </w:rPr>
            </w:pPr>
            <w:r>
              <w:rPr>
                <w:rFonts w:ascii="Arial" w:cs="Arial" w:eastAsia="Arial" w:hAnsi="Arial"/>
                <w:sz w:val="16"/>
                <w:szCs w:val="16"/>
                <w:color w:val="auto"/>
              </w:rPr>
              <w:t>Yes</w:t>
            </w:r>
          </w:p>
        </w:tc>
        <w:tc>
          <w:tcPr>
            <w:tcW w:w="72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00" w:type="dxa"/>
            <w:vAlign w:val="bottom"/>
          </w:tcPr>
          <w:p>
            <w:pPr>
              <w:spacing w:after="0"/>
              <w:rPr>
                <w:sz w:val="20"/>
                <w:szCs w:val="20"/>
                <w:color w:val="auto"/>
              </w:rPr>
            </w:pPr>
            <w:r>
              <w:rPr>
                <w:rFonts w:ascii="Arial" w:cs="Arial" w:eastAsia="Arial" w:hAnsi="Arial"/>
                <w:sz w:val="16"/>
                <w:szCs w:val="16"/>
                <w:color w:val="auto"/>
              </w:rPr>
              <w:t>Evergy Metro, Inc.</w:t>
            </w:r>
          </w:p>
        </w:tc>
        <w:tc>
          <w:tcPr>
            <w:tcW w:w="1400" w:type="dxa"/>
            <w:vAlign w:val="bottom"/>
          </w:tcPr>
          <w:p>
            <w:pPr>
              <w:ind w:left="960"/>
              <w:spacing w:after="0"/>
              <w:rPr>
                <w:sz w:val="20"/>
                <w:szCs w:val="20"/>
                <w:color w:val="auto"/>
              </w:rPr>
            </w:pPr>
            <w:r>
              <w:rPr>
                <w:rFonts w:ascii="Arial" w:cs="Arial" w:eastAsia="Arial" w:hAnsi="Arial"/>
                <w:sz w:val="16"/>
                <w:szCs w:val="16"/>
                <w:color w:val="auto"/>
              </w:rPr>
              <w:t>Yes</w:t>
            </w:r>
          </w:p>
        </w:tc>
        <w:tc>
          <w:tcPr>
            <w:tcW w:w="72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0"/>
          <w:szCs w:val="20"/>
          <w:color w:val="auto"/>
        </w:rPr>
      </w:pPr>
    </w:p>
    <w:p>
      <w:pPr>
        <w:ind w:left="20"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00" w:type="dxa"/>
            <w:vAlign w:val="bottom"/>
            <w:vMerge w:val="restart"/>
          </w:tcPr>
          <w:p>
            <w:pPr>
              <w:spacing w:after="0"/>
              <w:rPr>
                <w:sz w:val="20"/>
                <w:szCs w:val="20"/>
                <w:color w:val="auto"/>
              </w:rPr>
            </w:pPr>
            <w:r>
              <w:rPr>
                <w:rFonts w:ascii="Arial" w:cs="Arial" w:eastAsia="Arial" w:hAnsi="Arial"/>
                <w:sz w:val="16"/>
                <w:szCs w:val="16"/>
                <w:color w:val="auto"/>
              </w:rPr>
              <w:t>Evergy, Inc.</w:t>
            </w:r>
          </w:p>
        </w:tc>
        <w:tc>
          <w:tcPr>
            <w:tcW w:w="1860" w:type="dxa"/>
            <w:vAlign w:val="bottom"/>
          </w:tcPr>
          <w:p>
            <w:pPr>
              <w:jc w:val="center"/>
              <w:ind w:left="359"/>
              <w:spacing w:after="0"/>
              <w:rPr>
                <w:sz w:val="20"/>
                <w:szCs w:val="20"/>
                <w:color w:val="auto"/>
              </w:rPr>
            </w:pPr>
            <w:r>
              <w:rPr>
                <w:rFonts w:ascii="Arial" w:cs="Arial" w:eastAsia="Arial" w:hAnsi="Arial"/>
                <w:sz w:val="16"/>
                <w:szCs w:val="16"/>
                <w:color w:val="auto"/>
                <w:w w:val="90"/>
              </w:rPr>
              <w:t>Large Accelerated</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Smaller Reporting</w:t>
            </w:r>
          </w:p>
        </w:tc>
        <w:tc>
          <w:tcPr>
            <w:tcW w:w="3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2"/>
        </w:trPr>
        <w:tc>
          <w:tcPr>
            <w:tcW w:w="2400" w:type="dxa"/>
            <w:vAlign w:val="bottom"/>
            <w:vMerge w:val="continue"/>
          </w:tcPr>
          <w:p>
            <w:pPr>
              <w:spacing w:after="0"/>
              <w:rPr>
                <w:sz w:val="20"/>
                <w:szCs w:val="20"/>
                <w:color w:val="auto"/>
              </w:rPr>
            </w:pPr>
          </w:p>
        </w:tc>
        <w:tc>
          <w:tcPr>
            <w:tcW w:w="1860" w:type="dxa"/>
            <w:vAlign w:val="bottom"/>
          </w:tcPr>
          <w:p>
            <w:pPr>
              <w:jc w:val="center"/>
              <w:ind w:left="359"/>
              <w:spacing w:after="0"/>
              <w:rPr>
                <w:sz w:val="20"/>
                <w:szCs w:val="20"/>
                <w:color w:val="auto"/>
              </w:rPr>
            </w:pPr>
            <w:r>
              <w:rPr>
                <w:rFonts w:ascii="Arial" w:cs="Arial" w:eastAsia="Arial" w:hAnsi="Arial"/>
                <w:sz w:val="16"/>
                <w:szCs w:val="16"/>
                <w:color w:val="auto"/>
                <w:w w:val="96"/>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6"/>
              </w:rPr>
              <w:t>Filer</w:t>
            </w:r>
          </w:p>
        </w:tc>
        <w:tc>
          <w:tcPr>
            <w:tcW w:w="360" w:type="dxa"/>
            <w:vAlign w:val="bottom"/>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340" w:type="dxa"/>
            <w:vAlign w:val="bottom"/>
            <w:vMerge w:val="continue"/>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00" w:type="dxa"/>
            <w:vAlign w:val="bottom"/>
            <w:vMerge w:val="restart"/>
          </w:tcPr>
          <w:p>
            <w:pPr>
              <w:spacing w:after="0"/>
              <w:rPr>
                <w:sz w:val="20"/>
                <w:szCs w:val="20"/>
                <w:color w:val="auto"/>
              </w:rPr>
            </w:pPr>
            <w:r>
              <w:rPr>
                <w:rFonts w:ascii="Arial" w:cs="Arial" w:eastAsia="Arial" w:hAnsi="Arial"/>
                <w:sz w:val="16"/>
                <w:szCs w:val="16"/>
                <w:color w:val="auto"/>
              </w:rPr>
              <w:t>Evergy Kansas Central, Inc.</w:t>
            </w:r>
          </w:p>
        </w:tc>
        <w:tc>
          <w:tcPr>
            <w:tcW w:w="1860" w:type="dxa"/>
            <w:vAlign w:val="bottom"/>
          </w:tcPr>
          <w:p>
            <w:pPr>
              <w:jc w:val="center"/>
              <w:ind w:left="359"/>
              <w:spacing w:after="0"/>
              <w:rPr>
                <w:sz w:val="20"/>
                <w:szCs w:val="20"/>
                <w:color w:val="auto"/>
              </w:rPr>
            </w:pPr>
            <w:r>
              <w:rPr>
                <w:rFonts w:ascii="Arial" w:cs="Arial" w:eastAsia="Arial" w:hAnsi="Arial"/>
                <w:sz w:val="16"/>
                <w:szCs w:val="16"/>
                <w:color w:val="auto"/>
                <w:w w:val="90"/>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Smaller Reporting</w:t>
            </w:r>
          </w:p>
        </w:tc>
        <w:tc>
          <w:tcPr>
            <w:tcW w:w="3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2"/>
        </w:trPr>
        <w:tc>
          <w:tcPr>
            <w:tcW w:w="2400" w:type="dxa"/>
            <w:vAlign w:val="bottom"/>
            <w:vMerge w:val="continue"/>
          </w:tcPr>
          <w:p>
            <w:pPr>
              <w:spacing w:after="0"/>
              <w:rPr>
                <w:sz w:val="20"/>
                <w:szCs w:val="20"/>
                <w:color w:val="auto"/>
              </w:rPr>
            </w:pPr>
          </w:p>
        </w:tc>
        <w:tc>
          <w:tcPr>
            <w:tcW w:w="1860" w:type="dxa"/>
            <w:vAlign w:val="bottom"/>
          </w:tcPr>
          <w:p>
            <w:pPr>
              <w:jc w:val="center"/>
              <w:ind w:left="359"/>
              <w:spacing w:after="0"/>
              <w:rPr>
                <w:sz w:val="20"/>
                <w:szCs w:val="20"/>
                <w:color w:val="auto"/>
              </w:rPr>
            </w:pPr>
            <w:r>
              <w:rPr>
                <w:rFonts w:ascii="Arial" w:cs="Arial" w:eastAsia="Arial" w:hAnsi="Arial"/>
                <w:sz w:val="16"/>
                <w:szCs w:val="16"/>
                <w:color w:val="auto"/>
                <w:w w:val="96"/>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6"/>
              </w:rPr>
              <w:t>Filer</w:t>
            </w:r>
          </w:p>
        </w:tc>
        <w:tc>
          <w:tcPr>
            <w:tcW w:w="360" w:type="dxa"/>
            <w:vAlign w:val="bottom"/>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340" w:type="dxa"/>
            <w:vAlign w:val="bottom"/>
            <w:vMerge w:val="continue"/>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00" w:type="dxa"/>
            <w:vAlign w:val="bottom"/>
            <w:vMerge w:val="restart"/>
          </w:tcPr>
          <w:p>
            <w:pPr>
              <w:spacing w:after="0"/>
              <w:rPr>
                <w:sz w:val="20"/>
                <w:szCs w:val="20"/>
                <w:color w:val="auto"/>
              </w:rPr>
            </w:pPr>
            <w:r>
              <w:rPr>
                <w:rFonts w:ascii="Arial" w:cs="Arial" w:eastAsia="Arial" w:hAnsi="Arial"/>
                <w:sz w:val="16"/>
                <w:szCs w:val="16"/>
                <w:color w:val="auto"/>
              </w:rPr>
              <w:t>Evergy Metro, Inc.</w:t>
            </w:r>
          </w:p>
        </w:tc>
        <w:tc>
          <w:tcPr>
            <w:tcW w:w="1860" w:type="dxa"/>
            <w:vAlign w:val="bottom"/>
          </w:tcPr>
          <w:p>
            <w:pPr>
              <w:jc w:val="center"/>
              <w:ind w:left="359"/>
              <w:spacing w:after="0"/>
              <w:rPr>
                <w:sz w:val="20"/>
                <w:szCs w:val="20"/>
                <w:color w:val="auto"/>
              </w:rPr>
            </w:pPr>
            <w:r>
              <w:rPr>
                <w:rFonts w:ascii="Arial" w:cs="Arial" w:eastAsia="Arial" w:hAnsi="Arial"/>
                <w:sz w:val="16"/>
                <w:szCs w:val="16"/>
                <w:color w:val="auto"/>
                <w:w w:val="90"/>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Smaller Reporting</w:t>
            </w:r>
          </w:p>
        </w:tc>
        <w:tc>
          <w:tcPr>
            <w:tcW w:w="3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2"/>
        </w:trPr>
        <w:tc>
          <w:tcPr>
            <w:tcW w:w="2400" w:type="dxa"/>
            <w:vAlign w:val="bottom"/>
            <w:vMerge w:val="continue"/>
          </w:tcPr>
          <w:p>
            <w:pPr>
              <w:spacing w:after="0"/>
              <w:rPr>
                <w:sz w:val="20"/>
                <w:szCs w:val="20"/>
                <w:color w:val="auto"/>
              </w:rPr>
            </w:pPr>
          </w:p>
        </w:tc>
        <w:tc>
          <w:tcPr>
            <w:tcW w:w="1860" w:type="dxa"/>
            <w:vAlign w:val="bottom"/>
          </w:tcPr>
          <w:p>
            <w:pPr>
              <w:jc w:val="center"/>
              <w:ind w:left="359"/>
              <w:spacing w:after="0"/>
              <w:rPr>
                <w:sz w:val="20"/>
                <w:szCs w:val="20"/>
                <w:color w:val="auto"/>
              </w:rPr>
            </w:pPr>
            <w:r>
              <w:rPr>
                <w:rFonts w:ascii="Arial" w:cs="Arial" w:eastAsia="Arial" w:hAnsi="Arial"/>
                <w:sz w:val="16"/>
                <w:szCs w:val="16"/>
                <w:color w:val="auto"/>
                <w:w w:val="96"/>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6"/>
              </w:rPr>
              <w:t>Filer</w:t>
            </w:r>
          </w:p>
        </w:tc>
        <w:tc>
          <w:tcPr>
            <w:tcW w:w="360" w:type="dxa"/>
            <w:vAlign w:val="bottom"/>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340" w:type="dxa"/>
            <w:vAlign w:val="bottom"/>
            <w:vMerge w:val="continue"/>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right="5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220"/>
          </w:cols>
          <w:pgMar w:left="320" w:top="121" w:right="35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142" w:lineRule="exact"/>
        <w:rPr>
          <w:sz w:val="20"/>
          <w:szCs w:val="20"/>
          <w:color w:val="auto"/>
        </w:rPr>
      </w:pPr>
    </w:p>
    <w:p>
      <w:pPr>
        <w:sectPr>
          <w:pgSz w:w="11900" w:h="16838" w:orient="portrait"/>
          <w:cols w:equalWidth="0" w:num="2">
            <w:col w:w="2500" w:space="720"/>
            <w:col w:w="8000"/>
          </w:cols>
          <w:pgMar w:left="320" w:top="121" w:right="359" w:bottom="1440" w:gutter="0" w:footer="0" w:header="0"/>
          <w:type w:val="continuous"/>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500" w:space="720"/>
            <w:col w:w="8000"/>
          </w:cols>
          <w:pgMar w:left="320" w:top="121" w:right="359" w:bottom="1440" w:gutter="0" w:footer="0" w:header="0"/>
          <w:type w:val="continuous"/>
        </w:sectPr>
      </w:pP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7" w:lineRule="exact"/>
        <w:rPr>
          <w:sz w:val="20"/>
          <w:szCs w:val="20"/>
          <w:color w:val="auto"/>
        </w:rPr>
      </w:pPr>
    </w:p>
    <w:p>
      <w:pPr>
        <w:sectPr>
          <w:pgSz w:w="11900" w:h="16838" w:orient="portrait"/>
          <w:cols w:equalWidth="0" w:num="2">
            <w:col w:w="2500" w:space="720"/>
            <w:col w:w="8000"/>
          </w:cols>
          <w:pgMar w:left="320" w:top="121"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80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80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97"/>
        </w:trPr>
        <w:tc>
          <w:tcPr>
            <w:tcW w:w="280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0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July 28, 2023, Evergy, Inc. had 229,702,154 shares of common stock outstanding. On July 28, 2023, Evergy Metro, Inc. and Evergy Kansas Central, Inc. each had one share of common stock outstanding and held by Evergy, Inc.</w:t>
      </w:r>
    </w:p>
    <w:p>
      <w:pPr>
        <w:spacing w:after="0" w:line="141" w:lineRule="exact"/>
        <w:rPr>
          <w:sz w:val="20"/>
          <w:szCs w:val="20"/>
          <w:color w:val="auto"/>
        </w:rPr>
      </w:pPr>
    </w:p>
    <w:p>
      <w:pPr>
        <w:ind w:left="20" w:right="580"/>
        <w:spacing w:after="0" w:line="245"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99" w:lineRule="exact"/>
        <w:rPr>
          <w:sz w:val="20"/>
          <w:szCs w:val="20"/>
          <w:color w:val="auto"/>
        </w:rPr>
      </w:pPr>
    </w:p>
    <w:p>
      <w:pPr>
        <w:ind w:right="460"/>
        <w:spacing w:after="0" w:line="255" w:lineRule="auto"/>
        <w:rPr>
          <w:sz w:val="20"/>
          <w:szCs w:val="20"/>
          <w:color w:val="auto"/>
        </w:rPr>
      </w:pPr>
      <w:r>
        <w:rPr>
          <w:rFonts w:ascii="Arial" w:cs="Arial" w:eastAsia="Arial" w:hAnsi="Arial"/>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2022 for each of Evergy, Evergy Kansas Central and Evergy Metro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60" w:type="dxa"/>
            <w:vAlign w:val="bottom"/>
            <w:gridSpan w:val="1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gridSpan w:val="30"/>
          </w:tcPr>
          <w:p>
            <w:pPr>
              <w:spacing w:after="0"/>
              <w:rPr>
                <w:sz w:val="20"/>
                <w:szCs w:val="20"/>
                <w:color w:val="auto"/>
              </w:rPr>
            </w:pPr>
            <w:r>
              <w:rPr>
                <w:rFonts w:ascii="Arial" w:cs="Arial" w:eastAsia="Arial" w:hAnsi="Arial"/>
                <w:sz w:val="18"/>
                <w:szCs w:val="18"/>
                <w:color w:val="0000FF"/>
                <w:w w:val="91"/>
              </w:rPr>
              <w:t>Cautionary Statements Regarding Certain Forward-Looking Information</w:t>
            </w:r>
          </w:p>
        </w:tc>
        <w:tc>
          <w:tcPr>
            <w:tcW w:w="4400" w:type="dxa"/>
            <w:vAlign w:val="bottom"/>
            <w:gridSpan w:val="9"/>
          </w:tcPr>
          <w:p>
            <w:pPr>
              <w:spacing w:after="0"/>
              <w:rPr>
                <w:sz w:val="19"/>
                <w:szCs w:val="19"/>
                <w:color w:val="auto"/>
              </w:rPr>
            </w:pPr>
          </w:p>
        </w:tc>
        <w:tc>
          <w:tcPr>
            <w:tcW w:w="560" w:type="dxa"/>
            <w:vAlign w:val="bottom"/>
            <w:tcBorders>
              <w:top w:val="single" w:sz="8" w:color="auto"/>
            </w:tcBorders>
            <w:gridSpan w:val="2"/>
          </w:tcPr>
          <w:p>
            <w:pPr>
              <w:jc w:val="center"/>
              <w:ind w:left="390"/>
              <w:spacing w:after="0"/>
              <w:rPr>
                <w:sz w:val="20"/>
                <w:szCs w:val="20"/>
                <w:color w:val="auto"/>
              </w:rPr>
            </w:pPr>
            <w:r>
              <w:rPr>
                <w:rFonts w:ascii="Arial" w:cs="Arial" w:eastAsia="Arial" w:hAnsi="Arial"/>
                <w:sz w:val="18"/>
                <w:szCs w:val="18"/>
                <w:color w:val="0000FF"/>
                <w:w w:val="79"/>
              </w:rPr>
              <w:t>4</w:t>
            </w:r>
          </w:p>
        </w:tc>
        <w:tc>
          <w:tcPr>
            <w:tcW w:w="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40" w:type="dxa"/>
            <w:vAlign w:val="bottom"/>
            <w:gridSpan w:val="12"/>
          </w:tcPr>
          <w:p>
            <w:pPr>
              <w:spacing w:after="0"/>
              <w:rPr>
                <w:sz w:val="20"/>
                <w:szCs w:val="20"/>
                <w:color w:val="auto"/>
              </w:rPr>
            </w:pPr>
            <w:r>
              <w:rPr>
                <w:rFonts w:ascii="Arial" w:cs="Arial" w:eastAsia="Arial" w:hAnsi="Arial"/>
                <w:sz w:val="18"/>
                <w:szCs w:val="18"/>
                <w:color w:val="0000FF"/>
              </w:rPr>
              <w:t>Glossary of Terms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center"/>
              <w:ind w:left="390"/>
              <w:spacing w:after="0"/>
              <w:rPr>
                <w:sz w:val="20"/>
                <w:szCs w:val="20"/>
                <w:color w:val="auto"/>
              </w:rPr>
            </w:pPr>
            <w:r>
              <w:rPr>
                <w:rFonts w:ascii="Arial" w:cs="Arial" w:eastAsia="Arial" w:hAnsi="Arial"/>
                <w:sz w:val="18"/>
                <w:szCs w:val="18"/>
                <w:color w:val="0000FF"/>
                <w:w w:val="79"/>
              </w:rPr>
              <w:t>6</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40" w:type="dxa"/>
            <w:vAlign w:val="bottom"/>
            <w:gridSpan w:val="12"/>
          </w:tcPr>
          <w:p>
            <w:pPr>
              <w:spacing w:after="0"/>
              <w:rPr>
                <w:sz w:val="20"/>
                <w:szCs w:val="20"/>
                <w:color w:val="auto"/>
              </w:rPr>
            </w:pPr>
            <w:r>
              <w:rPr>
                <w:rFonts w:ascii="Arial" w:cs="Arial" w:eastAsia="Arial" w:hAnsi="Arial"/>
                <w:sz w:val="18"/>
                <w:szCs w:val="18"/>
                <w:b w:val="1"/>
                <w:bCs w:val="1"/>
                <w:color w:val="0000FF"/>
              </w:rPr>
              <w:t>Part I - Financial Information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40" w:type="dxa"/>
            <w:vAlign w:val="bottom"/>
            <w:gridSpan w:val="37"/>
          </w:tcPr>
          <w:p>
            <w:pPr>
              <w:spacing w:after="0"/>
              <w:rPr>
                <w:sz w:val="20"/>
                <w:szCs w:val="20"/>
                <w:color w:val="auto"/>
              </w:rPr>
            </w:pPr>
            <w:r>
              <w:rPr>
                <w:rFonts w:ascii="Arial" w:cs="Arial" w:eastAsia="Arial" w:hAnsi="Arial"/>
                <w:sz w:val="18"/>
                <w:szCs w:val="18"/>
                <w:color w:val="0000FF"/>
              </w:rPr>
              <w:t>Financial Statements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0"/>
              </w:rPr>
              <w:t>Evergy, Inc.</w:t>
            </w:r>
          </w:p>
        </w:tc>
        <w:tc>
          <w:tcPr>
            <w:tcW w:w="500" w:type="dxa"/>
            <w:vAlign w:val="bottom"/>
            <w:tcBorders>
              <w:top w:val="single" w:sz="8" w:color="0000FF"/>
            </w:tcBorders>
            <w:gridSpan w:val="4"/>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80" w:type="dxa"/>
            <w:vAlign w:val="bottom"/>
            <w:gridSpan w:val="35"/>
          </w:tcPr>
          <w:p>
            <w:pPr>
              <w:spacing w:after="0"/>
              <w:rPr>
                <w:sz w:val="20"/>
                <w:szCs w:val="20"/>
                <w:color w:val="auto"/>
              </w:rPr>
            </w:pPr>
            <w:r>
              <w:rPr>
                <w:rFonts w:ascii="Arial" w:cs="Arial" w:eastAsia="Arial" w:hAnsi="Arial"/>
                <w:sz w:val="18"/>
                <w:szCs w:val="18"/>
                <w:color w:val="0000FF"/>
              </w:rPr>
              <w:t>Unaudited Consolidated Balance Sheets</w:t>
            </w:r>
          </w:p>
        </w:tc>
        <w:tc>
          <w:tcPr>
            <w:tcW w:w="560" w:type="dxa"/>
            <w:vAlign w:val="bottom"/>
            <w:gridSpan w:val="2"/>
          </w:tcPr>
          <w:p>
            <w:pPr>
              <w:jc w:val="center"/>
              <w:ind w:left="390"/>
              <w:spacing w:after="0"/>
              <w:rPr>
                <w:sz w:val="20"/>
                <w:szCs w:val="20"/>
                <w:color w:val="auto"/>
              </w:rPr>
            </w:pPr>
            <w:r>
              <w:rPr>
                <w:rFonts w:ascii="Arial" w:cs="Arial" w:eastAsia="Arial" w:hAnsi="Arial"/>
                <w:sz w:val="18"/>
                <w:szCs w:val="18"/>
                <w:color w:val="0000FF"/>
                <w:w w:val="79"/>
              </w:rPr>
              <w:t>8</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89"/>
              </w:rPr>
              <w:t>Unaudited Consolidated Statements of Comprehensive Income</w:t>
            </w:r>
          </w:p>
        </w:tc>
        <w:tc>
          <w:tcPr>
            <w:tcW w:w="3740" w:type="dxa"/>
            <w:vAlign w:val="bottom"/>
            <w:gridSpan w:val="4"/>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80" w:type="dxa"/>
            <w:vAlign w:val="bottom"/>
            <w:gridSpan w:val="35"/>
          </w:tcPr>
          <w:p>
            <w:pPr>
              <w:spacing w:after="0"/>
              <w:rPr>
                <w:sz w:val="20"/>
                <w:szCs w:val="20"/>
                <w:color w:val="auto"/>
              </w:rPr>
            </w:pPr>
            <w:r>
              <w:rPr>
                <w:rFonts w:ascii="Arial" w:cs="Arial" w:eastAsia="Arial" w:hAnsi="Arial"/>
                <w:sz w:val="18"/>
                <w:szCs w:val="18"/>
                <w:color w:val="0000FF"/>
              </w:rPr>
              <w:t>Unaudited Consolidated Statements of Cash Flows</w:t>
            </w:r>
          </w:p>
        </w:tc>
        <w:tc>
          <w:tcPr>
            <w:tcW w:w="600" w:type="dxa"/>
            <w:vAlign w:val="bottom"/>
            <w:gridSpan w:val="3"/>
          </w:tcPr>
          <w:p>
            <w:pPr>
              <w:jc w:val="center"/>
              <w:ind w:left="350"/>
              <w:spacing w:after="0"/>
              <w:rPr>
                <w:sz w:val="20"/>
                <w:szCs w:val="20"/>
                <w:color w:val="auto"/>
              </w:rPr>
            </w:pPr>
            <w:r>
              <w:rPr>
                <w:rFonts w:ascii="Arial" w:cs="Arial" w:eastAsia="Arial" w:hAnsi="Arial"/>
                <w:sz w:val="18"/>
                <w:szCs w:val="18"/>
                <w:color w:val="0000FF"/>
                <w:w w:val="79"/>
              </w:rPr>
              <w:t>11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80" w:type="dxa"/>
            <w:vAlign w:val="bottom"/>
            <w:gridSpan w:val="35"/>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12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91"/>
              </w:rPr>
              <w:t>Evergy Kansas Central, Inc.</w:t>
            </w:r>
          </w:p>
        </w:tc>
        <w:tc>
          <w:tcPr>
            <w:tcW w:w="6260" w:type="dxa"/>
            <w:vAlign w:val="bottom"/>
            <w:gridSpan w:val="19"/>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80" w:type="dxa"/>
            <w:vAlign w:val="bottom"/>
            <w:gridSpan w:val="35"/>
          </w:tcPr>
          <w:p>
            <w:pPr>
              <w:spacing w:after="0"/>
              <w:rPr>
                <w:sz w:val="20"/>
                <w:szCs w:val="20"/>
                <w:color w:val="auto"/>
              </w:rPr>
            </w:pPr>
            <w:r>
              <w:rPr>
                <w:rFonts w:ascii="Arial" w:cs="Arial" w:eastAsia="Arial" w:hAnsi="Arial"/>
                <w:sz w:val="18"/>
                <w:szCs w:val="18"/>
                <w:color w:val="0000FF"/>
              </w:rPr>
              <w:t>Unaudited Consolidated Balance Sheets</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14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89"/>
              </w:rPr>
              <w:t>Unaudited Consolidated Statements of Income</w:t>
            </w:r>
          </w:p>
        </w:tc>
        <w:tc>
          <w:tcPr>
            <w:tcW w:w="492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16</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80" w:type="dxa"/>
            <w:vAlign w:val="bottom"/>
            <w:gridSpan w:val="35"/>
          </w:tcPr>
          <w:p>
            <w:pPr>
              <w:spacing w:after="0"/>
              <w:rPr>
                <w:sz w:val="20"/>
                <w:szCs w:val="20"/>
                <w:color w:val="auto"/>
              </w:rPr>
            </w:pPr>
            <w:r>
              <w:rPr>
                <w:rFonts w:ascii="Arial" w:cs="Arial" w:eastAsia="Arial" w:hAnsi="Arial"/>
                <w:sz w:val="18"/>
                <w:szCs w:val="18"/>
                <w:color w:val="0000FF"/>
              </w:rPr>
              <w:t>Unaudited Consolidated Statements of Cash Flows</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17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80" w:type="dxa"/>
            <w:vAlign w:val="bottom"/>
            <w:gridSpan w:val="35"/>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18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w w:val="92"/>
              </w:rPr>
              <w:t>Evergy Metro, Inc.</w:t>
            </w:r>
          </w:p>
        </w:tc>
        <w:tc>
          <w:tcPr>
            <w:tcW w:w="6980" w:type="dxa"/>
            <w:vAlign w:val="bottom"/>
            <w:gridSpan w:val="26"/>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80" w:type="dxa"/>
            <w:vAlign w:val="bottom"/>
            <w:gridSpan w:val="35"/>
          </w:tcPr>
          <w:p>
            <w:pPr>
              <w:spacing w:after="0"/>
              <w:rPr>
                <w:sz w:val="20"/>
                <w:szCs w:val="20"/>
                <w:color w:val="auto"/>
              </w:rPr>
            </w:pPr>
            <w:r>
              <w:rPr>
                <w:rFonts w:ascii="Arial" w:cs="Arial" w:eastAsia="Arial" w:hAnsi="Arial"/>
                <w:sz w:val="18"/>
                <w:szCs w:val="18"/>
                <w:color w:val="0000FF"/>
              </w:rPr>
              <w:t>Unaudited Consolidated Balance Sheets</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19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89"/>
              </w:rPr>
              <w:t>Unaudited Consolidated Statements of Comprehensive Income</w:t>
            </w:r>
          </w:p>
        </w:tc>
        <w:tc>
          <w:tcPr>
            <w:tcW w:w="3740" w:type="dxa"/>
            <w:vAlign w:val="bottom"/>
            <w:gridSpan w:val="4"/>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21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80" w:type="dxa"/>
            <w:vAlign w:val="bottom"/>
            <w:gridSpan w:val="35"/>
          </w:tcPr>
          <w:p>
            <w:pPr>
              <w:spacing w:after="0"/>
              <w:rPr>
                <w:sz w:val="20"/>
                <w:szCs w:val="20"/>
                <w:color w:val="auto"/>
              </w:rPr>
            </w:pPr>
            <w:r>
              <w:rPr>
                <w:rFonts w:ascii="Arial" w:cs="Arial" w:eastAsia="Arial" w:hAnsi="Arial"/>
                <w:sz w:val="18"/>
                <w:szCs w:val="18"/>
                <w:color w:val="0000FF"/>
              </w:rPr>
              <w:t>Unaudited Consolidated Statements of Cash Flows</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22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80" w:type="dxa"/>
            <w:vAlign w:val="bottom"/>
            <w:gridSpan w:val="35"/>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23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40" w:type="dxa"/>
            <w:vAlign w:val="bottom"/>
            <w:gridSpan w:val="37"/>
          </w:tcPr>
          <w:p>
            <w:pPr>
              <w:spacing w:after="0"/>
              <w:rPr>
                <w:sz w:val="20"/>
                <w:szCs w:val="20"/>
                <w:color w:val="auto"/>
              </w:rPr>
            </w:pPr>
            <w:r>
              <w:rPr>
                <w:rFonts w:ascii="Arial" w:cs="Arial" w:eastAsia="Arial" w:hAnsi="Arial"/>
                <w:sz w:val="18"/>
                <w:szCs w:val="18"/>
                <w:color w:val="0000FF"/>
                <w:w w:val="99"/>
              </w:rPr>
              <w:t>Combined Notes to Unaudited Consolidated Financial Statements for Evergy, Inc., Evergy Kansas Central,</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24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0" w:type="dxa"/>
            <w:vAlign w:val="bottom"/>
            <w:tcBorders>
              <w:top w:val="single" w:sz="8" w:color="0000FF"/>
              <w:bottom w:val="single" w:sz="8" w:color="0000FF"/>
            </w:tcBorders>
            <w:gridSpan w:val="15"/>
          </w:tcPr>
          <w:p>
            <w:pPr>
              <w:spacing w:after="0" w:line="156" w:lineRule="exact"/>
              <w:rPr>
                <w:sz w:val="20"/>
                <w:szCs w:val="20"/>
                <w:color w:val="auto"/>
              </w:rPr>
            </w:pPr>
            <w:r>
              <w:rPr>
                <w:rFonts w:ascii="Arial" w:cs="Arial" w:eastAsia="Arial" w:hAnsi="Arial"/>
                <w:sz w:val="18"/>
                <w:szCs w:val="18"/>
                <w:color w:val="0000FF"/>
                <w:w w:val="92"/>
              </w:rPr>
              <w:t>Inc. and Evergy Metro, Inc.</w:t>
            </w:r>
          </w:p>
        </w:tc>
        <w:tc>
          <w:tcPr>
            <w:tcW w:w="5540" w:type="dxa"/>
            <w:vAlign w:val="bottom"/>
            <w:tcBorders>
              <w:top w:val="single" w:sz="8" w:color="0000FF"/>
            </w:tcBorders>
            <w:gridSpan w:val="19"/>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1:</w:t>
            </w:r>
          </w:p>
        </w:tc>
        <w:tc>
          <w:tcPr>
            <w:tcW w:w="7000" w:type="dxa"/>
            <w:vAlign w:val="bottom"/>
            <w:gridSpan w:val="27"/>
          </w:tcPr>
          <w:p>
            <w:pPr>
              <w:spacing w:after="0"/>
              <w:rPr>
                <w:sz w:val="20"/>
                <w:szCs w:val="20"/>
                <w:color w:val="auto"/>
              </w:rPr>
            </w:pPr>
            <w:r>
              <w:rPr>
                <w:rFonts w:ascii="Arial" w:cs="Arial" w:eastAsia="Arial" w:hAnsi="Arial"/>
                <w:sz w:val="18"/>
                <w:szCs w:val="18"/>
                <w:color w:val="0000FF"/>
              </w:rPr>
              <w:t>Organization and Basis of Presentation</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24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2:</w:t>
            </w:r>
          </w:p>
        </w:tc>
        <w:tc>
          <w:tcPr>
            <w:tcW w:w="6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5"/>
              </w:rPr>
              <w:t>Revenue</w:t>
            </w:r>
          </w:p>
        </w:tc>
        <w:tc>
          <w:tcPr>
            <w:tcW w:w="2220" w:type="dxa"/>
            <w:vAlign w:val="bottom"/>
            <w:tcBorders>
              <w:top w:val="single" w:sz="8" w:color="0000FF"/>
            </w:tcBorders>
            <w:gridSpan w:val="14"/>
          </w:tcPr>
          <w:p>
            <w:pPr>
              <w:spacing w:after="0"/>
              <w:rPr>
                <w:sz w:val="18"/>
                <w:szCs w:val="18"/>
                <w:color w:val="auto"/>
              </w:rPr>
            </w:pPr>
          </w:p>
        </w:tc>
        <w:tc>
          <w:tcPr>
            <w:tcW w:w="4140" w:type="dxa"/>
            <w:vAlign w:val="bottom"/>
            <w:gridSpan w:val="8"/>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29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3:</w:t>
            </w:r>
          </w:p>
        </w:tc>
        <w:tc>
          <w:tcPr>
            <w:tcW w:w="8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7"/>
              </w:rPr>
              <w:t>Receivables</w:t>
            </w:r>
          </w:p>
        </w:tc>
        <w:tc>
          <w:tcPr>
            <w:tcW w:w="6120" w:type="dxa"/>
            <w:vAlign w:val="bottom"/>
            <w:gridSpan w:val="18"/>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4:</w:t>
            </w:r>
          </w:p>
        </w:tc>
        <w:tc>
          <w:tcPr>
            <w:tcW w:w="7000" w:type="dxa"/>
            <w:vAlign w:val="bottom"/>
            <w:gridSpan w:val="27"/>
          </w:tcPr>
          <w:p>
            <w:pPr>
              <w:spacing w:after="0"/>
              <w:rPr>
                <w:sz w:val="20"/>
                <w:szCs w:val="20"/>
                <w:color w:val="auto"/>
              </w:rPr>
            </w:pPr>
            <w:r>
              <w:rPr>
                <w:rFonts w:ascii="Arial" w:cs="Arial" w:eastAsia="Arial" w:hAnsi="Arial"/>
                <w:sz w:val="18"/>
                <w:szCs w:val="18"/>
                <w:color w:val="0000FF"/>
              </w:rPr>
              <w:t>Rate Matters and Regulation</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32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5:</w:t>
            </w:r>
          </w:p>
        </w:tc>
        <w:tc>
          <w:tcPr>
            <w:tcW w:w="206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Goodwill</w:t>
            </w:r>
          </w:p>
        </w:tc>
        <w:tc>
          <w:tcPr>
            <w:tcW w:w="4940" w:type="dxa"/>
            <w:vAlign w:val="bottom"/>
            <w:gridSpan w:val="13"/>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6:</w:t>
            </w:r>
          </w:p>
        </w:tc>
        <w:tc>
          <w:tcPr>
            <w:tcW w:w="31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88"/>
              </w:rPr>
              <w:t>Pension Plans and Post-Retirement Benefits</w:t>
            </w:r>
          </w:p>
        </w:tc>
        <w:tc>
          <w:tcPr>
            <w:tcW w:w="3820" w:type="dxa"/>
            <w:vAlign w:val="bottom"/>
            <w:gridSpan w:val="5"/>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7:</w:t>
            </w:r>
          </w:p>
        </w:tc>
        <w:tc>
          <w:tcPr>
            <w:tcW w:w="44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1"/>
              </w:rPr>
              <w:t>Short-Term Borrowings and Short-Term Bank Lines of Credit</w:t>
            </w:r>
          </w:p>
        </w:tc>
        <w:tc>
          <w:tcPr>
            <w:tcW w:w="25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8:</w:t>
            </w:r>
          </w:p>
        </w:tc>
        <w:tc>
          <w:tcPr>
            <w:tcW w:w="12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Long-Term Debt</w:t>
            </w:r>
          </w:p>
        </w:tc>
        <w:tc>
          <w:tcPr>
            <w:tcW w:w="5780" w:type="dxa"/>
            <w:vAlign w:val="bottom"/>
            <w:gridSpan w:val="17"/>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37</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9:</w:t>
            </w:r>
          </w:p>
        </w:tc>
        <w:tc>
          <w:tcPr>
            <w:tcW w:w="16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Derivative Instruments</w:t>
            </w:r>
          </w:p>
        </w:tc>
        <w:tc>
          <w:tcPr>
            <w:tcW w:w="5340" w:type="dxa"/>
            <w:vAlign w:val="bottom"/>
            <w:gridSpan w:val="15"/>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10:</w:t>
            </w:r>
          </w:p>
        </w:tc>
        <w:tc>
          <w:tcPr>
            <w:tcW w:w="18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Fair Value Measurements</w:t>
            </w:r>
          </w:p>
        </w:tc>
        <w:tc>
          <w:tcPr>
            <w:tcW w:w="5160" w:type="dxa"/>
            <w:vAlign w:val="bottom"/>
            <w:gridSpan w:val="14"/>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11:</w:t>
            </w:r>
          </w:p>
        </w:tc>
        <w:tc>
          <w:tcPr>
            <w:tcW w:w="7000" w:type="dxa"/>
            <w:vAlign w:val="bottom"/>
            <w:gridSpan w:val="27"/>
          </w:tcPr>
          <w:p>
            <w:pPr>
              <w:spacing w:after="0"/>
              <w:rPr>
                <w:sz w:val="20"/>
                <w:szCs w:val="20"/>
                <w:color w:val="auto"/>
              </w:rPr>
            </w:pPr>
            <w:r>
              <w:rPr>
                <w:rFonts w:ascii="Arial" w:cs="Arial" w:eastAsia="Arial" w:hAnsi="Arial"/>
                <w:sz w:val="18"/>
                <w:szCs w:val="18"/>
                <w:color w:val="0000FF"/>
              </w:rPr>
              <w:t>Commitments and Contingencies</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48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12:</w:t>
            </w:r>
          </w:p>
        </w:tc>
        <w:tc>
          <w:tcPr>
            <w:tcW w:w="7000" w:type="dxa"/>
            <w:vAlign w:val="bottom"/>
            <w:gridSpan w:val="27"/>
          </w:tcPr>
          <w:p>
            <w:pPr>
              <w:spacing w:after="0"/>
              <w:rPr>
                <w:sz w:val="20"/>
                <w:szCs w:val="20"/>
                <w:color w:val="auto"/>
              </w:rPr>
            </w:pPr>
            <w:r>
              <w:rPr>
                <w:rFonts w:ascii="Arial" w:cs="Arial" w:eastAsia="Arial" w:hAnsi="Arial"/>
                <w:sz w:val="18"/>
                <w:szCs w:val="18"/>
                <w:color w:val="0000FF"/>
              </w:rPr>
              <w:t>Related Party Transactions and Relationships</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51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8"/>
          </w:tcPr>
          <w:p>
            <w:pPr>
              <w:ind w:left="160"/>
              <w:spacing w:after="0"/>
              <w:rPr>
                <w:sz w:val="20"/>
                <w:szCs w:val="20"/>
                <w:color w:val="auto"/>
              </w:rPr>
            </w:pPr>
            <w:r>
              <w:rPr>
                <w:rFonts w:ascii="Arial" w:cs="Arial" w:eastAsia="Arial" w:hAnsi="Arial"/>
                <w:sz w:val="18"/>
                <w:szCs w:val="18"/>
                <w:color w:val="auto"/>
              </w:rPr>
              <w:t>Note 13:</w:t>
            </w:r>
          </w:p>
        </w:tc>
        <w:tc>
          <w:tcPr>
            <w:tcW w:w="4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1"/>
              </w:rPr>
              <w:t>Taxes</w:t>
            </w:r>
          </w:p>
        </w:tc>
        <w:tc>
          <w:tcPr>
            <w:tcW w:w="2840" w:type="dxa"/>
            <w:vAlign w:val="bottom"/>
            <w:tcBorders>
              <w:top w:val="single" w:sz="8" w:color="0000FF"/>
            </w:tcBorders>
            <w:gridSpan w:val="19"/>
          </w:tcPr>
          <w:p>
            <w:pPr>
              <w:spacing w:after="0"/>
              <w:rPr>
                <w:sz w:val="18"/>
                <w:szCs w:val="18"/>
                <w:color w:val="auto"/>
              </w:rPr>
            </w:pPr>
          </w:p>
        </w:tc>
        <w:tc>
          <w:tcPr>
            <w:tcW w:w="3740" w:type="dxa"/>
            <w:vAlign w:val="bottom"/>
            <w:gridSpan w:val="4"/>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53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40" w:type="dxa"/>
            <w:vAlign w:val="bottom"/>
            <w:gridSpan w:val="3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55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31"/>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60" w:type="dxa"/>
            <w:vAlign w:val="bottom"/>
            <w:tcBorders>
              <w:top w:val="single" w:sz="8" w:color="0000FF"/>
            </w:tcBorders>
            <w:gridSpan w:val="4"/>
          </w:tcPr>
          <w:p>
            <w:pPr>
              <w:spacing w:after="0"/>
              <w:rPr>
                <w:sz w:val="18"/>
                <w:szCs w:val="18"/>
                <w:color w:val="auto"/>
              </w:rPr>
            </w:pPr>
          </w:p>
        </w:tc>
        <w:tc>
          <w:tcPr>
            <w:tcW w:w="202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440" w:type="dxa"/>
            <w:vAlign w:val="bottom"/>
            <w:gridSpan w:val="37"/>
          </w:tcPr>
          <w:p>
            <w:pPr>
              <w:spacing w:after="0"/>
              <w:rPr>
                <w:sz w:val="20"/>
                <w:szCs w:val="20"/>
                <w:color w:val="auto"/>
              </w:rPr>
            </w:pPr>
            <w:r>
              <w:rPr>
                <w:rFonts w:ascii="Arial" w:cs="Arial" w:eastAsia="Arial" w:hAnsi="Arial"/>
                <w:sz w:val="18"/>
                <w:szCs w:val="18"/>
                <w:color w:val="0000FF"/>
              </w:rPr>
              <w:t>Controls and Procedures</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74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6"/>
              </w:rPr>
              <w:t>Part II - Other Information</w:t>
            </w:r>
          </w:p>
        </w:tc>
        <w:tc>
          <w:tcPr>
            <w:tcW w:w="5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Legal Proceedings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75</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440" w:type="dxa"/>
            <w:vAlign w:val="bottom"/>
            <w:gridSpan w:val="10"/>
          </w:tcPr>
          <w:p>
            <w:pPr>
              <w:spacing w:after="0"/>
              <w:rPr>
                <w:sz w:val="20"/>
                <w:szCs w:val="20"/>
                <w:color w:val="auto"/>
              </w:rPr>
            </w:pPr>
            <w:r>
              <w:rPr>
                <w:rFonts w:ascii="Arial" w:cs="Arial" w:eastAsia="Arial" w:hAnsi="Arial"/>
                <w:sz w:val="18"/>
                <w:szCs w:val="18"/>
                <w:color w:val="0000FF"/>
              </w:rPr>
              <w:t>Risk Factors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75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40" w:type="dxa"/>
            <w:vAlign w:val="bottom"/>
            <w:gridSpan w:val="3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75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Defaults Upon Senior Securities</w:t>
            </w:r>
          </w:p>
        </w:tc>
        <w:tc>
          <w:tcPr>
            <w:tcW w:w="4100" w:type="dxa"/>
            <w:vAlign w:val="bottom"/>
            <w:gridSpan w:val="7"/>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Mine Safety Disclosures</w:t>
            </w:r>
          </w:p>
        </w:tc>
        <w:tc>
          <w:tcPr>
            <w:tcW w:w="6120" w:type="dxa"/>
            <w:vAlign w:val="bottom"/>
            <w:gridSpan w:val="18"/>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76</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2"/>
              </w:rPr>
              <w:t>Other Information</w:t>
            </w:r>
          </w:p>
        </w:tc>
        <w:tc>
          <w:tcPr>
            <w:tcW w:w="120" w:type="dxa"/>
            <w:vAlign w:val="bottom"/>
            <w:tcBorders>
              <w:top w:val="single" w:sz="8" w:color="0000FF"/>
            </w:tcBorders>
            <w:gridSpan w:val="2"/>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Exhibits</w:t>
            </w:r>
          </w:p>
        </w:tc>
        <w:tc>
          <w:tcPr>
            <w:tcW w:w="84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0000FF"/>
                <w:w w:val="89"/>
              </w:rPr>
              <w:t>79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22"/>
          </w:tcPr>
          <w:p>
            <w:pPr>
              <w:ind w:left="28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26"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7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uncertainties and other factors include, but are not limited to: economic and weather conditions and any impact on sales, prices and costs;</w:t>
      </w:r>
    </w:p>
    <w:p>
      <w:pPr>
        <w:spacing w:after="0" w:line="9"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changes in business strategy or operations; the impact of federal, state and local political, legislative, judicial and regulatory actions or developments, including deregulation, re-regulation, securitization and restructuring of the electric utility industry; decisions of regulators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regarding, among other things, customer rates and the prudency of operational decisions such as capital expenditures and asset retirements;</w:t>
      </w:r>
    </w:p>
    <w:p>
      <w:pPr>
        <w:spacing w:after="0" w:line="9" w:lineRule="exact"/>
        <w:rPr>
          <w:sz w:val="20"/>
          <w:szCs w:val="20"/>
          <w:color w:val="auto"/>
        </w:rPr>
      </w:pPr>
    </w:p>
    <w:p>
      <w:pPr>
        <w:ind w:right="760"/>
        <w:spacing w:after="0" w:line="272" w:lineRule="auto"/>
        <w:rPr>
          <w:sz w:val="20"/>
          <w:szCs w:val="20"/>
          <w:color w:val="auto"/>
        </w:rPr>
      </w:pPr>
      <w:r>
        <w:rPr>
          <w:rFonts w:ascii="Arial" w:cs="Arial" w:eastAsia="Arial" w:hAnsi="Arial"/>
          <w:sz w:val="16"/>
          <w:szCs w:val="16"/>
          <w:color w:val="auto"/>
        </w:rPr>
        <w:t>changes in applicable laws, regulations, rules, principles or practices, or the interpretations thereof, governing tax, accounting and environmental matters, including air and water quality and waste management and disposal; the impact of climate change, including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increased frequency and severity of significant weather events and the extent to which counterparties are willing to do business with, finance</w:t>
      </w:r>
    </w:p>
    <w:p>
      <w:pPr>
        <w:spacing w:after="0" w:line="9"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the operations of or purchase energy from the Evergy Companies due to the fact that the Evergy Companies operate coal-fired generation; prices and availability of electricity and natural gas in wholesale markets; market perception of the energy industry and the Evergy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Companies; the impact of future Coronavirus (COVID-19) variants on, among other things, sales, results of operations, financial condition,</w:t>
      </w:r>
    </w:p>
    <w:p>
      <w:pPr>
        <w:spacing w:after="0" w:line="9"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liquidity and cash flows, and also on operational issues, such as supply chain issues and the availability and ability of the Evergy Companies' employees and suppliers to perform the functions that are necessary to operate the Evergy Companies; changes in the energy trading markets</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which the Evergy Companies participate, including retroactive repricing of transactions by regional transmission organizations (RTO) and independent system operators; financial market conditions and performance, current disruptions in the banking industry, including changes in</w:t>
      </w:r>
    </w:p>
    <w:p>
      <w:pPr>
        <w:spacing w:after="0" w:line="1" w:lineRule="exact"/>
        <w:rPr>
          <w:sz w:val="20"/>
          <w:szCs w:val="20"/>
          <w:color w:val="auto"/>
        </w:rPr>
      </w:pPr>
    </w:p>
    <w:p>
      <w:pPr>
        <w:ind w:right="360"/>
        <w:spacing w:after="0" w:line="272" w:lineRule="auto"/>
        <w:rPr>
          <w:sz w:val="20"/>
          <w:szCs w:val="20"/>
          <w:color w:val="auto"/>
        </w:rPr>
      </w:pPr>
      <w:r>
        <w:rPr>
          <w:rFonts w:ascii="Arial" w:cs="Arial" w:eastAsia="Arial" w:hAnsi="Arial"/>
          <w:sz w:val="16"/>
          <w:szCs w:val="16"/>
          <w:color w:val="auto"/>
        </w:rPr>
        <w:t>interest rates and credit spreads and in availability and cost of capital and the effects on derivatives and hedges, nuclear decommissioning trust and pension plan assets and costs; impairments of long-lived assets or goodwill; credit ratings; inflation rates; effectiveness of risk</w:t>
      </w:r>
    </w:p>
    <w:p>
      <w:pPr>
        <w:spacing w:after="0" w:line="238" w:lineRule="auto"/>
        <w:rPr>
          <w:sz w:val="20"/>
          <w:szCs w:val="20"/>
          <w:color w:val="auto"/>
        </w:rPr>
      </w:pPr>
      <w:r>
        <w:rPr>
          <w:rFonts w:ascii="Arial" w:cs="Arial" w:eastAsia="Arial" w:hAnsi="Arial"/>
          <w:sz w:val="19"/>
          <w:szCs w:val="19"/>
          <w:color w:val="auto"/>
        </w:rPr>
        <w:t>management policies and procedures and the ability of counterparties to satisfy their contractual commitments; impact of physical and</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Russian, Ukrainian conflict on the global energy market; ability to carry out marketing and sales plans; cost, availability, quality and</w:t>
      </w:r>
    </w:p>
    <w:p>
      <w:pPr>
        <w:spacing w:after="0" w:line="9"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timely provision of equipment, supplies, labor and fuel; ability to achieve generation goals and the occurrence and duration of planned and unplanned generation outages; delays and cost increases of generation, transmission, distribution or other projects; the Evergy Companies'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ability to manage their transmission and distribution development plans and transmission joint ventures; the inherent risks associated with the</w:t>
      </w:r>
    </w:p>
    <w:p>
      <w:pPr>
        <w:spacing w:after="0" w:line="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ownership and operation of a nuclear facility, including environmental, health, safety, regulatory and financial risks; workforce risks, including those related to the Evergy Companies' ability to attract and retain qualified personnel, maintain satisfactory relationships with their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labor unions and manage costs of, or changes in, wages, retirement, health care and other benefits; disruption, costs and uncertainties caused</w:t>
      </w:r>
    </w:p>
    <w:p>
      <w:pPr>
        <w:spacing w:after="0" w:line="32"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by or related to the actions of individuals or entities, such as activist shareholders or special interest groups, that seek to influence Evergy's strategic plan, financial results or operations; the impact of changing expectations and demands of the Evergy Companies' customers,</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regulators, investors and stakeholders, including heightened emphasis on environmental, social and governance concerns; the possibility that strategic initiatives, including mergers, acquisitions and divestitures, and long-term financial plans, may not create the value that they are</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expected to achieve in a timely manner or at all; difficulties in maintaining relationships with customers, employees, regulators or suppliers; and other risks and uncertainties.</w:t>
      </w:r>
    </w:p>
    <w:p>
      <w:pPr>
        <w:spacing w:after="0" w:line="224" w:lineRule="exact"/>
        <w:rPr>
          <w:sz w:val="20"/>
          <w:szCs w:val="20"/>
          <w:color w:val="auto"/>
        </w:rPr>
      </w:pPr>
    </w:p>
    <w:p>
      <w:pPr>
        <w:ind w:right="520"/>
        <w:spacing w:after="0" w:line="274" w:lineRule="auto"/>
        <w:rPr>
          <w:sz w:val="20"/>
          <w:szCs w:val="20"/>
          <w:color w:val="auto"/>
        </w:rPr>
      </w:pPr>
      <w:r>
        <w:rPr>
          <w:rFonts w:ascii="Arial" w:cs="Arial" w:eastAsia="Arial" w:hAnsi="Arial"/>
          <w:sz w:val="20"/>
          <w:szCs w:val="20"/>
          <w:color w:val="auto"/>
        </w:rPr>
        <w:t>This list of factors is not all-inclusive because it is not possible to predict all factors. You should also carefully consider the information contained in the Evergy Companies' other filings with the Securities and Exchange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Commission (SEC). Additional risks and uncertainties are discussed from time to time in current, quarterly and annual reports filed by the Evergy Companies with the SEC. Each forward-looking statement speaks only as of the date of the particular statement. The Evergy Companies undertake no obligation to publicly update or revise any forward-looking statement,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5" w:name="page6"/>
    <w:bookmarkEnd w:id="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Abbreviation or Acronym</w:t>
            </w:r>
          </w:p>
        </w:tc>
        <w:tc>
          <w:tcPr>
            <w:tcW w:w="7940" w:type="dxa"/>
            <w:vAlign w:val="bottom"/>
            <w:gridSpan w:val="3"/>
          </w:tcPr>
          <w:p>
            <w:pPr>
              <w:ind w:left="3620"/>
              <w:spacing w:after="0"/>
              <w:rPr>
                <w:sz w:val="20"/>
                <w:szCs w:val="20"/>
                <w:color w:val="auto"/>
              </w:rPr>
            </w:pPr>
            <w:r>
              <w:rPr>
                <w:rFonts w:ascii="Arial" w:cs="Arial" w:eastAsia="Arial" w:hAnsi="Arial"/>
                <w:sz w:val="20"/>
                <w:szCs w:val="20"/>
                <w:b w:val="1"/>
                <w:bCs w:val="1"/>
                <w:color w:val="auto"/>
              </w:rPr>
              <w:t>Definition</w:t>
            </w:r>
          </w:p>
        </w:tc>
      </w:tr>
      <w:tr>
        <w:trPr>
          <w:trHeight w:val="524"/>
        </w:trPr>
        <w:tc>
          <w:tcPr>
            <w:tcW w:w="20" w:type="dxa"/>
            <w:vAlign w:val="bottom"/>
          </w:tcPr>
          <w:p>
            <w:pPr>
              <w:spacing w:after="0"/>
              <w:rPr>
                <w:sz w:val="24"/>
                <w:szCs w:val="24"/>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ACE</w:t>
            </w:r>
          </w:p>
        </w:tc>
        <w:tc>
          <w:tcPr>
            <w:tcW w:w="110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Arial" w:cs="Arial" w:eastAsia="Arial" w:hAnsi="Arial"/>
                <w:sz w:val="20"/>
                <w:szCs w:val="20"/>
                <w:color w:val="auto"/>
              </w:rPr>
              <w:t>Affordable Clean Energy</w:t>
            </w:r>
          </w:p>
        </w:tc>
        <w:tc>
          <w:tcPr>
            <w:tcW w:w="86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American Electric Power Company, Inc.</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Allowance for funds used during construction</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AOCI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Accumulated other comprehensive income</w:t>
            </w: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Asset retirement obligations</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Air Act</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CCN</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Certificate of Convenience and Necessity</w:t>
            </w: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Coal combustion residuals</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4" w:lineRule="exact"/>
              <w:rPr>
                <w:sz w:val="20"/>
                <w:szCs w:val="20"/>
                <w:color w:val="auto"/>
              </w:rPr>
            </w:pPr>
            <w:r>
              <w:rPr>
                <w:rFonts w:ascii="Arial" w:cs="Arial" w:eastAsia="Arial" w:hAnsi="Arial"/>
                <w:sz w:val="20"/>
                <w:szCs w:val="20"/>
                <w:b w:val="1"/>
                <w:bCs w:val="1"/>
                <w:color w:val="auto"/>
              </w:rPr>
              <w:t>CO</w:t>
            </w:r>
            <w:r>
              <w:rPr>
                <w:rFonts w:ascii="Arial" w:cs="Arial" w:eastAsia="Arial" w:hAnsi="Arial"/>
                <w:sz w:val="25"/>
                <w:szCs w:val="25"/>
                <w:b w:val="1"/>
                <w:bCs w:val="1"/>
                <w:color w:val="auto"/>
                <w:vertAlign w:val="subscript"/>
              </w:rPr>
              <w:t>2</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Carbon dioxide</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Corporate-owned life insurance</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CSAPR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Cross-State Air Pollution</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Effluent limitations guidelines</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Environmental Protection Agency</w:t>
            </w: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per common share</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Employee Retirement Income Security Act of 1974, as amended</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Review and Sharing Plan</w:t>
            </w: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Inc. and its consolidated subsidiaries</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Board of Directors</w:t>
            </w:r>
          </w:p>
        </w:tc>
      </w:tr>
      <w:tr>
        <w:trPr>
          <w:trHeight w:val="209"/>
        </w:trPr>
        <w:tc>
          <w:tcPr>
            <w:tcW w:w="20" w:type="dxa"/>
            <w:vAlign w:val="bottom"/>
          </w:tcPr>
          <w:p>
            <w:pPr>
              <w:spacing w:after="0"/>
              <w:rPr>
                <w:sz w:val="18"/>
                <w:szCs w:val="18"/>
                <w:color w:val="auto"/>
              </w:rPr>
            </w:pPr>
          </w:p>
        </w:tc>
        <w:tc>
          <w:tcPr>
            <w:tcW w:w="3280" w:type="dxa"/>
            <w:vAlign w:val="bottom"/>
            <w:gridSpan w:val="2"/>
          </w:tcPr>
          <w:p>
            <w:pPr>
              <w:spacing w:after="0" w:line="208" w:lineRule="exact"/>
              <w:rPr>
                <w:sz w:val="20"/>
                <w:szCs w:val="20"/>
                <w:color w:val="auto"/>
              </w:rPr>
            </w:pPr>
            <w:r>
              <w:rPr>
                <w:rFonts w:ascii="Arial" w:cs="Arial" w:eastAsia="Arial" w:hAnsi="Arial"/>
                <w:sz w:val="20"/>
                <w:szCs w:val="20"/>
                <w:b w:val="1"/>
                <w:bCs w:val="1"/>
                <w:color w:val="auto"/>
              </w:rPr>
              <w:t>Evergy Companies</w:t>
            </w:r>
          </w:p>
        </w:tc>
        <w:tc>
          <w:tcPr>
            <w:tcW w:w="7940" w:type="dxa"/>
            <w:vAlign w:val="bottom"/>
            <w:gridSpan w:val="3"/>
          </w:tcPr>
          <w:p>
            <w:pPr>
              <w:ind w:left="200"/>
              <w:spacing w:after="0" w:line="208" w:lineRule="exact"/>
              <w:rPr>
                <w:sz w:val="20"/>
                <w:szCs w:val="20"/>
                <w:color w:val="auto"/>
              </w:rPr>
            </w:pPr>
            <w:r>
              <w:rPr>
                <w:rFonts w:ascii="Arial" w:cs="Arial" w:eastAsia="Arial" w:hAnsi="Arial"/>
                <w:sz w:val="20"/>
                <w:szCs w:val="20"/>
                <w:color w:val="auto"/>
                <w:w w:val="91"/>
              </w:rPr>
              <w:t>Evergy, Evergy Kansas Central, and Evergy Metro, collectively, which are individual registrants</w:t>
            </w:r>
          </w:p>
        </w:tc>
      </w:tr>
      <w:tr>
        <w:trPr>
          <w:trHeight w:val="250"/>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within the Evergy consolidated group</w:t>
            </w:r>
          </w:p>
        </w:tc>
      </w:tr>
      <w:tr>
        <w:trPr>
          <w:trHeight w:val="199"/>
        </w:trPr>
        <w:tc>
          <w:tcPr>
            <w:tcW w:w="20" w:type="dxa"/>
            <w:vAlign w:val="bottom"/>
          </w:tcPr>
          <w:p>
            <w:pPr>
              <w:spacing w:after="0"/>
              <w:rPr>
                <w:sz w:val="17"/>
                <w:szCs w:val="17"/>
                <w:color w:val="auto"/>
              </w:rPr>
            </w:pPr>
          </w:p>
        </w:tc>
        <w:tc>
          <w:tcPr>
            <w:tcW w:w="3280" w:type="dxa"/>
            <w:vAlign w:val="bottom"/>
            <w:gridSpan w:val="2"/>
          </w:tcPr>
          <w:p>
            <w:pPr>
              <w:spacing w:after="0" w:line="199" w:lineRule="exact"/>
              <w:rPr>
                <w:sz w:val="20"/>
                <w:szCs w:val="20"/>
                <w:color w:val="auto"/>
              </w:rPr>
            </w:pPr>
            <w:r>
              <w:rPr>
                <w:rFonts w:ascii="Arial" w:cs="Arial" w:eastAsia="Arial" w:hAnsi="Arial"/>
                <w:sz w:val="20"/>
                <w:szCs w:val="20"/>
                <w:b w:val="1"/>
                <w:bCs w:val="1"/>
                <w:color w:val="auto"/>
              </w:rPr>
              <w:t>Evergy Kansas Central</w:t>
            </w:r>
          </w:p>
        </w:tc>
        <w:tc>
          <w:tcPr>
            <w:tcW w:w="7940" w:type="dxa"/>
            <w:vAlign w:val="bottom"/>
            <w:gridSpan w:val="3"/>
          </w:tcPr>
          <w:p>
            <w:pPr>
              <w:ind w:left="200"/>
              <w:spacing w:after="0" w:line="199" w:lineRule="exact"/>
              <w:rPr>
                <w:sz w:val="20"/>
                <w:szCs w:val="20"/>
                <w:color w:val="auto"/>
              </w:rPr>
            </w:pPr>
            <w:r>
              <w:rPr>
                <w:rFonts w:ascii="Arial" w:cs="Arial" w:eastAsia="Arial" w:hAnsi="Arial"/>
                <w:sz w:val="20"/>
                <w:szCs w:val="20"/>
                <w:color w:val="auto"/>
              </w:rPr>
              <w:t>Evergy Kansas Central, Inc., a wholly-owned subsidiary of Evergy, and its consolidated</w:t>
            </w:r>
          </w:p>
        </w:tc>
      </w:tr>
      <w:tr>
        <w:trPr>
          <w:trHeight w:val="247"/>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subsidiaries</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Kansas South</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Kansas South, Inc., a wholly-owned subsidiary of Evergy Kansas Central</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w w:val="96"/>
              </w:rPr>
              <w:t>Evergy Metro, Inc., a wholly-owned subsidiary of Evergy, and its consolidated subsidiaries</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Missouri West, Inc., a wholly-owned subsidiary of Evergy</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Transmission Company, LLC</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The Securities Exchange Act of 1934, as amended</w:t>
            </w:r>
          </w:p>
        </w:tc>
      </w:tr>
      <w:tr>
        <w:trPr>
          <w:trHeight w:val="209"/>
        </w:trPr>
        <w:tc>
          <w:tcPr>
            <w:tcW w:w="20" w:type="dxa"/>
            <w:vAlign w:val="bottom"/>
          </w:tcPr>
          <w:p>
            <w:pPr>
              <w:spacing w:after="0"/>
              <w:rPr>
                <w:sz w:val="18"/>
                <w:szCs w:val="18"/>
                <w:color w:val="auto"/>
              </w:rPr>
            </w:pPr>
          </w:p>
        </w:tc>
        <w:tc>
          <w:tcPr>
            <w:tcW w:w="3280" w:type="dxa"/>
            <w:vAlign w:val="bottom"/>
            <w:gridSpan w:val="2"/>
          </w:tcPr>
          <w:p>
            <w:pPr>
              <w:spacing w:after="0" w:line="208" w:lineRule="exact"/>
              <w:rPr>
                <w:sz w:val="20"/>
                <w:szCs w:val="20"/>
                <w:color w:val="auto"/>
              </w:rPr>
            </w:pPr>
            <w:r>
              <w:rPr>
                <w:rFonts w:ascii="Arial" w:cs="Arial" w:eastAsia="Arial" w:hAnsi="Arial"/>
                <w:sz w:val="20"/>
                <w:szCs w:val="20"/>
                <w:b w:val="1"/>
                <w:bCs w:val="1"/>
                <w:color w:val="auto"/>
                <w:w w:val="96"/>
              </w:rPr>
              <w:t>February 2021 winter weather event</w:t>
            </w:r>
          </w:p>
        </w:tc>
        <w:tc>
          <w:tcPr>
            <w:tcW w:w="7940" w:type="dxa"/>
            <w:vAlign w:val="bottom"/>
            <w:gridSpan w:val="3"/>
          </w:tcPr>
          <w:p>
            <w:pPr>
              <w:ind w:left="200"/>
              <w:spacing w:after="0" w:line="208" w:lineRule="exact"/>
              <w:rPr>
                <w:sz w:val="20"/>
                <w:szCs w:val="20"/>
                <w:color w:val="auto"/>
              </w:rPr>
            </w:pPr>
            <w:r>
              <w:rPr>
                <w:rFonts w:ascii="Arial" w:cs="Arial" w:eastAsia="Arial" w:hAnsi="Arial"/>
                <w:sz w:val="20"/>
                <w:szCs w:val="20"/>
                <w:color w:val="auto"/>
                <w:w w:val="92"/>
              </w:rPr>
              <w:t>Significant winter weather event in February 2021 that resulted in extremely cold temperatures</w:t>
            </w:r>
          </w:p>
        </w:tc>
      </w:tr>
      <w:tr>
        <w:trPr>
          <w:trHeight w:val="250"/>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940" w:type="dxa"/>
            <w:vAlign w:val="bottom"/>
            <w:gridSpan w:val="3"/>
          </w:tcPr>
          <w:p>
            <w:pPr>
              <w:ind w:left="280"/>
              <w:spacing w:after="0"/>
              <w:rPr>
                <w:sz w:val="20"/>
                <w:szCs w:val="20"/>
                <w:color w:val="auto"/>
              </w:rPr>
            </w:pPr>
            <w:r>
              <w:rPr>
                <w:rFonts w:ascii="Arial" w:cs="Arial" w:eastAsia="Arial" w:hAnsi="Arial"/>
                <w:sz w:val="20"/>
                <w:szCs w:val="20"/>
                <w:color w:val="auto"/>
              </w:rPr>
              <w:t>over a multi-day period across much of the central and southern United States</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FERC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Federal Energy Regulatory Commission</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FMBs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First Mortgage Bonds</w:t>
            </w: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Generally Accepted Accounting Principles</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Greenhouse gas</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Great Plains Energy Incorporated</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Jeffrey Energy Center</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State Corporation Commission of the State of Kansas</w:t>
            </w: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Kansas Department of Health &amp; Environment</w:t>
            </w: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kV</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Kilovolt</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MDNR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Missouri Department of Natural Resources</w:t>
            </w: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MPSC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Public Service Commission of the State of Missouri</w:t>
            </w:r>
          </w:p>
        </w:tc>
      </w:tr>
      <w:tr>
        <w:trPr>
          <w:trHeight w:val="860"/>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20" w:type="dxa"/>
            <w:vAlign w:val="bottom"/>
          </w:tcPr>
          <w:p>
            <w:pPr>
              <w:ind w:left="228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8"/>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Abbreviation or Acronym</w:t>
            </w:r>
          </w:p>
        </w:tc>
        <w:tc>
          <w:tcPr>
            <w:tcW w:w="8380" w:type="dxa"/>
            <w:vAlign w:val="bottom"/>
            <w:gridSpan w:val="3"/>
          </w:tcPr>
          <w:p>
            <w:pPr>
              <w:ind w:left="4060"/>
              <w:spacing w:after="0"/>
              <w:rPr>
                <w:sz w:val="20"/>
                <w:szCs w:val="20"/>
                <w:color w:val="auto"/>
              </w:rPr>
            </w:pPr>
            <w:r>
              <w:rPr>
                <w:rFonts w:ascii="Arial" w:cs="Arial" w:eastAsia="Arial" w:hAnsi="Arial"/>
                <w:sz w:val="20"/>
                <w:szCs w:val="20"/>
                <w:b w:val="1"/>
                <w:bCs w:val="1"/>
                <w:color w:val="auto"/>
              </w:rPr>
              <w:t>Definition</w:t>
            </w:r>
          </w:p>
        </w:tc>
      </w:tr>
      <w:tr>
        <w:trPr>
          <w:trHeight w:val="268"/>
        </w:trPr>
        <w:tc>
          <w:tcPr>
            <w:tcW w:w="20" w:type="dxa"/>
            <w:vAlign w:val="bottom"/>
          </w:tcPr>
          <w:p>
            <w:pPr>
              <w:spacing w:after="0"/>
              <w:rPr>
                <w:sz w:val="23"/>
                <w:szCs w:val="23"/>
                <w:color w:val="auto"/>
              </w:rPr>
            </w:pPr>
          </w:p>
        </w:tc>
        <w:tc>
          <w:tcPr>
            <w:tcW w:w="218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MW</w:t>
            </w:r>
          </w:p>
        </w:tc>
        <w:tc>
          <w:tcPr>
            <w:tcW w:w="660" w:type="dxa"/>
            <w:vAlign w:val="bottom"/>
          </w:tcPr>
          <w:p>
            <w:pPr>
              <w:spacing w:after="0"/>
              <w:rPr>
                <w:sz w:val="23"/>
                <w:szCs w:val="23"/>
                <w:color w:val="auto"/>
              </w:rPr>
            </w:pPr>
          </w:p>
        </w:tc>
        <w:tc>
          <w:tcPr>
            <w:tcW w:w="4060" w:type="dxa"/>
            <w:vAlign w:val="bottom"/>
          </w:tcPr>
          <w:p>
            <w:pPr>
              <w:ind w:left="640"/>
              <w:spacing w:after="0"/>
              <w:rPr>
                <w:sz w:val="20"/>
                <w:szCs w:val="20"/>
                <w:color w:val="auto"/>
              </w:rPr>
            </w:pPr>
            <w:r>
              <w:rPr>
                <w:rFonts w:ascii="Arial" w:cs="Arial" w:eastAsia="Arial" w:hAnsi="Arial"/>
                <w:sz w:val="20"/>
                <w:szCs w:val="20"/>
                <w:color w:val="auto"/>
              </w:rPr>
              <w:t>Megawatt</w:t>
            </w:r>
          </w:p>
        </w:tc>
        <w:tc>
          <w:tcPr>
            <w:tcW w:w="860" w:type="dxa"/>
            <w:vAlign w:val="bottom"/>
            <w:tcBorders>
              <w:top w:val="single" w:sz="8" w:color="auto"/>
            </w:tcBorders>
          </w:tcPr>
          <w:p>
            <w:pPr>
              <w:spacing w:after="0"/>
              <w:rPr>
                <w:sz w:val="23"/>
                <w:szCs w:val="23"/>
                <w:color w:val="auto"/>
              </w:rPr>
            </w:pPr>
          </w:p>
        </w:tc>
        <w:tc>
          <w:tcPr>
            <w:tcW w:w="346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 hour</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National Ambient Air Quality Standards</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Net asset value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OCI</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Other comprehensive income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Office of the Public Counsel</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Persimmon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Persimmon Creek Wind Farm 1, LLC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Restricted share unit</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Regional transmission organization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Securities and Exchange Commission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SIP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State implementation plan</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Southwest Power Pool, Inc.</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TCR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congestion right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TDC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delivery charge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Term Loan Facility</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Term Loan Credit Agreement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formula rate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w w:val="92"/>
              </w:rPr>
              <w:t>Transource Energy, LLC and its subsidiaries, 13.5% owned by Evergy Transmission Company</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Wolf Creek Generating Station</w:t>
            </w:r>
          </w:p>
        </w:tc>
      </w:tr>
      <w:tr>
        <w:trPr>
          <w:trHeight w:val="86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w w:val="97"/>
              </w:rPr>
              <w:t>June 30</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18"/>
                <w:szCs w:val="18"/>
                <w:color w:val="auto"/>
              </w:rPr>
            </w:pPr>
          </w:p>
        </w:tc>
        <w:tc>
          <w:tcPr>
            <w:tcW w:w="2500" w:type="dxa"/>
            <w:vAlign w:val="bottom"/>
            <w:gridSpan w:val="3"/>
          </w:tcPr>
          <w:p>
            <w:pPr>
              <w:jc w:val="right"/>
              <w:ind w:right="399"/>
              <w:spacing w:after="0"/>
              <w:rPr>
                <w:sz w:val="20"/>
                <w:szCs w:val="20"/>
                <w:color w:val="auto"/>
              </w:rPr>
            </w:pPr>
            <w:r>
              <w:rPr>
                <w:rFonts w:ascii="Arial" w:cs="Arial" w:eastAsia="Arial" w:hAnsi="Arial"/>
                <w:sz w:val="14"/>
                <w:szCs w:val="14"/>
                <w:color w:val="auto"/>
                <w:w w:val="99"/>
              </w:rPr>
              <w:t>(millions, except share amounts)</w:t>
            </w:r>
          </w:p>
        </w:tc>
      </w:tr>
      <w:tr>
        <w:trPr>
          <w:trHeight w:val="219"/>
        </w:trPr>
        <w:tc>
          <w:tcPr>
            <w:tcW w:w="8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31.4</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25.2</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$22.6 and $31.4, respectively</w:t>
            </w:r>
          </w:p>
        </w:tc>
        <w:tc>
          <w:tcPr>
            <w:tcW w:w="3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321.1</w:t>
            </w:r>
          </w:p>
        </w:tc>
        <w:tc>
          <w:tcPr>
            <w:tcW w:w="46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315.3</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347.0</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359.0</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Fuel inventory and supplies</w:t>
            </w:r>
          </w:p>
        </w:tc>
        <w:tc>
          <w:tcPr>
            <w:tcW w:w="3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729.4</w:t>
            </w:r>
          </w:p>
        </w:tc>
        <w:tc>
          <w:tcPr>
            <w:tcW w:w="46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672.9</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306.7</w:t>
            </w:r>
          </w:p>
        </w:tc>
        <w:tc>
          <w:tcPr>
            <w:tcW w:w="46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368.0</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58.3</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47.8</w:t>
            </w:r>
          </w:p>
        </w:tc>
      </w:tr>
      <w:tr>
        <w:trPr>
          <w:trHeight w:val="21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41.4</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44.5</w:t>
            </w:r>
          </w:p>
        </w:tc>
      </w:tr>
      <w:tr>
        <w:trPr>
          <w:trHeight w:val="212"/>
        </w:trPr>
        <w:tc>
          <w:tcPr>
            <w:tcW w:w="8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1,835.3</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1,842.0</w:t>
            </w: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22,838.8</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22,136.5</w:t>
            </w: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137.1</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140.7</w:t>
            </w:r>
          </w:p>
        </w:tc>
      </w:tr>
      <w:tr>
        <w:trPr>
          <w:trHeight w:val="206"/>
        </w:trPr>
        <w:tc>
          <w:tcPr>
            <w:tcW w:w="83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1,877.3</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1,846.3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717.2</w:t>
            </w:r>
          </w:p>
        </w:tc>
        <w:tc>
          <w:tcPr>
            <w:tcW w:w="46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653.3</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2,336.6</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2,336.6</w:t>
            </w:r>
          </w:p>
        </w:tc>
      </w:tr>
      <w:tr>
        <w:trPr>
          <w:trHeight w:val="21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534.8</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534.5</w:t>
            </w:r>
          </w:p>
        </w:tc>
      </w:tr>
      <w:tr>
        <w:trPr>
          <w:trHeight w:val="212"/>
        </w:trPr>
        <w:tc>
          <w:tcPr>
            <w:tcW w:w="8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5,465.9</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5,370.7</w:t>
            </w:r>
          </w:p>
        </w:tc>
      </w:tr>
      <w:tr>
        <w:trPr>
          <w:trHeight w:val="21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30,277.1</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29,489.9</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w w:val="97"/>
              </w:rPr>
              <w:t>June 30</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c>
          <w:tcPr>
            <w:tcW w:w="0" w:type="dxa"/>
            <w:vAlign w:val="bottom"/>
          </w:tcPr>
          <w:p>
            <w:pPr>
              <w:spacing w:after="0"/>
              <w:rPr>
                <w:sz w:val="1"/>
                <w:szCs w:val="1"/>
                <w:color w:val="auto"/>
              </w:rPr>
            </w:pPr>
          </w:p>
        </w:tc>
      </w:tr>
      <w:tr>
        <w:trPr>
          <w:trHeight w:val="219"/>
        </w:trPr>
        <w:tc>
          <w:tcPr>
            <w:tcW w:w="84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89.4</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439.1</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2,371.1</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1,332.3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347.0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369.8</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600.8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233.5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100.7</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185.6</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40.5</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55.0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6"/>
        </w:trPr>
        <w:tc>
          <w:tcPr>
            <w:tcW w:w="8440" w:type="dxa"/>
            <w:vAlign w:val="bottom"/>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159.0</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3,951.6</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3,493.8</w:t>
            </w:r>
          </w:p>
        </w:tc>
        <w:tc>
          <w:tcPr>
            <w:tcW w:w="0" w:type="dxa"/>
            <w:vAlign w:val="bottom"/>
          </w:tcPr>
          <w:p>
            <w:pPr>
              <w:spacing w:after="0"/>
              <w:rPr>
                <w:sz w:val="1"/>
                <w:szCs w:val="1"/>
                <w:color w:val="auto"/>
              </w:rPr>
            </w:pPr>
          </w:p>
        </w:tc>
      </w:tr>
      <w:tr>
        <w:trPr>
          <w:trHeight w:val="207"/>
        </w:trPr>
        <w:tc>
          <w:tcPr>
            <w:tcW w:w="844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10,097.1</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9,905.7</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2,053.9</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1,996.6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170.9</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2,503.6</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2,566.8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512.4</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458.4</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1,143.9</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1,112.8</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293.0</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287.9</w:t>
            </w:r>
          </w:p>
        </w:tc>
        <w:tc>
          <w:tcPr>
            <w:tcW w:w="0" w:type="dxa"/>
            <w:vAlign w:val="bottom"/>
          </w:tcPr>
          <w:p>
            <w:pPr>
              <w:spacing w:after="0"/>
              <w:rPr>
                <w:sz w:val="1"/>
                <w:szCs w:val="1"/>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6"/>
                <w:szCs w:val="16"/>
                <w:color w:val="auto"/>
              </w:rPr>
              <w:t>Total Long-Term Liabilities</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16,774.8</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16,502.8</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Evergy, Inc. Shareholders' Equity:</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440" w:type="dxa"/>
            <w:vAlign w:val="bottom"/>
          </w:tcPr>
          <w:p>
            <w:pPr>
              <w:ind w:left="360"/>
              <w:spacing w:after="0" w:line="166" w:lineRule="exact"/>
              <w:rPr>
                <w:sz w:val="20"/>
                <w:szCs w:val="20"/>
                <w:color w:val="auto"/>
              </w:rPr>
            </w:pPr>
            <w:r>
              <w:rPr>
                <w:rFonts w:ascii="Arial" w:cs="Arial" w:eastAsia="Arial" w:hAnsi="Arial"/>
                <w:sz w:val="16"/>
                <w:szCs w:val="16"/>
                <w:color w:val="auto"/>
              </w:rPr>
              <w:t>Common stock - 600,000,000 shares authorized, without par value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7,229.0</w:t>
            </w:r>
          </w:p>
        </w:tc>
        <w:tc>
          <w:tcPr>
            <w:tcW w:w="440" w:type="dxa"/>
            <w:vAlign w:val="bottom"/>
          </w:tcPr>
          <w:p>
            <w:pPr>
              <w:spacing w:after="0"/>
              <w:rPr>
                <w:sz w:val="14"/>
                <w:szCs w:val="14"/>
                <w:color w:val="auto"/>
              </w:rPr>
            </w:pPr>
          </w:p>
        </w:tc>
        <w:tc>
          <w:tcPr>
            <w:tcW w:w="960" w:type="dxa"/>
            <w:vAlign w:val="bottom"/>
            <w:vMerge w:val="restart"/>
          </w:tcPr>
          <w:p>
            <w:pPr>
              <w:jc w:val="right"/>
              <w:ind w:right="159"/>
              <w:spacing w:after="0"/>
              <w:rPr>
                <w:sz w:val="20"/>
                <w:szCs w:val="20"/>
                <w:color w:val="auto"/>
              </w:rPr>
            </w:pPr>
            <w:r>
              <w:rPr>
                <w:rFonts w:ascii="Arial" w:cs="Arial" w:eastAsia="Arial" w:hAnsi="Arial"/>
                <w:sz w:val="16"/>
                <w:szCs w:val="16"/>
                <w:color w:val="auto"/>
              </w:rPr>
              <w:t>7,219.7</w:t>
            </w:r>
          </w:p>
        </w:tc>
        <w:tc>
          <w:tcPr>
            <w:tcW w:w="0" w:type="dxa"/>
            <w:vAlign w:val="bottom"/>
          </w:tcPr>
          <w:p>
            <w:pPr>
              <w:spacing w:after="0"/>
              <w:rPr>
                <w:sz w:val="1"/>
                <w:szCs w:val="1"/>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6"/>
                <w:szCs w:val="16"/>
                <w:color w:val="auto"/>
              </w:rPr>
              <w:t>229,701,709 and 229,546,105 shares issued, stated value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2,337.8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2,298.5</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(31.9)</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Evergy, Inc. Shareholders'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9,534.9</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9,483.7</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15.8</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9,550.7</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9,493.3</w:t>
            </w:r>
          </w:p>
        </w:tc>
        <w:tc>
          <w:tcPr>
            <w:tcW w:w="0" w:type="dxa"/>
            <w:vAlign w:val="bottom"/>
          </w:tcPr>
          <w:p>
            <w:pPr>
              <w:spacing w:after="0"/>
              <w:rPr>
                <w:sz w:val="1"/>
                <w:szCs w:val="1"/>
                <w:color w:val="auto"/>
              </w:rPr>
            </w:pPr>
          </w:p>
        </w:tc>
      </w:tr>
      <w:tr>
        <w:trPr>
          <w:trHeight w:val="217"/>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30,277.1</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29,489.9</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to Date</w:t>
            </w:r>
          </w:p>
        </w:tc>
        <w:tc>
          <w:tcPr>
            <w:tcW w:w="680" w:type="dxa"/>
            <w:vAlign w:val="bottom"/>
          </w:tcPr>
          <w:p>
            <w:pPr>
              <w:spacing w:after="0"/>
              <w:rPr>
                <w:sz w:val="16"/>
                <w:szCs w:val="16"/>
                <w:color w:val="auto"/>
              </w:rPr>
            </w:pPr>
          </w:p>
        </w:tc>
      </w:tr>
      <w:tr>
        <w:trPr>
          <w:trHeight w:val="210"/>
        </w:trPr>
        <w:tc>
          <w:tcPr>
            <w:tcW w:w="6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229"/>
        </w:trPr>
        <w:tc>
          <w:tcPr>
            <w:tcW w:w="6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2022</w:t>
            </w:r>
          </w:p>
        </w:tc>
      </w:tr>
      <w:tr>
        <w:trPr>
          <w:trHeight w:val="182"/>
        </w:trPr>
        <w:tc>
          <w:tcPr>
            <w:tcW w:w="6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4"/>
                <w:szCs w:val="14"/>
                <w:color w:val="auto"/>
                <w:w w:val="99"/>
              </w:rPr>
              <w:t>(millions, except per share amounts)</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1,354.2</w:t>
            </w:r>
          </w:p>
        </w:tc>
        <w:tc>
          <w:tcPr>
            <w:tcW w:w="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1,446.5</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2,651.0</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2,670.4</w:t>
            </w: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344.8</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414.3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699.0</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723.3</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75.4</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81.5</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156.6</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160.2</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227.6</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282.8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443.9</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269.4</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232.1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532.8</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461.1</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100.4</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202.8</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w:t>
            </w:r>
          </w:p>
        </w:tc>
      </w:tr>
      <w:tr>
        <w:trPr>
          <w:trHeight w:val="207"/>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1,017.6</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1,111.0</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2,035.1</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2,081.8</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336.6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335.5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615.9</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588.6</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6.7</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15.8</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2.6</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14.8</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(21.0)</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(42.3)</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07"/>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Expense, Net</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(11.7)</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(11.7)</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133.7</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99.3</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256.8</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191.2</w:t>
            </w:r>
          </w:p>
        </w:tc>
        <w:tc>
          <w:tcPr>
            <w:tcW w:w="36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218.3</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347.4</w:t>
            </w:r>
          </w:p>
        </w:tc>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353.3</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10.8</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23.2</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182.2</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197.6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327.9</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9"/>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INC.</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179.1</w:t>
            </w:r>
          </w:p>
        </w:tc>
        <w:tc>
          <w:tcPr>
            <w:tcW w:w="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194.5</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321.7</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w:t>
            </w:r>
          </w:p>
        </w:tc>
      </w:tr>
      <w:tr>
        <w:trPr>
          <w:trHeight w:val="166"/>
        </w:trPr>
        <w:tc>
          <w:tcPr>
            <w:tcW w:w="6360" w:type="dxa"/>
            <w:vAlign w:val="bottom"/>
          </w:tcPr>
          <w:p>
            <w:pPr>
              <w:ind w:left="20"/>
              <w:spacing w:after="0" w:line="166" w:lineRule="exact"/>
              <w:rPr>
                <w:sz w:val="20"/>
                <w:szCs w:val="20"/>
                <w:color w:val="auto"/>
              </w:rPr>
            </w:pPr>
            <w:r>
              <w:rPr>
                <w:rFonts w:ascii="Arial" w:cs="Arial" w:eastAsia="Arial" w:hAnsi="Arial"/>
                <w:sz w:val="16"/>
                <w:szCs w:val="16"/>
                <w:color w:val="auto"/>
              </w:rPr>
              <w:t>BASIC AND DILUTED EARNINGS PER AVERAGE COMMON SHARE OUTSTANDING</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9"/>
        </w:trPr>
        <w:tc>
          <w:tcPr>
            <w:tcW w:w="6360" w:type="dxa"/>
            <w:vAlign w:val="bottom"/>
          </w:tcPr>
          <w:p>
            <w:pPr>
              <w:ind w:left="180"/>
              <w:spacing w:after="0"/>
              <w:rPr>
                <w:sz w:val="20"/>
                <w:szCs w:val="20"/>
                <w:color w:val="auto"/>
              </w:rPr>
            </w:pPr>
            <w:r>
              <w:rPr>
                <w:rFonts w:ascii="Arial" w:cs="Arial" w:eastAsia="Arial" w:hAnsi="Arial"/>
                <w:sz w:val="16"/>
                <w:szCs w:val="16"/>
                <w:color w:val="auto"/>
              </w:rPr>
              <w:t>ATTRIBUTABLE TO EVERGY, INC. (see Note 1)</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0.78</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0.85</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4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0.78</w:t>
            </w: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0.84</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1.40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COMMON SHARES OUTSTANDING</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230.1</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229.9</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230.0</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229.8</w:t>
            </w:r>
          </w:p>
        </w:tc>
      </w:tr>
      <w:tr>
        <w:trPr>
          <w:trHeight w:val="226"/>
        </w:trPr>
        <w:tc>
          <w:tcPr>
            <w:tcW w:w="6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230.5</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230.4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230.4</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182.2</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197.6</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327.9</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Derivative hedging activity</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7"/>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19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6"/>
                <w:szCs w:val="16"/>
                <w:color w:val="auto"/>
              </w:rPr>
              <w:t>Amortization of net losses included in net periodic benefit costs, net of tax</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Change in unrecognized pension expense, net of tax</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Total other comprehensive income</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183.5</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199.0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330.5</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w:t>
            </w:r>
          </w:p>
        </w:tc>
      </w:tr>
      <w:tr>
        <w:trPr>
          <w:trHeight w:val="216"/>
        </w:trPr>
        <w:tc>
          <w:tcPr>
            <w:tcW w:w="6360" w:type="dxa"/>
            <w:vAlign w:val="bottom"/>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EVERGY, INC.</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180.4</w:t>
            </w:r>
          </w:p>
        </w:tc>
        <w:tc>
          <w:tcPr>
            <w:tcW w:w="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195.9</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324.3</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June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327.9</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532.8</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30.6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12.5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0.7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(9.0)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0.8</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12.0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(55.9)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48.3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(196.9)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79.8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(77.9)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13.5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1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(17.0)</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715.2</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588.9</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(1,104.2)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(1,116.4)</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Persimmon Creek, net of cash acquired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(217.9)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(22.0)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(15.7)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42.4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860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(1,307.4)</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(1,128.9)</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537.4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Proceeds from Term Loan Facility</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short-term borrowings,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690.5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246.9</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(350.0)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51.0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(281.3)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(262.7)</w:t>
            </w:r>
          </w:p>
        </w:tc>
      </w:tr>
      <w:tr>
        <w:trPr>
          <w:trHeight w:val="21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598.4</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25.2</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6"/>
        </w:trPr>
        <w:tc>
          <w:tcPr>
            <w:tcW w:w="8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8"/>
              </w:rPr>
              <w:t>Common stock</w:t>
            </w:r>
          </w:p>
        </w:tc>
        <w:tc>
          <w:tcPr>
            <w:tcW w:w="16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140" w:type="dxa"/>
            <w:vAlign w:val="bottom"/>
          </w:tcPr>
          <w:p>
            <w:pPr>
              <w:spacing w:after="0"/>
              <w:rPr>
                <w:sz w:val="12"/>
                <w:szCs w:val="12"/>
                <w:color w:val="auto"/>
              </w:rPr>
            </w:pPr>
          </w:p>
        </w:tc>
        <w:tc>
          <w:tcPr>
            <w:tcW w:w="8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4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229,299,900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9,241.7</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176,658</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Dividends declared on common stock ($0.5725 per share)</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Compensation expense recognized</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229,476,558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7,206.4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38,743</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Dividends declared on common stock ($0.5725 per share)</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Compensation expense recognized</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Change in unrecognized pension expense, net of tax</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229,515,301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Common stock</w:t>
            </w:r>
          </w:p>
        </w:tc>
        <w:tc>
          <w:tcPr>
            <w:tcW w:w="16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Retained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40" w:type="dxa"/>
            <w:vAlign w:val="bottom"/>
          </w:tcPr>
          <w:p>
            <w:pPr>
              <w:spacing w:after="0"/>
              <w:rPr>
                <w:sz w:val="14"/>
                <w:szCs w:val="14"/>
                <w:color w:val="auto"/>
              </w:rPr>
            </w:pPr>
          </w:p>
        </w:tc>
        <w:tc>
          <w:tcPr>
            <w:tcW w:w="9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controlling</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229,546,105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9,493.3</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130,594</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Dividends declared on common stock ($0.6125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229,676,699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9,501.7</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25,010</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Dividends declared on common stock ($0.6125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229,701,709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9,550.7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w w:val="97"/>
              </w:rPr>
              <w:t>June 30</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18"/>
                <w:szCs w:val="18"/>
                <w:color w:val="auto"/>
              </w:rPr>
            </w:pPr>
          </w:p>
        </w:tc>
        <w:tc>
          <w:tcPr>
            <w:tcW w:w="2480" w:type="dxa"/>
            <w:vAlign w:val="bottom"/>
            <w:gridSpan w:val="3"/>
          </w:tcPr>
          <w:p>
            <w:pPr>
              <w:jc w:val="right"/>
              <w:ind w:right="39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12.2</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$11.1 and $16.9, respectively</w:t>
            </w:r>
          </w:p>
        </w:tc>
        <w:tc>
          <w:tcPr>
            <w:tcW w:w="3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196.9</w:t>
            </w:r>
          </w:p>
        </w:tc>
        <w:tc>
          <w:tcPr>
            <w:tcW w:w="48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249.4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9.7</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172.0</w:t>
            </w:r>
          </w:p>
        </w:tc>
        <w:tc>
          <w:tcPr>
            <w:tcW w:w="48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185.0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390.9</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349.5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15.4</w:t>
            </w:r>
          </w:p>
        </w:tc>
        <w:tc>
          <w:tcPr>
            <w:tcW w:w="48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129.4</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27.4</w:t>
            </w:r>
          </w:p>
        </w:tc>
        <w:tc>
          <w:tcPr>
            <w:tcW w:w="48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22.0</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28.8</w:t>
            </w: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975.9</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969.9</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11,582.7</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11,080.8</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137.1</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140.7</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592.1</w:t>
            </w:r>
          </w:p>
        </w:tc>
        <w:tc>
          <w:tcPr>
            <w:tcW w:w="48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590.0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Nuclear decommissioning trust fund</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343.2</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318.8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261.5</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268.1</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1,196.8</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1,176.9</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13,892.5</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13,368.3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June 30</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3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50.0</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813.8</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772.1</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172.0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185.0</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184.0</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247.3</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29.3</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28.9</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115.7</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125.5</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51.6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72.6</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95.2</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72.1</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21.6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28.2</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39.4</w:t>
            </w:r>
          </w:p>
        </w:tc>
      </w:tr>
      <w:tr>
        <w:trPr>
          <w:trHeight w:val="219"/>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112.1</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135.0</w:t>
            </w:r>
          </w:p>
        </w:tc>
      </w:tr>
      <w:tr>
        <w:trPr>
          <w:trHeight w:val="209"/>
        </w:trPr>
        <w:tc>
          <w:tcPr>
            <w:tcW w:w="83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1,623.5</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1,749.2</w:t>
            </w: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4,281.7</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3,886.9</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847.1</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844.5</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55.4</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57.3</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1,379.7</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1,368.9</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268.5</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244.7</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564.7</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543.8</w:t>
            </w:r>
          </w:p>
        </w:tc>
      </w:tr>
      <w:tr>
        <w:trPr>
          <w:trHeight w:val="216"/>
        </w:trPr>
        <w:tc>
          <w:tcPr>
            <w:tcW w:w="8380" w:type="dxa"/>
            <w:vAlign w:val="bottom"/>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170.2</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165.6</w:t>
            </w:r>
          </w:p>
        </w:tc>
      </w:tr>
      <w:tr>
        <w:trPr>
          <w:trHeight w:val="21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7,567.3</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7,111.7</w:t>
            </w:r>
          </w:p>
        </w:tc>
      </w:tr>
      <w:tr>
        <w:trPr>
          <w:trHeight w:val="206"/>
        </w:trPr>
        <w:tc>
          <w:tcPr>
            <w:tcW w:w="838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Evergy Kansas Central, Inc. Shareholder's Equity:</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2,737.6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2,737.6</w:t>
            </w:r>
          </w:p>
        </w:tc>
      </w:tr>
      <w:tr>
        <w:trPr>
          <w:trHeight w:val="213"/>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1,948.3</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1,760.2</w:t>
            </w:r>
          </w:p>
        </w:tc>
      </w:tr>
      <w:tr>
        <w:trPr>
          <w:trHeight w:val="212"/>
        </w:trPr>
        <w:tc>
          <w:tcPr>
            <w:tcW w:w="83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Evergy Kansas Central, Inc. Shareholder's Equity</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4,685.9</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4,497.8</w:t>
            </w:r>
          </w:p>
        </w:tc>
      </w:tr>
      <w:tr>
        <w:trPr>
          <w:trHeight w:val="21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15.8</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r>
      <w:tr>
        <w:trPr>
          <w:trHeight w:val="212"/>
        </w:trPr>
        <w:tc>
          <w:tcPr>
            <w:tcW w:w="83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4,701.7</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4,507.4</w:t>
            </w:r>
          </w:p>
        </w:tc>
      </w:tr>
      <w:tr>
        <w:trPr>
          <w:trHeight w:val="217"/>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13,892.5</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13,368.3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to Date</w:t>
            </w:r>
          </w:p>
        </w:tc>
        <w:tc>
          <w:tcPr>
            <w:tcW w:w="680" w:type="dxa"/>
            <w:vAlign w:val="bottom"/>
          </w:tcPr>
          <w:p>
            <w:pPr>
              <w:spacing w:after="0"/>
              <w:rPr>
                <w:sz w:val="16"/>
                <w:szCs w:val="16"/>
                <w:color w:val="auto"/>
              </w:rPr>
            </w:pPr>
          </w:p>
        </w:tc>
      </w:tr>
      <w:tr>
        <w:trPr>
          <w:trHeight w:val="210"/>
        </w:trPr>
        <w:tc>
          <w:tcPr>
            <w:tcW w:w="6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229"/>
        </w:trPr>
        <w:tc>
          <w:tcPr>
            <w:tcW w:w="6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2022</w:t>
            </w:r>
          </w:p>
        </w:tc>
      </w:tr>
      <w:tr>
        <w:trPr>
          <w:trHeight w:val="186"/>
        </w:trPr>
        <w:tc>
          <w:tcPr>
            <w:tcW w:w="6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639.6</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724.0</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1,318.2</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1,337.9</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113.8</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179.0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258.2</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75.4</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81.5</w:t>
            </w:r>
          </w:p>
        </w:tc>
        <w:tc>
          <w:tcPr>
            <w:tcW w:w="3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156.6</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160.2</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115.6</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141.5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223.2</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128.7</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120.6</w:t>
            </w:r>
          </w:p>
        </w:tc>
        <w:tc>
          <w:tcPr>
            <w:tcW w:w="3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252.8</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240.3</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54.5</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110.2</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r>
      <w:tr>
        <w:trPr>
          <w:trHeight w:val="207"/>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488.0</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576.5</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1,001.0</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1,063.2</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151.6</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147.5</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317.2</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274.7</w:t>
            </w: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0.4</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1.1</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3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10.3</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(8.7)</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(18.6)</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09"/>
        </w:trPr>
        <w:tc>
          <w:tcPr>
            <w:tcW w:w="6360" w:type="dxa"/>
            <w:vAlign w:val="bottom"/>
          </w:tcPr>
          <w:p>
            <w:pPr>
              <w:ind w:left="340"/>
              <w:spacing w:after="0"/>
              <w:rPr>
                <w:sz w:val="20"/>
                <w:szCs w:val="20"/>
                <w:color w:val="auto"/>
              </w:rPr>
            </w:pPr>
            <w:r>
              <w:rPr>
                <w:rFonts w:ascii="Arial" w:cs="Arial" w:eastAsia="Arial" w:hAnsi="Arial"/>
                <w:sz w:val="16"/>
                <w:szCs w:val="16"/>
                <w:color w:val="auto"/>
              </w:rPr>
              <w:t>Total Other Expense, Net</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(6.6)</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54.4</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44.7</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106.8</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90.0</w:t>
            </w:r>
          </w:p>
        </w:tc>
        <w:tc>
          <w:tcPr>
            <w:tcW w:w="36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94.0</w:t>
            </w:r>
          </w:p>
        </w:tc>
        <w:tc>
          <w:tcPr>
            <w:tcW w:w="38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203.8</w:t>
            </w:r>
          </w:p>
        </w:tc>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171.7</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87.9</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90.6</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194.3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7"/>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KANSAS CENTRAL, INC.</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84.8</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87.5</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188.1</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June 30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46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00" w:type="dxa"/>
            <w:vAlign w:val="bottom"/>
          </w:tcPr>
          <w:p>
            <w:pPr>
              <w:spacing w:after="0"/>
              <w:rPr>
                <w:sz w:val="18"/>
                <w:szCs w:val="18"/>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194.3</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252.8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15.2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12.5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55.2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(40.8)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(42.8)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(52.3)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6"/>
        </w:trPr>
        <w:tc>
          <w:tcPr>
            <w:tcW w:w="8580" w:type="dxa"/>
            <w:vAlign w:val="bottom"/>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12.2</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207"/>
        </w:trPr>
        <w:tc>
          <w:tcPr>
            <w:tcW w:w="8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390.4</w:t>
            </w: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(579.9)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Acquisition of Persimmon Creek, net of cash acquired</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(217.9)</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4.9</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42.4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0.3</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7"/>
        </w:trPr>
        <w:tc>
          <w:tcPr>
            <w:tcW w:w="85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(772.4)</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w:t>
            </w:r>
          </w:p>
        </w:tc>
      </w:tr>
      <w:tr>
        <w:trPr>
          <w:trHeight w:val="212"/>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41.0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322.5</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short-term debt,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393.3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48.0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(225.0)</w:t>
            </w:r>
          </w:p>
        </w:tc>
      </w:tr>
      <w:tr>
        <w:trPr>
          <w:trHeight w:val="21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85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385.5</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w:t>
            </w:r>
          </w:p>
        </w:tc>
      </w:tr>
      <w:tr>
        <w:trPr>
          <w:trHeight w:val="212"/>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8.7</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85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9"/>
              </w:rPr>
              <w:t>Evergy Kansas Central, Inc. Shareholder</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8"/>
              </w:rPr>
              <w:t>Common stock</w:t>
            </w:r>
          </w:p>
        </w:tc>
        <w:tc>
          <w:tcPr>
            <w:tcW w:w="16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5"/>
              </w:rPr>
              <w:t>Common</w:t>
            </w:r>
          </w:p>
        </w:tc>
        <w:tc>
          <w:tcPr>
            <w:tcW w:w="180" w:type="dxa"/>
            <w:vAlign w:val="bottom"/>
          </w:tcPr>
          <w:p>
            <w:pPr>
              <w:spacing w:after="0"/>
              <w:rPr>
                <w:sz w:val="12"/>
                <w:szCs w:val="12"/>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4"/>
              </w:rPr>
              <w:t>Retained</w:t>
            </w:r>
          </w:p>
        </w:tc>
        <w:tc>
          <w:tcPr>
            <w:tcW w:w="140" w:type="dxa"/>
            <w:vAlign w:val="bottom"/>
          </w:tcPr>
          <w:p>
            <w:pPr>
              <w:spacing w:after="0"/>
              <w:rPr>
                <w:sz w:val="12"/>
                <w:szCs w:val="12"/>
                <w:color w:val="auto"/>
              </w:rPr>
            </w:pPr>
          </w:p>
        </w:tc>
        <w:tc>
          <w:tcPr>
            <w:tcW w:w="960" w:type="dxa"/>
            <w:vAlign w:val="bottom"/>
          </w:tcPr>
          <w:p>
            <w:pPr>
              <w:jc w:val="center"/>
              <w:ind w:right="59"/>
              <w:spacing w:after="0" w:line="148" w:lineRule="exact"/>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stock</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earnings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interests</w:t>
            </w:r>
          </w:p>
        </w:tc>
        <w:tc>
          <w:tcPr>
            <w:tcW w:w="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5"/>
          </w:tcPr>
          <w:p>
            <w:pPr>
              <w:jc w:val="right"/>
              <w:ind w:right="699"/>
              <w:spacing w:after="0"/>
              <w:rPr>
                <w:sz w:val="20"/>
                <w:szCs w:val="20"/>
                <w:color w:val="auto"/>
              </w:rPr>
            </w:pPr>
            <w:r>
              <w:rPr>
                <w:rFonts w:ascii="Arial" w:cs="Arial" w:eastAsia="Arial" w:hAnsi="Arial"/>
                <w:sz w:val="14"/>
                <w:szCs w:val="14"/>
                <w:color w:val="auto"/>
              </w:rPr>
              <w:t>(millions, except share amounts)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7"/>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1,853.6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4,591.6</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declared on common stock</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6"/>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4,482.2</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4,507.4</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4,613.8</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19"/>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4,701.7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June 30</w:t>
            </w: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December 31</w:t>
            </w:r>
          </w:p>
        </w:tc>
      </w:tr>
      <w:tr>
        <w:trPr>
          <w:trHeight w:val="229"/>
        </w:trPr>
        <w:tc>
          <w:tcPr>
            <w:tcW w:w="8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2500" w:type="dxa"/>
            <w:vAlign w:val="bottom"/>
            <w:gridSpan w:val="3"/>
          </w:tcPr>
          <w:p>
            <w:pPr>
              <w:jc w:val="right"/>
              <w:ind w:right="399"/>
              <w:spacing w:after="0"/>
              <w:rPr>
                <w:sz w:val="20"/>
                <w:szCs w:val="20"/>
                <w:color w:val="auto"/>
              </w:rPr>
            </w:pPr>
            <w:r>
              <w:rPr>
                <w:rFonts w:ascii="Arial" w:cs="Arial" w:eastAsia="Arial" w:hAnsi="Arial"/>
                <w:sz w:val="14"/>
                <w:szCs w:val="14"/>
                <w:color w:val="auto"/>
                <w:w w:val="99"/>
              </w:rPr>
              <w:t>(millions, except share amounts)</w:t>
            </w:r>
          </w:p>
        </w:tc>
      </w:tr>
      <w:tr>
        <w:trPr>
          <w:trHeight w:val="219"/>
        </w:trPr>
        <w:tc>
          <w:tcPr>
            <w:tcW w:w="8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4.5</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$7.3 and $9.3, respectively</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78.3</w:t>
            </w:r>
          </w:p>
        </w:tc>
        <w:tc>
          <w:tcPr>
            <w:tcW w:w="48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37.8</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114.7</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170.4</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125.0</w:t>
            </w:r>
          </w:p>
        </w:tc>
        <w:tc>
          <w:tcPr>
            <w:tcW w:w="48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124.0</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241.8</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240.6</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0.2</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52.2</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23.3</w:t>
            </w:r>
          </w:p>
        </w:tc>
        <w:tc>
          <w:tcPr>
            <w:tcW w:w="48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22.4</w:t>
            </w:r>
          </w:p>
        </w:tc>
      </w:tr>
      <w:tr>
        <w:trPr>
          <w:trHeight w:val="219"/>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13.8</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11.0</w:t>
            </w:r>
          </w:p>
        </w:tc>
      </w:tr>
      <w:tr>
        <w:trPr>
          <w:trHeight w:val="209"/>
        </w:trPr>
        <w:tc>
          <w:tcPr>
            <w:tcW w:w="83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653.6</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651.8</w:t>
            </w:r>
          </w:p>
        </w:tc>
      </w:tr>
      <w:tr>
        <w:trPr>
          <w:trHeight w:val="21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7,939.9</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7,844.2</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350.2</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331.5</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374.0</w:t>
            </w:r>
          </w:p>
        </w:tc>
        <w:tc>
          <w:tcPr>
            <w:tcW w:w="48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334.5</w:t>
            </w:r>
          </w:p>
        </w:tc>
      </w:tr>
      <w:tr>
        <w:trPr>
          <w:trHeight w:val="219"/>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82.8</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87.2</w:t>
            </w:r>
          </w:p>
        </w:tc>
      </w:tr>
      <w:tr>
        <w:trPr>
          <w:trHeight w:val="210"/>
        </w:trPr>
        <w:tc>
          <w:tcPr>
            <w:tcW w:w="8380" w:type="dxa"/>
            <w:vAlign w:val="bottom"/>
          </w:tcPr>
          <w:p>
            <w:pPr>
              <w:ind w:left="34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807.0</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753.2</w:t>
            </w:r>
          </w:p>
        </w:tc>
      </w:tr>
      <w:tr>
        <w:trPr>
          <w:trHeight w:val="217"/>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9,400.5</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9,249.2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June 30</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3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79.5</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379.5</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311.5</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111.0</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125.0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124.0</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146.3</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252.3</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0.3</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0.9</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99.3</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40.5</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26.0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27.9</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60.3</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55.3</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17.1</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26.8</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41.7</w:t>
            </w:r>
          </w:p>
        </w:tc>
      </w:tr>
      <w:tr>
        <w:trPr>
          <w:trHeight w:val="219"/>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33.6</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49.2</w:t>
            </w:r>
          </w:p>
        </w:tc>
      </w:tr>
      <w:tr>
        <w:trPr>
          <w:trHeight w:val="210"/>
        </w:trPr>
        <w:tc>
          <w:tcPr>
            <w:tcW w:w="83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925.2</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1,099.4</w:t>
            </w:r>
          </w:p>
        </w:tc>
      </w:tr>
      <w:tr>
        <w:trPr>
          <w:trHeight w:val="20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2,845.4</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2,547.1</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761.5</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720.9</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113.1</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114.7</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837.9</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872.8</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226.3</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196.6</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436.6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427.1</w:t>
            </w:r>
          </w:p>
        </w:tc>
      </w:tr>
      <w:tr>
        <w:trPr>
          <w:trHeight w:val="216"/>
        </w:trPr>
        <w:tc>
          <w:tcPr>
            <w:tcW w:w="8380" w:type="dxa"/>
            <w:vAlign w:val="bottom"/>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86.7</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84.3</w:t>
            </w:r>
          </w:p>
        </w:tc>
      </w:tr>
      <w:tr>
        <w:trPr>
          <w:trHeight w:val="209"/>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5,307.5</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4,963.5</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1,563.1</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1,563.1</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1,600.8</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1,619.2</w:t>
            </w:r>
          </w:p>
        </w:tc>
      </w:tr>
      <w:tr>
        <w:trPr>
          <w:trHeight w:val="21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3.9</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4.0</w:t>
            </w: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3,167.8</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3,186.3</w:t>
            </w:r>
          </w:p>
        </w:tc>
      </w:tr>
      <w:tr>
        <w:trPr>
          <w:trHeight w:val="21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9,400.5</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9,249.2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to Date</w:t>
            </w:r>
          </w:p>
        </w:tc>
        <w:tc>
          <w:tcPr>
            <w:tcW w:w="680" w:type="dxa"/>
            <w:vAlign w:val="bottom"/>
          </w:tcPr>
          <w:p>
            <w:pPr>
              <w:spacing w:after="0"/>
              <w:rPr>
                <w:sz w:val="16"/>
                <w:szCs w:val="16"/>
                <w:color w:val="auto"/>
              </w:rPr>
            </w:pPr>
          </w:p>
        </w:tc>
      </w:tr>
      <w:tr>
        <w:trPr>
          <w:trHeight w:val="210"/>
        </w:trPr>
        <w:tc>
          <w:tcPr>
            <w:tcW w:w="6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229"/>
        </w:trPr>
        <w:tc>
          <w:tcPr>
            <w:tcW w:w="6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2022</w:t>
            </w:r>
          </w:p>
        </w:tc>
      </w:tr>
      <w:tr>
        <w:trPr>
          <w:trHeight w:val="182"/>
        </w:trPr>
        <w:tc>
          <w:tcPr>
            <w:tcW w:w="6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485.3</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500.1</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891.7</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922.6</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142.0</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158.9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257.4</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Operating and maintenance</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66.8</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86.7</w:t>
            </w:r>
          </w:p>
        </w:tc>
        <w:tc>
          <w:tcPr>
            <w:tcW w:w="3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132.1</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164.8</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105.4</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207.8</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r>
      <w:tr>
        <w:trPr>
          <w:trHeight w:val="203"/>
        </w:trPr>
        <w:tc>
          <w:tcPr>
            <w:tcW w:w="6360" w:type="dxa"/>
            <w:vAlign w:val="bottom"/>
          </w:tcPr>
          <w:p>
            <w:pPr>
              <w:ind w:left="140"/>
              <w:spacing w:after="0"/>
              <w:rPr>
                <w:sz w:val="20"/>
                <w:szCs w:val="20"/>
                <w:color w:val="auto"/>
              </w:rPr>
            </w:pPr>
            <w:r>
              <w:rPr>
                <w:rFonts w:ascii="Arial" w:cs="Arial" w:eastAsia="Arial" w:hAnsi="Arial"/>
                <w:sz w:val="16"/>
                <w:szCs w:val="16"/>
                <w:color w:val="auto"/>
              </w:rPr>
              <w:t>Taxes other than income tax</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32.2</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33.7</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65.7</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r>
      <w:tr>
        <w:trPr>
          <w:trHeight w:val="210"/>
        </w:trPr>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346.4</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363.8</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663.0</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690.7</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138.9</w:t>
            </w:r>
          </w:p>
        </w:tc>
        <w:tc>
          <w:tcPr>
            <w:tcW w:w="36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136.3</w:t>
            </w:r>
          </w:p>
        </w:tc>
        <w:tc>
          <w:tcPr>
            <w:tcW w:w="3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228.7</w:t>
            </w:r>
          </w:p>
        </w:tc>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1.0</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1.7</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4.2</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6360" w:type="dxa"/>
            <w:vAlign w:val="bottom"/>
          </w:tcPr>
          <w:p>
            <w:pPr>
              <w:ind w:left="14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(9.8)</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(18.8)</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09"/>
        </w:trPr>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Other Expense, Net</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(7.4)</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35.0</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26.8</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65.6</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96.5</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150.2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11.7</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14.3</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18.6</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217"/>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84.8</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88.4</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131.6</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84.8</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88.4</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131.6</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6360" w:type="dxa"/>
            <w:vAlign w:val="bottom"/>
          </w:tcPr>
          <w:p>
            <w:pPr>
              <w:ind w:left="140"/>
              <w:spacing w:after="0"/>
              <w:rPr>
                <w:sz w:val="20"/>
                <w:szCs w:val="20"/>
                <w:color w:val="auto"/>
              </w:rPr>
            </w:pPr>
            <w:r>
              <w:rPr>
                <w:rFonts w:ascii="Arial" w:cs="Arial" w:eastAsia="Arial" w:hAnsi="Arial"/>
                <w:sz w:val="16"/>
                <w:szCs w:val="16"/>
                <w:color w:val="auto"/>
              </w:rPr>
              <w:t>Total other comprehensive loss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84.8</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88.3</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131.5</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June 30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46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00" w:type="dxa"/>
            <w:vAlign w:val="bottom"/>
          </w:tcPr>
          <w:p>
            <w:pPr>
              <w:spacing w:after="0"/>
              <w:rPr>
                <w:sz w:val="18"/>
                <w:szCs w:val="18"/>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131.6</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207.8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15.4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15.2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(0.6)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(17.1)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(89.5)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59.0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8.1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85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280.7</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w:t>
            </w:r>
          </w:p>
        </w:tc>
      </w:tr>
      <w:tr>
        <w:trPr>
          <w:trHeight w:val="212"/>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(359.4)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(403.5)</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10.4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money pool lending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r>
      <w:tr>
        <w:trPr>
          <w:trHeight w:val="216"/>
        </w:trPr>
        <w:tc>
          <w:tcPr>
            <w:tcW w:w="858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8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(330.7)</w:t>
            </w: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200.5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297.2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(300.0)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(150.0)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58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8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51.4</w:t>
            </w: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8580" w:type="dxa"/>
            <w:vAlign w:val="bottom"/>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8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Common stock</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AOCI - Net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Common Stock</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87"/>
              </w:rPr>
              <w:t>gains (losses) on</w:t>
            </w:r>
          </w:p>
        </w:tc>
        <w:tc>
          <w:tcPr>
            <w:tcW w:w="16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earnings</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6"/>
              </w:rPr>
              <w:t>cash flow hedges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jc w:val="right"/>
              <w:ind w:right="739"/>
              <w:spacing w:after="0"/>
              <w:rPr>
                <w:sz w:val="20"/>
                <w:szCs w:val="20"/>
                <w:color w:val="auto"/>
              </w:rPr>
            </w:pPr>
            <w:r>
              <w:rPr>
                <w:rFonts w:ascii="Arial" w:cs="Arial" w:eastAsia="Arial" w:hAnsi="Arial"/>
                <w:sz w:val="14"/>
                <w:szCs w:val="14"/>
                <w:color w:val="auto"/>
              </w:rPr>
              <w:t>(millions, except share amounts)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1,453.8</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3,021.2</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3,075.8</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1,596.8</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3,164.1</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1,619.2</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3,186.3</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1,666.0</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3,233.0</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0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1,600.8</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8" w:lineRule="exact"/>
        <w:rPr>
          <w:sz w:val="20"/>
          <w:szCs w:val="20"/>
          <w:color w:val="auto"/>
        </w:rPr>
      </w:pPr>
    </w:p>
    <w:p>
      <w:pPr>
        <w:ind w:left="660" w:right="80" w:hanging="328"/>
        <w:spacing w:after="0" w:line="264"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64" w:lineRule="exact"/>
        <w:rPr>
          <w:rFonts w:ascii="Arial" w:cs="Arial" w:eastAsia="Arial" w:hAnsi="Arial"/>
          <w:sz w:val="20"/>
          <w:szCs w:val="20"/>
          <w:color w:val="auto"/>
        </w:rPr>
      </w:pPr>
    </w:p>
    <w:p>
      <w:pPr>
        <w:ind w:left="660" w:right="320" w:hanging="328"/>
        <w:spacing w:after="0" w:line="274"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is an integrated, regulated electric utility that provides electricity to customers in the states of Missouri and Kansas.</w:t>
      </w:r>
    </w:p>
    <w:p>
      <w:pPr>
        <w:spacing w:after="0" w:line="55" w:lineRule="exact"/>
        <w:rPr>
          <w:rFonts w:ascii="Arial" w:cs="Arial" w:eastAsia="Arial" w:hAnsi="Arial"/>
          <w:sz w:val="20"/>
          <w:szCs w:val="20"/>
          <w:color w:val="auto"/>
        </w:rPr>
      </w:pPr>
    </w:p>
    <w:p>
      <w:pPr>
        <w:ind w:left="660" w:hanging="328"/>
        <w:spacing w:after="0" w:line="274"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is an integrated, regulated electric utility that provides electricity to customers in the state of Missouri.</w:t>
      </w:r>
    </w:p>
    <w:p>
      <w:pPr>
        <w:spacing w:after="0" w:line="55" w:lineRule="exact"/>
        <w:rPr>
          <w:rFonts w:ascii="Arial" w:cs="Arial" w:eastAsia="Arial" w:hAnsi="Arial"/>
          <w:sz w:val="20"/>
          <w:szCs w:val="20"/>
          <w:color w:val="auto"/>
        </w:rPr>
      </w:pPr>
    </w:p>
    <w:p>
      <w:pPr>
        <w:ind w:left="660" w:right="40" w:hanging="328"/>
        <w:spacing w:after="0" w:line="273"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11"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15,600 MWs of owned generating capacity and renewable power purchase agreements and engage in the generation, transmission, distribution and sale of electricity to approximately 1.7 million customers in the states of Kansas and Missouri.</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2022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6"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6" w:lineRule="exact"/>
        <w:rPr>
          <w:sz w:val="20"/>
          <w:szCs w:val="20"/>
          <w:color w:val="auto"/>
        </w:rPr>
      </w:pPr>
    </w:p>
    <w:p>
      <w:pPr>
        <w:ind w:right="740"/>
        <w:spacing w:after="0" w:line="253"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7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w w:val="98"/>
              </w:rPr>
              <w:t>December 31</w:t>
            </w:r>
          </w:p>
        </w:tc>
      </w:tr>
      <w:tr>
        <w:trPr>
          <w:trHeight w:val="229"/>
        </w:trPr>
        <w:tc>
          <w:tcPr>
            <w:tcW w:w="7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34"/>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16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460" w:type="dxa"/>
            <w:vAlign w:val="bottom"/>
          </w:tcPr>
          <w:p>
            <w:pPr>
              <w:spacing w:after="0"/>
              <w:rPr>
                <w:sz w:val="20"/>
                <w:szCs w:val="20"/>
                <w:color w:val="auto"/>
              </w:rPr>
            </w:pPr>
          </w:p>
        </w:tc>
      </w:tr>
      <w:tr>
        <w:trPr>
          <w:trHeight w:val="233"/>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8"/>
              </w:rPr>
              <w:t>231.5</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88"/>
              </w:rPr>
              <w:t>497.9</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r>
      <w:tr>
        <w:trPr>
          <w:trHeight w:val="230"/>
        </w:trPr>
        <w:tc>
          <w:tcPr>
            <w:tcW w:w="7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88"/>
              </w:rPr>
              <w:t>729.4</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8"/>
              </w:rPr>
              <w:t>129.9</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43"/>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1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88"/>
              </w:rPr>
              <w:t>261.0</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r>
      <w:tr>
        <w:trPr>
          <w:trHeight w:val="223"/>
        </w:trPr>
        <w:tc>
          <w:tcPr>
            <w:tcW w:w="7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88"/>
              </w:rPr>
              <w:t>390.9</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68.6</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3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88"/>
              </w:rPr>
              <w:t>173.2</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r>
      <w:tr>
        <w:trPr>
          <w:trHeight w:val="230"/>
        </w:trPr>
        <w:tc>
          <w:tcPr>
            <w:tcW w:w="7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88"/>
              </w:rPr>
              <w:t>241.8</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3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 2023</w:t>
            </w:r>
          </w:p>
        </w:tc>
        <w:tc>
          <w:tcPr>
            <w:tcW w:w="780" w:type="dxa"/>
            <w:vAlign w:val="bottom"/>
            <w:tcBorders>
              <w:top w:val="single" w:sz="8" w:color="auto"/>
              <w:bottom w:val="single" w:sz="8" w:color="auto"/>
            </w:tcBorders>
          </w:tcPr>
          <w:p>
            <w:pPr>
              <w:spacing w:after="0"/>
              <w:rPr>
                <w:sz w:val="23"/>
                <w:szCs w:val="23"/>
                <w:color w:val="auto"/>
              </w:rPr>
            </w:pPr>
          </w:p>
        </w:tc>
        <w:tc>
          <w:tcPr>
            <w:tcW w:w="152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391"/>
              <w:spacing w:after="0"/>
              <w:rPr>
                <w:sz w:val="20"/>
                <w:szCs w:val="20"/>
                <w:color w:val="auto"/>
              </w:rPr>
            </w:pPr>
            <w:r>
              <w:rPr>
                <w:rFonts w:ascii="Arial" w:cs="Arial" w:eastAsia="Arial" w:hAnsi="Arial"/>
                <w:sz w:val="18"/>
                <w:szCs w:val="18"/>
                <w:b w:val="1"/>
                <w:bCs w:val="1"/>
                <w:color w:val="auto"/>
              </w:rPr>
              <w:t>Evergy Kansas Central</w:t>
            </w:r>
          </w:p>
        </w:tc>
        <w:tc>
          <w:tcPr>
            <w:tcW w:w="600" w:type="dxa"/>
            <w:vAlign w:val="bottom"/>
            <w:tcBorders>
              <w:top w:val="single" w:sz="8" w:color="auto"/>
              <w:bottom w:val="single" w:sz="8" w:color="auto"/>
            </w:tcBorders>
          </w:tcPr>
          <w:p>
            <w:pPr>
              <w:spacing w:after="0"/>
              <w:rPr>
                <w:sz w:val="23"/>
                <w:szCs w:val="23"/>
                <w:color w:val="auto"/>
              </w:rPr>
            </w:pPr>
          </w:p>
        </w:tc>
        <w:tc>
          <w:tcPr>
            <w:tcW w:w="17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2"/>
              </w:rPr>
              <w:t>Evergy Metro</w:t>
            </w:r>
          </w:p>
        </w:tc>
      </w:tr>
      <w:tr>
        <w:trPr>
          <w:trHeight w:val="211"/>
        </w:trPr>
        <w:tc>
          <w:tcPr>
            <w:tcW w:w="3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tcPr>
          <w:p>
            <w:pPr>
              <w:jc w:val="right"/>
              <w:ind w:right="951"/>
              <w:spacing w:after="0"/>
              <w:rPr>
                <w:sz w:val="20"/>
                <w:szCs w:val="20"/>
                <w:color w:val="auto"/>
              </w:rPr>
            </w:pPr>
            <w:r>
              <w:rPr>
                <w:rFonts w:ascii="Arial" w:cs="Arial" w:eastAsia="Arial" w:hAnsi="Arial"/>
                <w:sz w:val="16"/>
                <w:szCs w:val="16"/>
                <w:color w:val="auto"/>
              </w:rPr>
              <w:t>(millions)</w:t>
            </w:r>
          </w:p>
        </w:tc>
        <w:tc>
          <w:tcPr>
            <w:tcW w:w="6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33,407.0</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16,121.0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12,757.1</w:t>
            </w: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724.8</w:t>
            </w:r>
          </w:p>
        </w:tc>
        <w:tc>
          <w:tcPr>
            <w:tcW w:w="960" w:type="dxa"/>
            <w:vAlign w:val="bottom"/>
          </w:tcPr>
          <w:p>
            <w:pPr>
              <w:spacing w:after="0"/>
              <w:rPr>
                <w:sz w:val="19"/>
                <w:szCs w:val="19"/>
                <w:color w:val="auto"/>
              </w:rPr>
            </w:pPr>
          </w:p>
        </w:tc>
        <w:tc>
          <w:tcPr>
            <w:tcW w:w="1800" w:type="dxa"/>
            <w:vAlign w:val="bottom"/>
          </w:tcPr>
          <w:p>
            <w:pPr>
              <w:jc w:val="right"/>
              <w:ind w:right="691"/>
              <w:spacing w:after="0"/>
              <w:rPr>
                <w:sz w:val="20"/>
                <w:szCs w:val="20"/>
                <w:color w:val="auto"/>
              </w:rPr>
            </w:pPr>
            <w:r>
              <w:rPr>
                <w:rFonts w:ascii="Arial" w:cs="Arial" w:eastAsia="Arial" w:hAnsi="Arial"/>
                <w:sz w:val="18"/>
                <w:szCs w:val="18"/>
                <w:color w:val="auto"/>
              </w:rPr>
              <w:t>724.8</w:t>
            </w:r>
          </w:p>
        </w:tc>
        <w:tc>
          <w:tcPr>
            <w:tcW w:w="600" w:type="dxa"/>
            <w:vAlign w:val="bottom"/>
          </w:tcPr>
          <w:p>
            <w:pPr>
              <w:spacing w:after="0"/>
              <w:rPr>
                <w:sz w:val="19"/>
                <w:szCs w:val="19"/>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(12,639.0)</w:t>
            </w:r>
          </w:p>
        </w:tc>
        <w:tc>
          <w:tcPr>
            <w:tcW w:w="9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rPr>
              <w:t>(6,054.1)</w:t>
            </w:r>
          </w:p>
        </w:tc>
        <w:tc>
          <w:tcPr>
            <w:tcW w:w="6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(5,233.1)</w:t>
            </w:r>
          </w:p>
        </w:tc>
      </w:tr>
      <w:tr>
        <w:trPr>
          <w:trHeight w:val="223"/>
        </w:trPr>
        <w:tc>
          <w:tcPr>
            <w:tcW w:w="382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21,492.8</w:t>
            </w:r>
          </w:p>
        </w:tc>
        <w:tc>
          <w:tcPr>
            <w:tcW w:w="960" w:type="dxa"/>
            <w:vAlign w:val="bottom"/>
          </w:tcPr>
          <w:p>
            <w:pPr>
              <w:spacing w:after="0"/>
              <w:rPr>
                <w:sz w:val="19"/>
                <w:szCs w:val="19"/>
                <w:color w:val="auto"/>
              </w:rPr>
            </w:pPr>
          </w:p>
        </w:tc>
        <w:tc>
          <w:tcPr>
            <w:tcW w:w="1800" w:type="dxa"/>
            <w:vAlign w:val="bottom"/>
          </w:tcPr>
          <w:p>
            <w:pPr>
              <w:jc w:val="right"/>
              <w:ind w:right="691"/>
              <w:spacing w:after="0"/>
              <w:rPr>
                <w:sz w:val="20"/>
                <w:szCs w:val="20"/>
                <w:color w:val="auto"/>
              </w:rPr>
            </w:pPr>
            <w:r>
              <w:rPr>
                <w:rFonts w:ascii="Arial" w:cs="Arial" w:eastAsia="Arial" w:hAnsi="Arial"/>
                <w:sz w:val="18"/>
                <w:szCs w:val="18"/>
                <w:color w:val="auto"/>
              </w:rPr>
              <w:t>10,791.7</w:t>
            </w:r>
          </w:p>
        </w:tc>
        <w:tc>
          <w:tcPr>
            <w:tcW w:w="600" w:type="dxa"/>
            <w:vAlign w:val="bottom"/>
          </w:tcPr>
          <w:p>
            <w:pPr>
              <w:spacing w:after="0"/>
              <w:rPr>
                <w:sz w:val="19"/>
                <w:szCs w:val="19"/>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7,524.0</w:t>
            </w: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1,194.1</w:t>
            </w:r>
          </w:p>
        </w:tc>
        <w:tc>
          <w:tcPr>
            <w:tcW w:w="9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715.2</w:t>
            </w:r>
          </w:p>
        </w:tc>
        <w:tc>
          <w:tcPr>
            <w:tcW w:w="6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339.8</w:t>
            </w: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151.1</w:t>
            </w:r>
          </w:p>
        </w:tc>
        <w:tc>
          <w:tcPr>
            <w:tcW w:w="960" w:type="dxa"/>
            <w:vAlign w:val="bottom"/>
          </w:tcPr>
          <w:p>
            <w:pPr>
              <w:spacing w:after="0"/>
              <w:rPr>
                <w:sz w:val="19"/>
                <w:szCs w:val="19"/>
                <w:color w:val="auto"/>
              </w:rPr>
            </w:pPr>
          </w:p>
        </w:tc>
        <w:tc>
          <w:tcPr>
            <w:tcW w:w="1800" w:type="dxa"/>
            <w:vAlign w:val="bottom"/>
          </w:tcPr>
          <w:p>
            <w:pPr>
              <w:jc w:val="right"/>
              <w:ind w:right="691"/>
              <w:spacing w:after="0"/>
              <w:rPr>
                <w:sz w:val="20"/>
                <w:szCs w:val="20"/>
                <w:color w:val="auto"/>
              </w:rPr>
            </w:pPr>
            <w:r>
              <w:rPr>
                <w:rFonts w:ascii="Arial" w:cs="Arial" w:eastAsia="Arial" w:hAnsi="Arial"/>
                <w:sz w:val="18"/>
                <w:szCs w:val="18"/>
                <w:color w:val="auto"/>
              </w:rPr>
              <w:t>75.0</w:t>
            </w:r>
          </w:p>
        </w:tc>
        <w:tc>
          <w:tcPr>
            <w:tcW w:w="600" w:type="dxa"/>
            <w:vAlign w:val="bottom"/>
          </w:tcPr>
          <w:p>
            <w:pPr>
              <w:spacing w:after="0"/>
              <w:rPr>
                <w:sz w:val="19"/>
                <w:szCs w:val="19"/>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76.1</w:t>
            </w:r>
          </w:p>
        </w:tc>
      </w:tr>
      <w:tr>
        <w:trPr>
          <w:trHeight w:val="243"/>
        </w:trPr>
        <w:tc>
          <w:tcPr>
            <w:tcW w:w="382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9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22,838.8</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11,582.7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7,939.9</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7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391"/>
              <w:spacing w:after="0"/>
              <w:rPr>
                <w:sz w:val="20"/>
                <w:szCs w:val="20"/>
                <w:color w:val="auto"/>
              </w:rPr>
            </w:pPr>
            <w:r>
              <w:rPr>
                <w:rFonts w:ascii="Arial" w:cs="Arial" w:eastAsia="Arial" w:hAnsi="Arial"/>
                <w:sz w:val="18"/>
                <w:szCs w:val="18"/>
                <w:b w:val="1"/>
                <w:bCs w:val="1"/>
                <w:color w:val="auto"/>
              </w:rPr>
              <w:t>Evergy Kansas Central</w:t>
            </w:r>
          </w:p>
        </w:tc>
        <w:tc>
          <w:tcPr>
            <w:tcW w:w="60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0" w:type="dxa"/>
            <w:vAlign w:val="bottom"/>
          </w:tcPr>
          <w:p>
            <w:pPr>
              <w:jc w:val="right"/>
              <w:ind w:right="951"/>
              <w:spacing w:after="0"/>
              <w:rPr>
                <w:sz w:val="20"/>
                <w:szCs w:val="20"/>
                <w:color w:val="auto"/>
              </w:rPr>
            </w:pPr>
            <w:r>
              <w:rPr>
                <w:rFonts w:ascii="Arial" w:cs="Arial" w:eastAsia="Arial" w:hAnsi="Arial"/>
                <w:sz w:val="16"/>
                <w:szCs w:val="16"/>
                <w:color w:val="auto"/>
              </w:rPr>
              <w:t>(millions)</w:t>
            </w:r>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4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32,129.3</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15,376.9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12,343.3</w:t>
            </w: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724.3</w:t>
            </w:r>
          </w:p>
        </w:tc>
        <w:tc>
          <w:tcPr>
            <w:tcW w:w="960" w:type="dxa"/>
            <w:vAlign w:val="bottom"/>
          </w:tcPr>
          <w:p>
            <w:pPr>
              <w:spacing w:after="0"/>
              <w:rPr>
                <w:sz w:val="19"/>
                <w:szCs w:val="19"/>
                <w:color w:val="auto"/>
              </w:rPr>
            </w:pPr>
          </w:p>
        </w:tc>
        <w:tc>
          <w:tcPr>
            <w:tcW w:w="1800" w:type="dxa"/>
            <w:vAlign w:val="bottom"/>
          </w:tcPr>
          <w:p>
            <w:pPr>
              <w:jc w:val="right"/>
              <w:ind w:right="691"/>
              <w:spacing w:after="0"/>
              <w:rPr>
                <w:sz w:val="20"/>
                <w:szCs w:val="20"/>
                <w:color w:val="auto"/>
              </w:rPr>
            </w:pPr>
            <w:r>
              <w:rPr>
                <w:rFonts w:ascii="Arial" w:cs="Arial" w:eastAsia="Arial" w:hAnsi="Arial"/>
                <w:sz w:val="18"/>
                <w:szCs w:val="18"/>
                <w:color w:val="auto"/>
              </w:rPr>
              <w:t>724.3</w:t>
            </w:r>
          </w:p>
        </w:tc>
        <w:tc>
          <w:tcPr>
            <w:tcW w:w="600" w:type="dxa"/>
            <w:vAlign w:val="bottom"/>
          </w:tcPr>
          <w:p>
            <w:pPr>
              <w:spacing w:after="0"/>
              <w:rPr>
                <w:sz w:val="19"/>
                <w:szCs w:val="19"/>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(12,304.9)</w:t>
            </w:r>
          </w:p>
        </w:tc>
        <w:tc>
          <w:tcPr>
            <w:tcW w:w="9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rPr>
              <w:t>(5,922.9)</w:t>
            </w:r>
          </w:p>
        </w:tc>
        <w:tc>
          <w:tcPr>
            <w:tcW w:w="6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(5,065.3)</w:t>
            </w: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20"/>
                <w:szCs w:val="20"/>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20,548.7</w:t>
            </w:r>
          </w:p>
        </w:tc>
        <w:tc>
          <w:tcPr>
            <w:tcW w:w="960" w:type="dxa"/>
            <w:vAlign w:val="bottom"/>
          </w:tcPr>
          <w:p>
            <w:pPr>
              <w:spacing w:after="0"/>
              <w:rPr>
                <w:sz w:val="20"/>
                <w:szCs w:val="20"/>
                <w:color w:val="auto"/>
              </w:rPr>
            </w:pPr>
          </w:p>
        </w:tc>
        <w:tc>
          <w:tcPr>
            <w:tcW w:w="1800" w:type="dxa"/>
            <w:vAlign w:val="bottom"/>
          </w:tcPr>
          <w:p>
            <w:pPr>
              <w:jc w:val="right"/>
              <w:ind w:right="691"/>
              <w:spacing w:after="0"/>
              <w:rPr>
                <w:sz w:val="20"/>
                <w:szCs w:val="20"/>
                <w:color w:val="auto"/>
              </w:rPr>
            </w:pPr>
            <w:r>
              <w:rPr>
                <w:rFonts w:ascii="Arial" w:cs="Arial" w:eastAsia="Arial" w:hAnsi="Arial"/>
                <w:sz w:val="18"/>
                <w:szCs w:val="18"/>
                <w:color w:val="auto"/>
              </w:rPr>
              <w:t>10,178.3</w:t>
            </w:r>
          </w:p>
        </w:tc>
        <w:tc>
          <w:tcPr>
            <w:tcW w:w="600" w:type="dxa"/>
            <w:vAlign w:val="bottom"/>
          </w:tcPr>
          <w:p>
            <w:pPr>
              <w:spacing w:after="0"/>
              <w:rPr>
                <w:sz w:val="20"/>
                <w:szCs w:val="20"/>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7,278.0</w:t>
            </w:r>
          </w:p>
        </w:tc>
      </w:tr>
      <w:tr>
        <w:trPr>
          <w:trHeight w:val="23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1,421.2</w:t>
            </w:r>
          </w:p>
        </w:tc>
        <w:tc>
          <w:tcPr>
            <w:tcW w:w="96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819.5</w:t>
            </w:r>
          </w:p>
        </w:tc>
        <w:tc>
          <w:tcPr>
            <w:tcW w:w="60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482.6</w:t>
            </w: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165.8</w:t>
            </w:r>
          </w:p>
        </w:tc>
        <w:tc>
          <w:tcPr>
            <w:tcW w:w="960" w:type="dxa"/>
            <w:vAlign w:val="bottom"/>
          </w:tcPr>
          <w:p>
            <w:pPr>
              <w:spacing w:after="0"/>
              <w:rPr>
                <w:sz w:val="19"/>
                <w:szCs w:val="19"/>
                <w:color w:val="auto"/>
              </w:rPr>
            </w:pPr>
          </w:p>
        </w:tc>
        <w:tc>
          <w:tcPr>
            <w:tcW w:w="1800" w:type="dxa"/>
            <w:vAlign w:val="bottom"/>
          </w:tcPr>
          <w:p>
            <w:pPr>
              <w:jc w:val="right"/>
              <w:ind w:right="691"/>
              <w:spacing w:after="0"/>
              <w:rPr>
                <w:sz w:val="20"/>
                <w:szCs w:val="20"/>
                <w:color w:val="auto"/>
              </w:rPr>
            </w:pPr>
            <w:r>
              <w:rPr>
                <w:rFonts w:ascii="Arial" w:cs="Arial" w:eastAsia="Arial" w:hAnsi="Arial"/>
                <w:sz w:val="18"/>
                <w:szCs w:val="18"/>
                <w:color w:val="auto"/>
              </w:rPr>
              <w:t>82.2</w:t>
            </w:r>
          </w:p>
        </w:tc>
        <w:tc>
          <w:tcPr>
            <w:tcW w:w="600" w:type="dxa"/>
            <w:vAlign w:val="bottom"/>
          </w:tcPr>
          <w:p>
            <w:pPr>
              <w:spacing w:after="0"/>
              <w:rPr>
                <w:sz w:val="19"/>
                <w:szCs w:val="19"/>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83.6</w:t>
            </w:r>
          </w:p>
        </w:tc>
      </w:tr>
      <w:tr>
        <w:trPr>
          <w:trHeight w:val="243"/>
        </w:trPr>
        <w:tc>
          <w:tcPr>
            <w:tcW w:w="382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9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22,136.5</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11,080.8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7,844.2</w:t>
            </w:r>
          </w:p>
        </w:tc>
      </w:tr>
    </w:tbl>
    <w:p>
      <w:pPr>
        <w:spacing w:after="0" w:line="8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As of June 30, 2023 and December 31, 2022, represents the planned retirement of Evergy Kansas Central analog meters prior to the end of their remaining useful lives.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6" w:lineRule="exact"/>
        <w:rPr>
          <w:sz w:val="20"/>
          <w:szCs w:val="20"/>
          <w:color w:val="auto"/>
        </w:rPr>
      </w:pPr>
    </w:p>
    <w:p>
      <w:pPr>
        <w:ind w:right="300"/>
        <w:spacing w:after="0" w:line="279" w:lineRule="auto"/>
        <w:rPr>
          <w:sz w:val="20"/>
          <w:szCs w:val="20"/>
          <w:color w:val="auto"/>
        </w:rPr>
      </w:pPr>
      <w:r>
        <w:rPr>
          <w:rFonts w:ascii="Arial" w:cs="Arial" w:eastAsia="Arial" w:hAnsi="Arial"/>
          <w:sz w:val="19"/>
          <w:szCs w:val="19"/>
          <w:color w:val="auto"/>
        </w:rPr>
        <w:t>For the three months ended and year to date June 30, 2022, Evergy's investment earnings (loss) included a pre-tax loss of $2.1 million and $16.3 million, respectively, related to Evergy's equity investment in an early-stage energy solutions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3"/>
          </w:tcPr>
          <w:p>
            <w:pPr>
              <w:jc w:val="right"/>
              <w:ind w:right="70"/>
              <w:spacing w:after="0" w:line="202" w:lineRule="exact"/>
              <w:rPr>
                <w:sz w:val="20"/>
                <w:szCs w:val="20"/>
                <w:color w:val="auto"/>
              </w:rPr>
            </w:pPr>
            <w:r>
              <w:rPr>
                <w:rFonts w:ascii="Arial" w:cs="Arial" w:eastAsia="Arial" w:hAnsi="Arial"/>
                <w:sz w:val="18"/>
                <w:szCs w:val="18"/>
                <w:b w:val="1"/>
                <w:bCs w:val="1"/>
                <w:color w:val="auto"/>
              </w:rPr>
              <w:t>Three Months Ended</w:t>
            </w:r>
          </w:p>
        </w:tc>
        <w:tc>
          <w:tcPr>
            <w:tcW w:w="5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00" w:type="dxa"/>
            <w:vAlign w:val="bottom"/>
            <w:tcBorders>
              <w:top w:val="single" w:sz="8" w:color="auto"/>
            </w:tcBorders>
          </w:tcPr>
          <w:p>
            <w:pPr>
              <w:spacing w:after="0"/>
              <w:rPr>
                <w:sz w:val="17"/>
                <w:szCs w:val="17"/>
                <w:color w:val="auto"/>
              </w:rPr>
            </w:pPr>
          </w:p>
        </w:tc>
      </w:tr>
      <w:tr>
        <w:trPr>
          <w:trHeight w:val="225"/>
        </w:trPr>
        <w:tc>
          <w:tcPr>
            <w:tcW w:w="5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9"/>
                <w:szCs w:val="19"/>
                <w:color w:val="auto"/>
              </w:rPr>
            </w:pPr>
          </w:p>
        </w:tc>
      </w:tr>
      <w:tr>
        <w:trPr>
          <w:trHeight w:val="241"/>
        </w:trPr>
        <w:tc>
          <w:tcPr>
            <w:tcW w:w="5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6"/>
                <w:szCs w:val="16"/>
                <w:color w:val="auto"/>
              </w:rPr>
              <w:t>(millions)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(16.0)</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(17.9)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37"/>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(21.0)</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(22.9)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5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10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(10.1)</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6"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To compute basic earnings per share (EPS), Evergy divides net income attributable to Evergy, Inc. by the weighted average number of common shares outstanding. Diluted EPS includes the effect of issuable common shares resulting from restricted share units (RSUs), restricted stock and a warrant. Evergy computes the dilutive effects of potential issuances of common shares using the treasury stock method or the contingently issuable share method, as applicable.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3"/>
          </w:tcPr>
          <w:p>
            <w:pPr>
              <w:jc w:val="right"/>
              <w:ind w:right="471"/>
              <w:spacing w:after="0" w:line="202" w:lineRule="exact"/>
              <w:rPr>
                <w:sz w:val="20"/>
                <w:szCs w:val="20"/>
                <w:color w:val="auto"/>
              </w:rPr>
            </w:pPr>
            <w:r>
              <w:rPr>
                <w:rFonts w:ascii="Arial" w:cs="Arial" w:eastAsia="Arial" w:hAnsi="Arial"/>
                <w:sz w:val="18"/>
                <w:szCs w:val="18"/>
                <w:b w:val="1"/>
                <w:bCs w:val="1"/>
                <w:color w:val="auto"/>
              </w:rPr>
              <w:t>Three Months Ended</w:t>
            </w:r>
          </w:p>
        </w:tc>
        <w:tc>
          <w:tcPr>
            <w:tcW w:w="3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25"/>
        </w:trPr>
        <w:tc>
          <w:tcPr>
            <w:tcW w:w="5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3"/>
          </w:tcPr>
          <w:p>
            <w:pPr>
              <w:jc w:val="right"/>
              <w:ind w:right="1011"/>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9"/>
                <w:szCs w:val="19"/>
                <w:color w:val="auto"/>
              </w:rPr>
            </w:pPr>
          </w:p>
        </w:tc>
        <w:tc>
          <w:tcPr>
            <w:tcW w:w="15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r>
      <w:tr>
        <w:trPr>
          <w:trHeight w:val="241"/>
        </w:trPr>
        <w:tc>
          <w:tcPr>
            <w:tcW w:w="5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2022</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3"/>
          </w:tcPr>
          <w:p>
            <w:pPr>
              <w:jc w:val="right"/>
              <w:ind w:right="110"/>
              <w:spacing w:after="0"/>
              <w:rPr>
                <w:sz w:val="20"/>
                <w:szCs w:val="20"/>
                <w:color w:val="auto"/>
              </w:rPr>
            </w:pPr>
            <w:r>
              <w:rPr>
                <w:rFonts w:ascii="Arial" w:cs="Arial" w:eastAsia="Arial" w:hAnsi="Arial"/>
                <w:sz w:val="16"/>
                <w:szCs w:val="16"/>
                <w:color w:val="auto"/>
                <w:w w:val="91"/>
              </w:rPr>
              <w:t>(millions, except per share amounts)</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197.6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327.9</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r>
      <w:tr>
        <w:trPr>
          <w:trHeight w:val="243"/>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5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194.5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321.7</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230.1</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229.9</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5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effect of dilutive securities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number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230.4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32"/>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Basic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0.85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41"/>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0.84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bl>
    <w:p>
      <w:pPr>
        <w:spacing w:after="0" w:line="280" w:lineRule="exact"/>
        <w:rPr>
          <w:sz w:val="20"/>
          <w:szCs w:val="20"/>
          <w:color w:val="auto"/>
        </w:rPr>
      </w:pPr>
    </w:p>
    <w:p>
      <w:pPr>
        <w:ind w:right="220"/>
        <w:spacing w:after="0" w:line="274" w:lineRule="auto"/>
        <w:rPr>
          <w:sz w:val="20"/>
          <w:szCs w:val="20"/>
          <w:color w:val="auto"/>
        </w:rPr>
      </w:pPr>
      <w:r>
        <w:rPr>
          <w:rFonts w:ascii="Arial" w:cs="Arial" w:eastAsia="Arial" w:hAnsi="Arial"/>
          <w:sz w:val="20"/>
          <w:szCs w:val="20"/>
          <w:color w:val="auto"/>
        </w:rPr>
        <w:t>Anti-dilutive securities excluded from the computation of diluted EPS for the three months ended and year to date June 30, 2023 and 2022, were 3,950,000 common shares issuable pursuant to a warrant.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 August 2023, Evergy's Board of Directors (Evergy Board) declared a quarterly dividend of $0.6125 per share on Evergy's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 common dividend is payable on September 20, 2023, to shareholders of record as of August 21, 2023.</w:t>
      </w:r>
    </w:p>
    <w:p>
      <w:pPr>
        <w:spacing w:after="0" w:line="208" w:lineRule="exact"/>
        <w:rPr>
          <w:sz w:val="20"/>
          <w:szCs w:val="20"/>
          <w:color w:val="auto"/>
        </w:rPr>
      </w:pPr>
    </w:p>
    <w:p>
      <w:pPr>
        <w:ind w:right="320"/>
        <w:spacing w:after="0" w:line="274" w:lineRule="auto"/>
        <w:rPr>
          <w:sz w:val="20"/>
          <w:szCs w:val="20"/>
          <w:color w:val="auto"/>
        </w:rPr>
      </w:pPr>
      <w:r>
        <w:rPr>
          <w:rFonts w:ascii="Arial" w:cs="Arial" w:eastAsia="Arial" w:hAnsi="Arial"/>
          <w:sz w:val="20"/>
          <w:szCs w:val="20"/>
          <w:color w:val="auto"/>
        </w:rPr>
        <w:t>In August 2023, Evergy Metro's Board of Directors declared a cash dividend to Evergy of up to $175.0 million, payable on September 19, 2023 or such other date as determined necessary, proper, or advisable.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20" w:type="dxa"/>
            <w:vAlign w:val="bottom"/>
          </w:tcPr>
          <w:p>
            <w:pPr>
              <w:spacing w:after="0"/>
              <w:rPr>
                <w:sz w:val="19"/>
                <w:szCs w:val="19"/>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r>
      <w:tr>
        <w:trPr>
          <w:trHeight w:val="243"/>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238.6</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2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7"/>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120.1</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6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r>
      <w:tr>
        <w:trPr>
          <w:trHeight w:val="227"/>
        </w:trPr>
        <w:tc>
          <w:tcPr>
            <w:tcW w:w="4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52.2</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40" w:type="dxa"/>
            <w:vAlign w:val="bottom"/>
          </w:tcPr>
          <w:p>
            <w:pPr>
              <w:spacing w:after="0"/>
              <w:rPr>
                <w:sz w:val="20"/>
                <w:szCs w:val="20"/>
                <w:color w:val="auto"/>
              </w:rPr>
            </w:pPr>
          </w:p>
        </w:tc>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58.6</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20"/>
                <w:szCs w:val="20"/>
                <w:color w:val="auto"/>
              </w:rPr>
            </w:pPr>
          </w:p>
        </w:tc>
      </w:tr>
      <w:tr>
        <w:trPr>
          <w:trHeight w:val="453"/>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r>
      <w:tr>
        <w:trPr>
          <w:trHeight w:val="23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20"/>
                <w:szCs w:val="20"/>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40" w:type="dxa"/>
            <w:vAlign w:val="bottom"/>
            <w:shd w:val="clear" w:color="auto" w:fill="CCEEFF"/>
          </w:tcPr>
          <w:p>
            <w:pPr>
              <w:spacing w:after="0"/>
              <w:rPr>
                <w:sz w:val="20"/>
                <w:szCs w:val="20"/>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r>
      <w:tr>
        <w:trPr>
          <w:trHeight w:val="24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1"/>
                <w:szCs w:val="2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Borders>
              <w:bottom w:val="single" w:sz="8" w:color="auto"/>
            </w:tcBorders>
            <w:shd w:val="clear" w:color="auto" w:fill="CCEEFF"/>
          </w:tcPr>
          <w:p>
            <w:pPr>
              <w:spacing w:after="0"/>
              <w:rPr>
                <w:sz w:val="20"/>
                <w:szCs w:val="20"/>
                <w:color w:val="auto"/>
              </w:rPr>
            </w:pPr>
          </w:p>
        </w:tc>
        <w:tc>
          <w:tcPr>
            <w:tcW w:w="6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41.5</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Generation Investment</w:t>
      </w:r>
    </w:p>
    <w:p>
      <w:pPr>
        <w:spacing w:after="0" w:line="8" w:lineRule="exact"/>
        <w:rPr>
          <w:sz w:val="20"/>
          <w:szCs w:val="20"/>
          <w:color w:val="auto"/>
        </w:rPr>
      </w:pPr>
    </w:p>
    <w:p>
      <w:pPr>
        <w:ind w:right="180"/>
        <w:spacing w:after="0" w:line="243" w:lineRule="auto"/>
        <w:rPr>
          <w:sz w:val="20"/>
          <w:szCs w:val="20"/>
          <w:color w:val="auto"/>
        </w:rPr>
      </w:pPr>
      <w:r>
        <w:rPr>
          <w:rFonts w:ascii="Arial" w:cs="Arial" w:eastAsia="Arial" w:hAnsi="Arial"/>
          <w:sz w:val="19"/>
          <w:szCs w:val="19"/>
          <w:color w:val="auto"/>
        </w:rPr>
        <w:t>In August 2022, Evergy Missouri West entered into an agreement with a renewable energy development company to purchase Persimmon Creek Wind Farm 1, LLC (Persimmon Creek), an operational wind farm located in the state of Oklahoma with a generating capacity of approximately 199 MW, for approximately $250 million. Pursuant to the agreement, Evergy Missouri West was permitted to assign its right to purchase Persimmon Creek to another entity, including to other Evergy affiliated companies.</w:t>
      </w:r>
    </w:p>
    <w:p>
      <w:pPr>
        <w:spacing w:after="0" w:line="20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Evergy Missouri West's purchase was subject to regulatory approvals and closing conditions, including the granting of a Certificate of Convenience and Necessity (CCN) by the Public Service Commission of the State of Missouri (MPSC). In April 2023, the MPSC issued a final order granting the CCN pursuant to certain conditions related to the sharing of operational costs between ratepayers and shareholders. In May 2023, Evergy Missouri West assigned its right to purchase Persimmon Creek to Evergy Kansas Central and Evergy Kansas Central closed on the purchase of Persimmon Creek for $220.9 million, including costs incidental to the purchase of the plant. Evergy Kansas Central included the purchase of Persimmon Creek in its rate case application to the State Corporation Commission of the State of Kansas (KCC) which was filed in April 2023. The addition of Persimmon Creek is consistent with the preferred plan identified through Evergy Kansas Central’s integrated resource plan filed with the KCC in June 2023, which identified it as part of the lowest-cost resource plan to serve customers. See Note 4 for additional information on Evergy Kansas Central's rate case proceeding.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center"/>
              <w:ind w:right="171"/>
              <w:spacing w:after="0" w:line="196" w:lineRule="exact"/>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left="350"/>
              <w:spacing w:after="0" w:line="196" w:lineRule="exact"/>
              <w:rPr>
                <w:sz w:val="20"/>
                <w:szCs w:val="20"/>
                <w:color w:val="auto"/>
              </w:rPr>
            </w:pPr>
            <w:r>
              <w:rPr>
                <w:rFonts w:ascii="Arial" w:cs="Arial" w:eastAsia="Arial" w:hAnsi="Arial"/>
                <w:sz w:val="18"/>
                <w:szCs w:val="18"/>
                <w:b w:val="1"/>
                <w:bCs w:val="1"/>
                <w:color w:val="auto"/>
                <w:w w:val="89"/>
              </w:rPr>
              <w:t>Year to Date</w:t>
            </w:r>
          </w:p>
        </w:tc>
        <w:tc>
          <w:tcPr>
            <w:tcW w:w="900" w:type="dxa"/>
            <w:vAlign w:val="bottom"/>
            <w:tcBorders>
              <w:top w:val="single" w:sz="8" w:color="auto"/>
            </w:tcBorders>
          </w:tcPr>
          <w:p>
            <w:pPr>
              <w:spacing w:after="0"/>
              <w:rPr>
                <w:sz w:val="17"/>
                <w:szCs w:val="17"/>
                <w:color w:val="auto"/>
              </w:rPr>
            </w:pPr>
          </w:p>
        </w:tc>
      </w:tr>
      <w:tr>
        <w:trPr>
          <w:trHeight w:val="225"/>
        </w:trPr>
        <w:tc>
          <w:tcPr>
            <w:tcW w:w="5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9"/>
              </w:rPr>
              <w:t>June 30</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6"/>
              </w:rPr>
              <w:t>June 30</w:t>
            </w:r>
          </w:p>
        </w:tc>
        <w:tc>
          <w:tcPr>
            <w:tcW w:w="900" w:type="dxa"/>
            <w:vAlign w:val="bottom"/>
          </w:tcPr>
          <w:p>
            <w:pPr>
              <w:spacing w:after="0"/>
              <w:rPr>
                <w:sz w:val="19"/>
                <w:szCs w:val="19"/>
                <w:color w:val="auto"/>
              </w:rPr>
            </w:pPr>
          </w:p>
        </w:tc>
      </w:tr>
      <w:tr>
        <w:trPr>
          <w:trHeight w:val="241"/>
        </w:trPr>
        <w:tc>
          <w:tcPr>
            <w:tcW w:w="5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2023</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2022</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492.7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951.3</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460.7</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465.5</w:t>
            </w:r>
          </w:p>
        </w:tc>
        <w:tc>
          <w:tcPr>
            <w:tcW w:w="4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890.7</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868.6</w:t>
            </w:r>
          </w:p>
        </w:tc>
      </w:tr>
      <w:tr>
        <w:trPr>
          <w:trHeight w:val="243"/>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157.3</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316.4</w:t>
            </w: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Other retail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1,119.6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2,178.6</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2,173.0</w:t>
            </w:r>
          </w:p>
        </w:tc>
      </w:tr>
      <w:tr>
        <w:trPr>
          <w:trHeight w:val="237"/>
        </w:trPr>
        <w:tc>
          <w:tcPr>
            <w:tcW w:w="574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83.1</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w:t>
            </w:r>
          </w:p>
        </w:tc>
        <w:tc>
          <w:tcPr>
            <w:tcW w:w="4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153.5</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3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100.5</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206.3</w:t>
            </w: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Industrial steam and 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37"/>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1,309.0</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2,555.9</w:t>
            </w: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2,514.1</w:t>
            </w: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45.2</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95.1</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1,354.2</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2,651.0</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2,670.4</w:t>
            </w:r>
          </w:p>
        </w:tc>
      </w:tr>
      <w:tr>
        <w:trPr>
          <w:trHeight w:val="56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84"/>
        </w:trPr>
        <w:tc>
          <w:tcPr>
            <w:tcW w:w="5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center"/>
              <w:ind w:right="171"/>
              <w:spacing w:after="0" w:line="184" w:lineRule="exact"/>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6"/>
                <w:szCs w:val="16"/>
                <w:color w:val="auto"/>
              </w:rPr>
            </w:pPr>
          </w:p>
        </w:tc>
        <w:tc>
          <w:tcPr>
            <w:tcW w:w="1500" w:type="dxa"/>
            <w:vAlign w:val="bottom"/>
            <w:gridSpan w:val="2"/>
          </w:tcPr>
          <w:p>
            <w:pPr>
              <w:jc w:val="center"/>
              <w:ind w:left="350"/>
              <w:spacing w:after="0" w:line="184" w:lineRule="exact"/>
              <w:rPr>
                <w:sz w:val="20"/>
                <w:szCs w:val="20"/>
                <w:color w:val="auto"/>
              </w:rPr>
            </w:pPr>
            <w:r>
              <w:rPr>
                <w:rFonts w:ascii="Arial" w:cs="Arial" w:eastAsia="Arial" w:hAnsi="Arial"/>
                <w:sz w:val="18"/>
                <w:szCs w:val="18"/>
                <w:b w:val="1"/>
                <w:bCs w:val="1"/>
                <w:color w:val="auto"/>
                <w:w w:val="89"/>
              </w:rPr>
              <w:t>Year to Date</w:t>
            </w:r>
          </w:p>
        </w:tc>
        <w:tc>
          <w:tcPr>
            <w:tcW w:w="900" w:type="dxa"/>
            <w:vAlign w:val="bottom"/>
          </w:tcPr>
          <w:p>
            <w:pPr>
              <w:spacing w:after="0"/>
              <w:rPr>
                <w:sz w:val="16"/>
                <w:szCs w:val="16"/>
                <w:color w:val="auto"/>
              </w:rPr>
            </w:pPr>
          </w:p>
        </w:tc>
      </w:tr>
      <w:tr>
        <w:trPr>
          <w:trHeight w:val="229"/>
        </w:trPr>
        <w:tc>
          <w:tcPr>
            <w:tcW w:w="5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9"/>
              </w:rPr>
              <w:t>June 30</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6"/>
              </w:rPr>
              <w:t>June 30</w:t>
            </w:r>
          </w:p>
        </w:tc>
        <w:tc>
          <w:tcPr>
            <w:tcW w:w="900" w:type="dxa"/>
            <w:vAlign w:val="bottom"/>
          </w:tcPr>
          <w:p>
            <w:pPr>
              <w:spacing w:after="0"/>
              <w:rPr>
                <w:sz w:val="19"/>
                <w:szCs w:val="19"/>
                <w:color w:val="auto"/>
              </w:rPr>
            </w:pPr>
          </w:p>
        </w:tc>
      </w:tr>
      <w:tr>
        <w:trPr>
          <w:trHeight w:val="234"/>
        </w:trPr>
        <w:tc>
          <w:tcPr>
            <w:tcW w:w="5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2023</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2022</w:t>
            </w:r>
          </w:p>
        </w:tc>
      </w:tr>
      <w:tr>
        <w:trPr>
          <w:trHeight w:val="234"/>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3"/>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192.3</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384.4</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180.7</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193.7</w:t>
            </w:r>
          </w:p>
        </w:tc>
        <w:tc>
          <w:tcPr>
            <w:tcW w:w="4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358.8</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r>
      <w:tr>
        <w:trPr>
          <w:trHeight w:val="243"/>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98.2</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206.7</w:t>
            </w: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Other retail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6.8</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473.7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956.7</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r>
      <w:tr>
        <w:trPr>
          <w:trHeight w:val="237"/>
        </w:trPr>
        <w:tc>
          <w:tcPr>
            <w:tcW w:w="574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58.8</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w:t>
            </w:r>
          </w:p>
        </w:tc>
        <w:tc>
          <w:tcPr>
            <w:tcW w:w="4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126.4</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3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96.6</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197.2</w:t>
            </w: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3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629.1</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1,282.0</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w:t>
            </w: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36.2</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639.6</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1,318.2</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gridSpan w:val="3"/>
          </w:tcPr>
          <w:p>
            <w:pPr>
              <w:jc w:val="right"/>
              <w:ind w:right="411"/>
              <w:spacing w:after="0" w:line="182" w:lineRule="exact"/>
              <w:rPr>
                <w:sz w:val="20"/>
                <w:szCs w:val="20"/>
                <w:color w:val="auto"/>
              </w:rPr>
            </w:pPr>
            <w:r>
              <w:rPr>
                <w:rFonts w:ascii="Arial" w:cs="Arial" w:eastAsia="Arial" w:hAnsi="Arial"/>
                <w:sz w:val="18"/>
                <w:szCs w:val="18"/>
                <w:b w:val="1"/>
                <w:bCs w:val="1"/>
                <w:color w:val="auto"/>
              </w:rPr>
              <w:t>Three Months Ended</w:t>
            </w:r>
          </w:p>
        </w:tc>
        <w:tc>
          <w:tcPr>
            <w:tcW w:w="8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w w:val="98"/>
              </w:rPr>
              <w:t>Year to Date</w:t>
            </w:r>
          </w:p>
        </w:tc>
        <w:tc>
          <w:tcPr>
            <w:tcW w:w="900" w:type="dxa"/>
            <w:vAlign w:val="bottom"/>
            <w:tcBorders>
              <w:top w:val="single" w:sz="8" w:color="auto"/>
            </w:tcBorders>
          </w:tcPr>
          <w:p>
            <w:pPr>
              <w:spacing w:after="0"/>
              <w:rPr>
                <w:sz w:val="15"/>
                <w:szCs w:val="15"/>
                <w:color w:val="auto"/>
              </w:rPr>
            </w:pP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r>
      <w:tr>
        <w:trPr>
          <w:trHeight w:val="238"/>
        </w:trPr>
        <w:tc>
          <w:tcPr>
            <w:tcW w:w="5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right"/>
              <w:ind w:right="310"/>
              <w:spacing w:after="0"/>
              <w:rPr>
                <w:sz w:val="20"/>
                <w:szCs w:val="20"/>
                <w:color w:val="auto"/>
              </w:rPr>
            </w:pPr>
            <w:r>
              <w:rPr>
                <w:rFonts w:ascii="Arial" w:cs="Arial" w:eastAsia="Arial" w:hAnsi="Arial"/>
                <w:sz w:val="16"/>
                <w:szCs w:val="16"/>
                <w:color w:val="auto"/>
              </w:rPr>
              <w:t>(millions)</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186.0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344.0</w:t>
            </w:r>
          </w:p>
        </w:tc>
        <w:tc>
          <w:tcPr>
            <w:tcW w:w="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197.3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194.1</w:t>
            </w:r>
          </w:p>
        </w:tc>
        <w:tc>
          <w:tcPr>
            <w:tcW w:w="84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373.2</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367.7</w:t>
            </w: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63.4</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43"/>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421.7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786.7</w:t>
            </w:r>
          </w:p>
        </w:tc>
        <w:tc>
          <w:tcPr>
            <w:tcW w:w="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25.9</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84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37.3</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450.9</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833.5</w:t>
            </w:r>
          </w:p>
        </w:tc>
        <w:tc>
          <w:tcPr>
            <w:tcW w:w="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r>
      <w:tr>
        <w:trPr>
          <w:trHeight w:val="237"/>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34.4</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8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58.2</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r>
      <w:tr>
        <w:trPr>
          <w:trHeight w:val="236"/>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485.3</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891.7</w:t>
            </w:r>
          </w:p>
        </w:tc>
        <w:tc>
          <w:tcPr>
            <w:tcW w:w="5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RECEIVABLES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5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33"/>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3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80" w:type="dxa"/>
            <w:vAlign w:val="bottom"/>
          </w:tcPr>
          <w:p>
            <w:pPr>
              <w:spacing w:after="0"/>
              <w:rPr>
                <w:sz w:val="20"/>
                <w:szCs w:val="20"/>
                <w:color w:val="auto"/>
              </w:rPr>
            </w:pPr>
          </w:p>
        </w:tc>
      </w:tr>
      <w:tr>
        <w:trPr>
          <w:trHeight w:val="23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13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1360" w:type="dxa"/>
            <w:vAlign w:val="bottom"/>
          </w:tcPr>
          <w:p>
            <w:pPr>
              <w:spacing w:after="0"/>
              <w:rPr>
                <w:sz w:val="19"/>
                <w:szCs w:val="19"/>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w w:val="88"/>
              </w:rPr>
              <w:t>176.6</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4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3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8"/>
              </w:rPr>
              <w:t>159.5</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Allowance for credit losses</w:t>
            </w:r>
          </w:p>
        </w:tc>
        <w:tc>
          <w:tcPr>
            <w:tcW w:w="1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3"/>
              </w:rPr>
              <w:t>(22.6)</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7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321.1</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32"/>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4"/>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13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1360" w:type="dxa"/>
            <w:vAlign w:val="bottom"/>
          </w:tcPr>
          <w:p>
            <w:pPr>
              <w:spacing w:after="0"/>
              <w:rPr>
                <w:sz w:val="19"/>
                <w:szCs w:val="19"/>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60.5</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4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3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8"/>
              </w:rPr>
              <w:t>147.5</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Allowance for credit losses</w:t>
            </w:r>
          </w:p>
        </w:tc>
        <w:tc>
          <w:tcPr>
            <w:tcW w:w="1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3"/>
              </w:rPr>
              <w:t>(11.1)</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7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196.9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r>
      <w:tr>
        <w:trPr>
          <w:trHeight w:val="232"/>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4"/>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13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1360" w:type="dxa"/>
            <w:vAlign w:val="bottom"/>
          </w:tcPr>
          <w:p>
            <w:pPr>
              <w:spacing w:after="0"/>
              <w:rPr>
                <w:sz w:val="19"/>
                <w:szCs w:val="19"/>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60.1</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3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25.5</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1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7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320"/>
        <w:spacing w:after="0" w:line="299" w:lineRule="auto"/>
        <w:rPr>
          <w:sz w:val="20"/>
          <w:szCs w:val="20"/>
          <w:color w:val="auto"/>
        </w:rPr>
      </w:pPr>
      <w:r>
        <w:rPr>
          <w:rFonts w:ascii="Arial" w:cs="Arial" w:eastAsia="Arial" w:hAnsi="Arial"/>
          <w:sz w:val="18"/>
          <w:szCs w:val="18"/>
          <w:color w:val="auto"/>
        </w:rPr>
        <w:t>The Evergy Companies' other receivables as of June 30, 2023 and December 31, 2022,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20" w:type="dxa"/>
            <w:vAlign w:val="bottom"/>
            <w:tcBorders>
              <w:top w:val="single" w:sz="8" w:color="auto"/>
            </w:tcBorders>
          </w:tcPr>
          <w:p>
            <w:pPr>
              <w:spacing w:after="0"/>
              <w:rPr>
                <w:sz w:val="21"/>
                <w:szCs w:val="21"/>
                <w:color w:val="auto"/>
              </w:rPr>
            </w:pPr>
          </w:p>
        </w:tc>
        <w:tc>
          <w:tcPr>
            <w:tcW w:w="4200" w:type="dxa"/>
            <w:vAlign w:val="bottom"/>
            <w:tcBorders>
              <w:top w:val="single" w:sz="8" w:color="auto"/>
            </w:tcBorders>
          </w:tcPr>
          <w:p>
            <w:pPr>
              <w:jc w:val="center"/>
              <w:ind w:left="3390"/>
              <w:spacing w:after="0"/>
              <w:rPr>
                <w:sz w:val="20"/>
                <w:szCs w:val="20"/>
                <w:color w:val="auto"/>
              </w:rPr>
            </w:pPr>
            <w:r>
              <w:rPr>
                <w:rFonts w:ascii="Arial" w:cs="Arial" w:eastAsia="Arial" w:hAnsi="Arial"/>
                <w:sz w:val="18"/>
                <w:szCs w:val="18"/>
                <w:b w:val="1"/>
                <w:bCs w:val="1"/>
                <w:color w:val="auto"/>
                <w:w w:val="89"/>
              </w:rPr>
              <w:t>June 30</w:t>
            </w:r>
          </w:p>
        </w:tc>
        <w:tc>
          <w:tcPr>
            <w:tcW w:w="5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7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06"/>
        </w:trPr>
        <w:tc>
          <w:tcPr>
            <w:tcW w:w="47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80" w:type="dxa"/>
            <w:vAlign w:val="bottom"/>
          </w:tcPr>
          <w:p>
            <w:pPr>
              <w:spacing w:after="0"/>
              <w:rPr>
                <w:sz w:val="17"/>
                <w:szCs w:val="17"/>
                <w:color w:val="auto"/>
              </w:rPr>
            </w:pPr>
          </w:p>
        </w:tc>
      </w:tr>
      <w:tr>
        <w:trPr>
          <w:trHeight w:val="24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2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20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64.9</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37"/>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2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Evergy Companies' allowance for credit losses is summarized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18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4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31.4</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8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w:t>
            </w:r>
          </w:p>
        </w:tc>
        <w:tc>
          <w:tcPr>
            <w:tcW w:w="5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7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June 30</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22.6</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Credit loss expense (income)</w:t>
            </w:r>
          </w:p>
        </w:tc>
        <w:tc>
          <w:tcPr>
            <w:tcW w:w="118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w:t>
            </w:r>
          </w:p>
        </w:tc>
        <w:tc>
          <w:tcPr>
            <w:tcW w:w="5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June 30</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8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June 30</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tcPr>
          <w:p>
            <w:pPr>
              <w:jc w:val="center"/>
              <w:ind w:left="3350"/>
              <w:spacing w:after="0"/>
              <w:rPr>
                <w:sz w:val="20"/>
                <w:szCs w:val="20"/>
                <w:color w:val="auto"/>
              </w:rPr>
            </w:pPr>
            <w:r>
              <w:rPr>
                <w:rFonts w:ascii="Arial" w:cs="Arial" w:eastAsia="Arial" w:hAnsi="Arial"/>
                <w:sz w:val="18"/>
                <w:szCs w:val="18"/>
                <w:b w:val="1"/>
                <w:bCs w:val="1"/>
                <w:color w:val="auto"/>
                <w:w w:val="89"/>
              </w:rPr>
              <w:t>June 30</w:t>
            </w:r>
          </w:p>
        </w:tc>
        <w:tc>
          <w:tcPr>
            <w:tcW w:w="6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December 31</w:t>
            </w:r>
          </w:p>
        </w:tc>
      </w:tr>
      <w:tr>
        <w:trPr>
          <w:trHeight w:val="234"/>
        </w:trPr>
        <w:tc>
          <w:tcPr>
            <w:tcW w:w="46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07"/>
        </w:trPr>
        <w:tc>
          <w:tcPr>
            <w:tcW w:w="46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480" w:type="dxa"/>
            <w:vAlign w:val="bottom"/>
          </w:tcPr>
          <w:p>
            <w:pPr>
              <w:spacing w:after="0"/>
              <w:rPr>
                <w:sz w:val="17"/>
                <w:szCs w:val="17"/>
                <w:color w:val="auto"/>
              </w:rPr>
            </w:pPr>
          </w:p>
        </w:tc>
      </w:tr>
      <w:tr>
        <w:trPr>
          <w:trHeight w:val="24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1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7"/>
              </w:rPr>
              <w:t>347.0</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120" w:type="dxa"/>
            <w:vAlign w:val="bottom"/>
          </w:tcPr>
          <w:p>
            <w:pPr>
              <w:spacing w:after="0"/>
              <w:rPr>
                <w:sz w:val="19"/>
                <w:szCs w:val="19"/>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172.0</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185.0</w:t>
            </w:r>
          </w:p>
        </w:tc>
      </w:tr>
      <w:tr>
        <w:trPr>
          <w:trHeight w:val="23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125.0</w:t>
            </w:r>
          </w:p>
        </w:tc>
        <w:tc>
          <w:tcPr>
            <w:tcW w:w="4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r>
    </w:tbl>
    <w:p>
      <w:pPr>
        <w:spacing w:after="0" w:line="294"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Each receivable sale facility expires in 2024. Evergy Kansas Central's facility allows for $185.0 million in aggregate outstanding principal amount of borrowings from mid-October through mid-June and then $200.0 million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Central's and Evergy Metro's 2023 Rate Case Proceeding</w:t>
      </w:r>
    </w:p>
    <w:p>
      <w:pPr>
        <w:spacing w:after="0" w:line="1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In April 2023, Evergy Kansas Central and Evergy Metro filed applications with the KCC to request increases to their retail revenues of approximately $204 million and $14 million, respectively. Evergy Kansas Central's request reflects a return on equity of 10.25% (with a capital structure composed of 52% equity) and increases related to the recovery of infrastructure investments made to improve reliability and enhance customer service, the inclusion of Evergy Kansas Central's non-regulated 8% of Jeffrey Energy Center (JEC) in rate base and the management of the previously established end to a corporate-owned life insurance program. Evergy Kansas Central is also requesting the inclusion of the cost of Persimmon Creek of approximately $220.9 million. The cost of Persimmon Creek is not included in Evergy Kansas Central's approximately $204 million increase to retail revenue requested in the case but if approved by the KCC, the cost of Persimmon Creek would result in an additional $21.5 million increase to Evergy Kansas Central's retail revenues. The addition of Persimmon Creek is consistent with the preferred plan identified through Evergy Kansas Central's integrated resource plan filed with the KCC in June 2023, which identified it as part of the lowest-cost resource plan to serve customers. Evergy Metro's request reflects a return on equity of 10.25% (with a capital structure composed of 52% equity) and increases related to recovery of infrastructure investments made to improve reliability and enhance customer service. Requests for increases in retail revenues in both proceedings are partially offset by significant customer savings and cost reductions. New rates are expected to be effective in December 2023.</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2023 Transmission Delivery Charge (TDC)</w:t>
      </w:r>
    </w:p>
    <w:p>
      <w:pPr>
        <w:spacing w:after="0" w:line="20"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In April 2023, the KCC issued an order adjusting Evergy Kansas Central's retail prices to include updated transmission costs as reflected in the Federal Energy Regulatory Commission (FERC) transmission formula rate (TFR). The new prices were effective in May 2023 and include the adjustments to the 2023 TFR described under "Evergy Kansas Central TFR Formal Challenge" within this Note 4. The new prices are expected to decrease Evergy Kansas Central's annual retail revenues by $22.3 million when compared to 2022.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2023 TDC</w:t>
      </w:r>
    </w:p>
    <w:p>
      <w:pPr>
        <w:spacing w:after="0" w:line="20"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auto"/>
        </w:rPr>
        <w:t>In April 2023, the KCC issued an order adjusting Evergy Metro's retail prices to include updated transmission costs as reflected in the FERC TFR. The new prices were effective in May 2023 and are expected to increase Evergy Metro's annual retail revenues by $4.0 million when compared to 2022.</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16"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Evergy Kansas Central estimates its 2022 annual earnings did not result in a refund obligation. As of December 31, 2022, Evergy Metro estimated that its 2022 annual earnings resulted in a $16.7 million refund obligation, which was recorded in the fourth quarter of 2022. Evergy Kansas Central and Evergy Metro filed their 2022 ERSP calculations with the KCC in March 2023. As part of these filings, Evergy Metro filed for a lower refund obligation for 2022 of approximately $6 million (compared with its $16.7 million refund obligation estimate) as a result of certain intercompany billings to Evergy Kansas Central. In May 2023, the KCC approved Evergy Metro's application ordering it to refund approximately $6 million.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MPSC Proceedings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February 2021 Winter Weather Event Securitization</w:t>
      </w:r>
    </w:p>
    <w:p>
      <w:pPr>
        <w:spacing w:after="0" w:line="8" w:lineRule="exact"/>
        <w:rPr>
          <w:sz w:val="20"/>
          <w:szCs w:val="20"/>
          <w:color w:val="auto"/>
        </w:rPr>
      </w:pPr>
    </w:p>
    <w:p>
      <w:pPr>
        <w:ind w:right="120"/>
        <w:spacing w:after="0" w:line="313" w:lineRule="auto"/>
        <w:rPr>
          <w:sz w:val="20"/>
          <w:szCs w:val="20"/>
          <w:color w:val="auto"/>
        </w:rPr>
      </w:pPr>
      <w:r>
        <w:rPr>
          <w:rFonts w:ascii="Arial" w:cs="Arial" w:eastAsia="Arial" w:hAnsi="Arial"/>
          <w:sz w:val="18"/>
          <w:szCs w:val="18"/>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w:t>
      </w:r>
    </w:p>
    <w:p>
      <w:pPr>
        <w:spacing w:after="0" w:line="133"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In November 2022, the MPSC issued a revised financing order authorizing Evergy Missouri West to issue securitized bonds to recover its extraordinary fuel and purchased power costs incurred as part of the February 2021 winter weather event. As part of the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 As of June 30, 2023 and December 31, 2022, the value of Evergy Missouri West's February 2021 winter weather event regulatory asset was $316.6 million and $309.0 million, respectively. Evergy Missouri West will continue to record carrying charges on its February 2021 winter weather event regulatory asset until it issues the securitized bonds.</w:t>
      </w:r>
    </w:p>
    <w:p>
      <w:pPr>
        <w:spacing w:after="0" w:line="160" w:lineRule="exact"/>
        <w:rPr>
          <w:sz w:val="20"/>
          <w:szCs w:val="20"/>
          <w:color w:val="auto"/>
        </w:rPr>
      </w:pPr>
    </w:p>
    <w:p>
      <w:pPr>
        <w:ind w:right="240"/>
        <w:spacing w:after="0" w:line="334" w:lineRule="auto"/>
        <w:rPr>
          <w:sz w:val="20"/>
          <w:szCs w:val="20"/>
          <w:color w:val="auto"/>
        </w:rPr>
      </w:pPr>
      <w:r>
        <w:rPr>
          <w:rFonts w:ascii="Arial" w:cs="Arial" w:eastAsia="Arial" w:hAnsi="Arial"/>
          <w:sz w:val="16"/>
          <w:szCs w:val="16"/>
          <w:color w:val="auto"/>
        </w:rPr>
        <w:t>In January 2023, the Office of the Public Counsel (OPC) filed an appeal with the Missouri Court of Appeals, Western District, challenging the financing order regarding the treatment of income tax deductions, carrying costs and discount rates related to the financing of the extraordinary fuel and purchased power costs incurred as part of the February 2021 winter weather event. A final nonappealable financing order is required prior to the issuance of securitized bonds. With oral arguments scheduled for September 2023, a decision by the Missouri Court of Appeals, Western District, is currently expected in the second half of 2023, though the timeline for the decision is uncertain.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6"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 Annual Update</w:t>
      </w:r>
    </w:p>
    <w:p>
      <w:pPr>
        <w:spacing w:after="0" w:line="20" w:lineRule="exact"/>
        <w:rPr>
          <w:sz w:val="20"/>
          <w:szCs w:val="20"/>
          <w:color w:val="auto"/>
        </w:rPr>
      </w:pPr>
    </w:p>
    <w:p>
      <w:pPr>
        <w:ind w:right="1080"/>
        <w:spacing w:after="0" w:line="253" w:lineRule="auto"/>
        <w:rPr>
          <w:sz w:val="20"/>
          <w:szCs w:val="20"/>
          <w:color w:val="auto"/>
        </w:rPr>
      </w:pPr>
      <w:r>
        <w:rPr>
          <w:rFonts w:ascii="Arial" w:cs="Arial" w:eastAsia="Arial" w:hAnsi="Arial"/>
          <w:sz w:val="20"/>
          <w:szCs w:val="20"/>
          <w:color w:val="auto"/>
        </w:rPr>
        <w:t>In the most recent two years, the updated TFR was expected to adjust Evergy Kansas Central's annual transmission revenues by approximately:</w:t>
      </w:r>
    </w:p>
    <w:p>
      <w:pPr>
        <w:spacing w:after="0" w:line="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$21.7 million decrease effective in March 2023;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$33.2 million increase effective in January 2022.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See "Evergy Kansas Central TFR Formal Challenge" within this Note 4 for more information regarding the March 2023 adjustment.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 Formal Challenge</w:t>
      </w:r>
    </w:p>
    <w:p>
      <w:pPr>
        <w:spacing w:after="0" w:line="16"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In March 2022, certain Evergy Kansas Central TFR customers submitted a formal challenge regarding the implementation of Evergy Kansas Central's TFR, specifically with regards to how Evergy Kansas Central's capital structure was calculated as part of determining the Annual Transmission Revenue Requirement (ATRR). As part of this challenge, the customers requested that Evergy Kansas Central make refunds for over-collections in rate years 2018, 2019, 2020, 2021 and 2022 as a result of the calculation of its capital structure included in the TFR. Evergy Kansas Central disputed that any refunds for 2018 - 2022 were required as Evergy Kansas Central was following its approved TFR formula.</w:t>
      </w:r>
    </w:p>
    <w:p>
      <w:pPr>
        <w:spacing w:after="0" w:line="205"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color w:val="auto"/>
        </w:rPr>
        <w:t>In December 2022, FERC issued an order upholding in part, and denying in part, the formal challenge of Evergy Kansas Central's TFR by certain customers. As a result of this order, Evergy and Evergy Kansas Central recorded a $32.8 million regulatory liability on their consolidated balance sheets as of December 31, 2022 for the estimated refund of TFR revenue over-collections related to the calculation of Evergy Kansas Central's capital structure for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rate years 2018 - 2022. In March 2023, Evergy Kansas Central refiled its annual update to include the refund of the 2020, 2021 and 2022 over-collections as part of its 2023 TFR effective in March 2023. In February 2023, certain Evergy Kansas Central TFR customers submitted a formal challenge requesting the refund of over-collections related to the 2018 and 2019 over-collections. A decision from FERC regarding this challenge is expected later in 2023.</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 Annual Update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two years, the updated TFR was expected to adjust Evergy Metro's annual transmission revenues by approximately:</w:t>
      </w:r>
    </w:p>
    <w:p>
      <w:pPr>
        <w:spacing w:after="0" w:line="137" w:lineRule="exact"/>
        <w:rPr>
          <w:sz w:val="20"/>
          <w:szCs w:val="20"/>
          <w:color w:val="auto"/>
        </w:rPr>
      </w:pP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$8.6 million increase effective in January 2023;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$18.1 million increase effective in January 2022.</w:t>
      </w:r>
    </w:p>
    <w:p>
      <w:pPr>
        <w:spacing w:after="0" w:line="223"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GAAP requires goodwill to be tested for impairment annually and when an event occurs indicating the possibility that an impairment exists. Evergy's impairment test for the $2,336.6 million of goodwill that was recorded as a result of the Great Plains Energy and Evergy Kansas Central merger was conducted as of May 1, 2023.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PENSION PLANS AND POST-RETIREMENT BENEFITS</w:t>
      </w:r>
    </w:p>
    <w:p>
      <w:pPr>
        <w:spacing w:after="0" w:line="127"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Station's (Wolf Creek) defined benefit plans, consisting of Evergy Kansas South's and Evergy Metro's respective 47% ownership shares.</w:t>
      </w: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For the three months ended June 30, 2023, Evergy, Evergy Kansas Central and Evergy Metro recorded pension settlement charges (credits) of ($2.0) million, $0.2 million and ($2.2) million, respectively. Year to date June 30, 2023, Evergy, Evergy Kansas Central and Evergy Metro recorded pension settlement charges (credits) of ($17.9) million, $0.6 million and ($18.5) million, respectively. These settlement charges were the result of accelerated distributions as a result of employee retirements for certain plan participants. Evergy, Evergy Kansas Central and Evergy Metro deferred substantially all of the charges to regulatory assets or regulatory liabilities and expect to recover these amounts over future periods pursuant to regulatory agreements. For the three months ended and year to date June 30, 2022, Evergy, Evergy Kansas Central and Evergy Metro recorded no pension settlement charges.</w:t>
      </w:r>
    </w:p>
    <w:p>
      <w:pPr>
        <w:spacing w:after="0" w:line="175"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9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290"/>
              <w:spacing w:after="0" w:line="184" w:lineRule="exact"/>
              <w:rPr>
                <w:sz w:val="20"/>
                <w:szCs w:val="20"/>
                <w:color w:val="auto"/>
              </w:rPr>
            </w:pPr>
            <w:r>
              <w:rPr>
                <w:rFonts w:ascii="Arial" w:cs="Arial" w:eastAsia="Arial" w:hAnsi="Arial"/>
                <w:sz w:val="18"/>
                <w:szCs w:val="18"/>
                <w:b w:val="1"/>
                <w:bCs w:val="1"/>
                <w:color w:val="auto"/>
                <w:w w:val="93"/>
              </w:rPr>
              <w:t>Evergy</w:t>
            </w:r>
          </w:p>
        </w:tc>
        <w:tc>
          <w:tcPr>
            <w:tcW w:w="220" w:type="dxa"/>
            <w:vAlign w:val="bottom"/>
          </w:tcPr>
          <w:p>
            <w:pPr>
              <w:spacing w:after="0"/>
              <w:rPr>
                <w:sz w:val="16"/>
                <w:szCs w:val="16"/>
                <w:color w:val="auto"/>
              </w:rPr>
            </w:pPr>
          </w:p>
        </w:tc>
        <w:tc>
          <w:tcPr>
            <w:tcW w:w="96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6"/>
              </w:rPr>
              <w:t>Evergy</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0"/>
              <w:spacing w:after="0" w:line="184" w:lineRule="exact"/>
              <w:rPr>
                <w:sz w:val="20"/>
                <w:szCs w:val="20"/>
                <w:color w:val="auto"/>
              </w:rPr>
            </w:pPr>
            <w:r>
              <w:rPr>
                <w:rFonts w:ascii="Arial" w:cs="Arial" w:eastAsia="Arial" w:hAnsi="Arial"/>
                <w:sz w:val="18"/>
                <w:szCs w:val="18"/>
                <w:b w:val="1"/>
                <w:bCs w:val="1"/>
                <w:color w:val="auto"/>
                <w:w w:val="89"/>
              </w:rPr>
              <w:t>Evergy</w:t>
            </w:r>
          </w:p>
        </w:tc>
        <w:tc>
          <w:tcPr>
            <w:tcW w:w="360" w:type="dxa"/>
            <w:vAlign w:val="bottom"/>
          </w:tcPr>
          <w:p>
            <w:pPr>
              <w:spacing w:after="0"/>
              <w:rPr>
                <w:sz w:val="16"/>
                <w:szCs w:val="16"/>
                <w:color w:val="auto"/>
              </w:rPr>
            </w:pPr>
          </w:p>
        </w:tc>
        <w:tc>
          <w:tcPr>
            <w:tcW w:w="8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89"/>
              </w:rPr>
              <w:t>Evergy</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3"/>
              </w:rPr>
              <w:t>Evergy</w:t>
            </w:r>
          </w:p>
        </w:tc>
        <w:tc>
          <w:tcPr>
            <w:tcW w:w="320" w:type="dxa"/>
            <w:vAlign w:val="bottom"/>
          </w:tcPr>
          <w:p>
            <w:pPr>
              <w:spacing w:after="0"/>
              <w:rPr>
                <w:sz w:val="15"/>
                <w:szCs w:val="15"/>
                <w:color w:val="auto"/>
              </w:rPr>
            </w:pPr>
          </w:p>
        </w:tc>
        <w:tc>
          <w:tcPr>
            <w:tcW w:w="102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6"/>
              </w:rPr>
              <w:t>Central</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Central</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3"/>
              </w:rPr>
              <w:t>Metro</w:t>
            </w:r>
          </w:p>
        </w:tc>
        <w:tc>
          <w:tcPr>
            <w:tcW w:w="0" w:type="dxa"/>
            <w:vAlign w:val="bottom"/>
          </w:tcPr>
          <w:p>
            <w:pPr>
              <w:spacing w:after="0"/>
              <w:rPr>
                <w:sz w:val="1"/>
                <w:szCs w:val="1"/>
                <w:color w:val="auto"/>
              </w:rPr>
            </w:pPr>
          </w:p>
        </w:tc>
      </w:tr>
      <w:tr>
        <w:trPr>
          <w:trHeight w:val="227"/>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 loss</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charges (credits)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periodic benefit costs before regulatory</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 Benefits</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9"/>
              </w:rPr>
              <w:t>Evergy</w:t>
            </w:r>
          </w:p>
        </w:tc>
        <w:tc>
          <w:tcPr>
            <w:tcW w:w="220" w:type="dxa"/>
            <w:vAlign w:val="bottom"/>
          </w:tcPr>
          <w:p>
            <w:pPr>
              <w:spacing w:after="0"/>
              <w:rPr>
                <w:sz w:val="15"/>
                <w:szCs w:val="15"/>
                <w:color w:val="auto"/>
              </w:rPr>
            </w:pPr>
          </w:p>
        </w:tc>
        <w:tc>
          <w:tcPr>
            <w:tcW w:w="96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Evergy</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89"/>
              </w:rPr>
              <w:t>Evergy</w:t>
            </w: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170"/>
              <w:spacing w:after="0" w:line="184"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30"/>
              <w:spacing w:after="0" w:line="184" w:lineRule="exact"/>
              <w:rPr>
                <w:sz w:val="20"/>
                <w:szCs w:val="20"/>
                <w:color w:val="auto"/>
              </w:rPr>
            </w:pPr>
            <w:r>
              <w:rPr>
                <w:rFonts w:ascii="Arial" w:cs="Arial" w:eastAsia="Arial" w:hAnsi="Arial"/>
                <w:sz w:val="18"/>
                <w:szCs w:val="18"/>
                <w:b w:val="1"/>
                <w:bCs w:val="1"/>
                <w:color w:val="auto"/>
                <w:w w:val="87"/>
              </w:rPr>
              <w:t>Kansas</w:t>
            </w:r>
          </w:p>
        </w:tc>
        <w:tc>
          <w:tcPr>
            <w:tcW w:w="3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 2023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Evergy</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Central</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Metro</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Evergy</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Central</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3"/>
          </w:tcPr>
          <w:p>
            <w:pPr>
              <w:jc w:val="right"/>
              <w:ind w:right="79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Settlement charges (credits)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8"/>
                <w:szCs w:val="18"/>
                <w:color w:val="auto"/>
                <w:w w:val="94"/>
              </w:rPr>
              <w:t>Net periodic benefit costs before regulatory adjustment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intercompany allocations</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9"/>
              </w:rPr>
              <w:t>Post-Retirement Benefits</w:t>
            </w: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230"/>
              <w:spacing w:after="0" w:line="189" w:lineRule="exact"/>
              <w:rPr>
                <w:sz w:val="20"/>
                <w:szCs w:val="20"/>
                <w:color w:val="auto"/>
              </w:rPr>
            </w:pPr>
            <w:r>
              <w:rPr>
                <w:rFonts w:ascii="Arial" w:cs="Arial" w:eastAsia="Arial" w:hAnsi="Arial"/>
                <w:sz w:val="18"/>
                <w:szCs w:val="18"/>
                <w:b w:val="1"/>
                <w:bCs w:val="1"/>
                <w:color w:val="auto"/>
                <w:w w:val="93"/>
              </w:rPr>
              <w:t>Evergy</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70"/>
              <w:spacing w:after="0" w:line="189" w:lineRule="exact"/>
              <w:rPr>
                <w:sz w:val="20"/>
                <w:szCs w:val="20"/>
                <w:color w:val="auto"/>
              </w:rPr>
            </w:pPr>
            <w:r>
              <w:rPr>
                <w:rFonts w:ascii="Arial" w:cs="Arial" w:eastAsia="Arial" w:hAnsi="Arial"/>
                <w:sz w:val="18"/>
                <w:szCs w:val="18"/>
                <w:b w:val="1"/>
                <w:bCs w:val="1"/>
                <w:color w:val="auto"/>
                <w:w w:val="93"/>
              </w:rPr>
              <w:t>Evergy</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Evergy</w:t>
            </w:r>
          </w:p>
        </w:tc>
        <w:tc>
          <w:tcPr>
            <w:tcW w:w="300" w:type="dxa"/>
            <w:vAlign w:val="bottom"/>
          </w:tcPr>
          <w:p>
            <w:pPr>
              <w:spacing w:after="0"/>
              <w:rPr>
                <w:sz w:val="15"/>
                <w:szCs w:val="15"/>
                <w:color w:val="auto"/>
              </w:rPr>
            </w:pPr>
          </w:p>
        </w:tc>
        <w:tc>
          <w:tcPr>
            <w:tcW w:w="1040" w:type="dxa"/>
            <w:vAlign w:val="bottom"/>
          </w:tcPr>
          <w:p>
            <w:pPr>
              <w:jc w:val="center"/>
              <w:ind w:right="230"/>
              <w:spacing w:after="0" w:line="181"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5"/>
                <w:szCs w:val="15"/>
                <w:color w:val="auto"/>
              </w:rPr>
            </w:pPr>
          </w:p>
        </w:tc>
        <w:tc>
          <w:tcPr>
            <w:tcW w:w="980" w:type="dxa"/>
            <w:vAlign w:val="bottom"/>
          </w:tcPr>
          <w:p>
            <w:pPr>
              <w:jc w:val="center"/>
              <w:ind w:right="211"/>
              <w:spacing w:after="0" w:line="181" w:lineRule="exact"/>
              <w:rPr>
                <w:sz w:val="20"/>
                <w:szCs w:val="20"/>
                <w:color w:val="auto"/>
              </w:rPr>
            </w:pPr>
            <w:r>
              <w:rPr>
                <w:rFonts w:ascii="Arial" w:cs="Arial" w:eastAsia="Arial" w:hAnsi="Arial"/>
                <w:sz w:val="18"/>
                <w:szCs w:val="18"/>
                <w:b w:val="1"/>
                <w:bCs w:val="1"/>
                <w:color w:val="auto"/>
                <w:w w:val="93"/>
              </w:rPr>
              <w:t>Evergy</w:t>
            </w:r>
          </w:p>
        </w:tc>
        <w:tc>
          <w:tcPr>
            <w:tcW w:w="34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9"/>
              </w:rPr>
              <w:t>Evergy</w:t>
            </w:r>
          </w:p>
        </w:tc>
        <w:tc>
          <w:tcPr>
            <w:tcW w:w="26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87"/>
              </w:rPr>
              <w:t>Kansas</w:t>
            </w:r>
          </w:p>
        </w:tc>
        <w:tc>
          <w:tcPr>
            <w:tcW w:w="340" w:type="dxa"/>
            <w:vAlign w:val="bottom"/>
          </w:tcPr>
          <w:p>
            <w:pPr>
              <w:spacing w:after="0"/>
              <w:rPr>
                <w:sz w:val="15"/>
                <w:szCs w:val="15"/>
                <w:color w:val="auto"/>
              </w:rPr>
            </w:pPr>
          </w:p>
        </w:tc>
        <w:tc>
          <w:tcPr>
            <w:tcW w:w="84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89"/>
              </w:rPr>
              <w:t>Evergy</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6"/>
              </w:rPr>
              <w:t>Central</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97"/>
              </w:rPr>
              <w:t>Metro</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7"/>
              </w:rPr>
              <w:t>Metro</w:t>
            </w:r>
          </w:p>
        </w:tc>
        <w:tc>
          <w:tcPr>
            <w:tcW w:w="0" w:type="dxa"/>
            <w:vAlign w:val="bottom"/>
          </w:tcPr>
          <w:p>
            <w:pPr>
              <w:spacing w:after="0"/>
              <w:rPr>
                <w:sz w:val="1"/>
                <w:szCs w:val="1"/>
                <w:color w:val="auto"/>
              </w:rPr>
            </w:pPr>
          </w:p>
        </w:tc>
      </w:tr>
      <w:tr>
        <w:trPr>
          <w:trHeight w:val="23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3900" w:type="dxa"/>
            <w:vAlign w:val="bottom"/>
          </w:tcPr>
          <w:p>
            <w:pPr>
              <w:ind w:left="20"/>
              <w:spacing w:after="0" w:line="168" w:lineRule="exact"/>
              <w:rPr>
                <w:sz w:val="20"/>
                <w:szCs w:val="20"/>
                <w:color w:val="auto"/>
              </w:rPr>
            </w:pPr>
            <w:r>
              <w:rPr>
                <w:rFonts w:ascii="Arial" w:cs="Arial" w:eastAsia="Arial" w:hAnsi="Arial"/>
                <w:sz w:val="18"/>
                <w:szCs w:val="18"/>
                <w:color w:val="auto"/>
              </w:rPr>
              <w:t>Net periodic benefit costs before regulatory</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44"/>
        </w:trPr>
        <w:tc>
          <w:tcPr>
            <w:tcW w:w="3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Pension Benefits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Post-Retirement Benefits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93"/>
              </w:rPr>
              <w:t>Evergy</w:t>
            </w:r>
          </w:p>
        </w:tc>
        <w:tc>
          <w:tcPr>
            <w:tcW w:w="220" w:type="dxa"/>
            <w:vAlign w:val="bottom"/>
          </w:tcPr>
          <w:p>
            <w:pPr>
              <w:spacing w:after="0"/>
              <w:rPr>
                <w:sz w:val="15"/>
                <w:szCs w:val="15"/>
                <w:color w:val="auto"/>
              </w:rPr>
            </w:pPr>
          </w:p>
        </w:tc>
        <w:tc>
          <w:tcPr>
            <w:tcW w:w="980" w:type="dxa"/>
            <w:vAlign w:val="bottom"/>
            <w:vMerge w:val="restart"/>
          </w:tcPr>
          <w:p>
            <w:pPr>
              <w:jc w:val="center"/>
              <w:ind w:right="171"/>
              <w:spacing w:after="0"/>
              <w:rPr>
                <w:sz w:val="20"/>
                <w:szCs w:val="20"/>
                <w:color w:val="auto"/>
              </w:rPr>
            </w:pPr>
            <w:r>
              <w:rPr>
                <w:rFonts w:ascii="Arial" w:cs="Arial" w:eastAsia="Arial" w:hAnsi="Arial"/>
                <w:sz w:val="18"/>
                <w:szCs w:val="18"/>
                <w:b w:val="1"/>
                <w:bCs w:val="1"/>
                <w:color w:val="auto"/>
                <w:w w:val="93"/>
              </w:rPr>
              <w:t>Evergy</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340" w:type="dxa"/>
            <w:vAlign w:val="bottom"/>
          </w:tcPr>
          <w:p>
            <w:pPr>
              <w:spacing w:after="0"/>
              <w:rPr>
                <w:sz w:val="15"/>
                <w:szCs w:val="15"/>
                <w:color w:val="auto"/>
              </w:rPr>
            </w:pPr>
          </w:p>
        </w:tc>
        <w:tc>
          <w:tcPr>
            <w:tcW w:w="84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9"/>
              </w:rPr>
              <w:t>Evergy</w:t>
            </w:r>
          </w:p>
        </w:tc>
        <w:tc>
          <w:tcPr>
            <w:tcW w:w="0" w:type="dxa"/>
            <w:vAlign w:val="bottom"/>
          </w:tcPr>
          <w:p>
            <w:pPr>
              <w:spacing w:after="0"/>
              <w:rPr>
                <w:sz w:val="1"/>
                <w:szCs w:val="1"/>
                <w:color w:val="auto"/>
              </w:rPr>
            </w:pPr>
          </w:p>
        </w:tc>
      </w:tr>
      <w:tr>
        <w:trPr>
          <w:trHeight w:val="184"/>
        </w:trPr>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90"/>
              <w:spacing w:after="0" w:line="184"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Arial" w:cs="Arial" w:eastAsia="Arial" w:hAnsi="Arial"/>
                <w:sz w:val="18"/>
                <w:szCs w:val="18"/>
                <w:b w:val="1"/>
                <w:bCs w:val="1"/>
                <w:color w:val="auto"/>
                <w:w w:val="87"/>
              </w:rPr>
              <w:t>Kansas</w:t>
            </w:r>
          </w:p>
        </w:tc>
        <w:tc>
          <w:tcPr>
            <w:tcW w:w="3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 2022</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Evergy</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6"/>
              </w:rPr>
              <w:t>Central</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7"/>
              </w:rPr>
              <w:t>Metro</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Evergy</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7"/>
              </w:rPr>
              <w:t>Metro</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2"/>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19.3</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line="169" w:lineRule="exact"/>
              <w:rPr>
                <w:sz w:val="20"/>
                <w:szCs w:val="20"/>
                <w:color w:val="auto"/>
              </w:rPr>
            </w:pPr>
            <w:r>
              <w:rPr>
                <w:rFonts w:ascii="Arial" w:cs="Arial" w:eastAsia="Arial" w:hAnsi="Arial"/>
                <w:sz w:val="18"/>
                <w:szCs w:val="18"/>
                <w:color w:val="auto"/>
              </w:rPr>
              <w:t>Net periodic benefit costs before regulatory</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4"/>
                <w:szCs w:val="14"/>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4"/>
                <w:szCs w:val="14"/>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14"/>
                <w:szCs w:val="1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4"/>
                <w:szCs w:val="14"/>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39.3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63"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Year to date June 30, 2023, Evergy, Evergy Kansas Central and Evergy Metro made pension contributions of $27.0 million, $17.7 million and $9.3 million, respectively. Evergy, Evergy Kansas Central and Evergy Metro do not expect to make additional pension contributions in 2023.</w:t>
      </w:r>
    </w:p>
    <w:p>
      <w:pPr>
        <w:spacing w:after="0" w:line="129" w:lineRule="exact"/>
        <w:rPr>
          <w:sz w:val="20"/>
          <w:szCs w:val="20"/>
          <w:color w:val="auto"/>
        </w:rPr>
      </w:pPr>
    </w:p>
    <w:p>
      <w:pPr>
        <w:jc w:val="both"/>
        <w:ind w:right="360"/>
        <w:spacing w:after="0" w:line="277" w:lineRule="auto"/>
        <w:rPr>
          <w:sz w:val="20"/>
          <w:szCs w:val="20"/>
          <w:color w:val="auto"/>
        </w:rPr>
      </w:pPr>
      <w:r>
        <w:rPr>
          <w:rFonts w:ascii="Arial" w:cs="Arial" w:eastAsia="Arial" w:hAnsi="Arial"/>
          <w:sz w:val="19"/>
          <w:szCs w:val="19"/>
          <w:color w:val="auto"/>
        </w:rPr>
        <w:t>Year to date June 30, 2023, Evergy, Evergy Kansas Central and Evergy Metro made post-retirement benefit contributions of $0.4 million, $0.2 million and $0.2 million, respectively. Evergy, Evergy Kansas Central and Evergy Metro expect to make additional contributions in 2023 of $1.3 million, $0.3 million and $1.0 million, respectively, to the post-retirement benefit plans.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SHORT-TERM BORROWINGS AND SHORT-TERM BANK LINES OF CREDIT</w:t>
      </w:r>
    </w:p>
    <w:p>
      <w:pPr>
        <w:spacing w:after="0" w:line="127"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color w:val="auto"/>
        </w:rPr>
        <w:t>In June 2023, the Evergy Companies extended the expiration date of their $2.5 billion master credit facility from 2026 to 2027.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subject to upward or downward adjustments, within certain limitations, if Evergy achieves, or fails to achieve, certain sustainability-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320"/>
        <w:spacing w:after="0" w:line="274" w:lineRule="auto"/>
        <w:rPr>
          <w:sz w:val="20"/>
          <w:szCs w:val="20"/>
          <w:color w:val="auto"/>
        </w:rPr>
      </w:pPr>
      <w:r>
        <w:rPr>
          <w:rFonts w:ascii="Arial" w:cs="Arial" w:eastAsia="Arial" w:hAnsi="Arial"/>
          <w:sz w:val="20"/>
          <w:szCs w:val="20"/>
          <w:color w:val="auto"/>
        </w:rPr>
        <w:t>linked targets based on two key performance indicator metrics: (i) Non-Emitting Generation Capacity and (ii) Diverse Supplier Spend (as defined in the facility).</w:t>
      </w:r>
    </w:p>
    <w:p>
      <w:pPr>
        <w:spacing w:after="0" w:line="163"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June 30, 2023, Evergy, Evergy Kansas Central, Evergy Metro and Evergy Missouri West were in compliance with this covenant.</w:t>
      </w:r>
    </w:p>
    <w:p>
      <w:pPr>
        <w:spacing w:after="0" w:line="182" w:lineRule="exact"/>
        <w:rPr>
          <w:sz w:val="20"/>
          <w:szCs w:val="20"/>
          <w:color w:val="auto"/>
        </w:rPr>
      </w:pPr>
    </w:p>
    <w:p>
      <w:pPr>
        <w:ind w:right="480"/>
        <w:spacing w:after="0" w:line="274"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3) available to the Evergy Companies as of June 30, 2023 and December 31, 2022.</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Amounts Drawn</w:t>
            </w:r>
          </w:p>
        </w:tc>
        <w:tc>
          <w:tcPr>
            <w:tcW w:w="6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tcPr>
          <w:p>
            <w:pPr>
              <w:jc w:val="center"/>
              <w:ind w:left="130"/>
              <w:spacing w:after="0" w:line="170"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30"/>
              <w:spacing w:after="0" w:line="181" w:lineRule="exact"/>
              <w:rPr>
                <w:sz w:val="20"/>
                <w:szCs w:val="20"/>
                <w:color w:val="auto"/>
              </w:rPr>
            </w:pPr>
            <w:r>
              <w:rPr>
                <w:rFonts w:ascii="Arial" w:cs="Arial" w:eastAsia="Arial" w:hAnsi="Arial"/>
                <w:sz w:val="18"/>
                <w:szCs w:val="18"/>
                <w:b w:val="1"/>
                <w:bCs w:val="1"/>
                <w:color w:val="auto"/>
                <w:w w:val="92"/>
              </w:rPr>
              <w:t>Master Credit</w:t>
            </w:r>
          </w:p>
        </w:tc>
        <w:tc>
          <w:tcPr>
            <w:tcW w:w="160" w:type="dxa"/>
            <w:vAlign w:val="bottom"/>
          </w:tcPr>
          <w:p>
            <w:pPr>
              <w:spacing w:after="0"/>
              <w:rPr>
                <w:sz w:val="15"/>
                <w:szCs w:val="15"/>
                <w:color w:val="auto"/>
              </w:rPr>
            </w:pPr>
          </w:p>
        </w:tc>
        <w:tc>
          <w:tcPr>
            <w:tcW w:w="1160" w:type="dxa"/>
            <w:vAlign w:val="bottom"/>
          </w:tcPr>
          <w:p>
            <w:pPr>
              <w:jc w:val="right"/>
              <w:ind w:right="90"/>
              <w:spacing w:after="0" w:line="181" w:lineRule="exact"/>
              <w:rPr>
                <w:sz w:val="20"/>
                <w:szCs w:val="20"/>
                <w:color w:val="auto"/>
              </w:rPr>
            </w:pPr>
            <w:r>
              <w:rPr>
                <w:rFonts w:ascii="Arial" w:cs="Arial" w:eastAsia="Arial" w:hAnsi="Arial"/>
                <w:sz w:val="18"/>
                <w:szCs w:val="18"/>
                <w:b w:val="1"/>
                <w:bCs w:val="1"/>
                <w:color w:val="auto"/>
                <w:w w:val="93"/>
              </w:rPr>
              <w:t>Commercial</w:t>
            </w:r>
          </w:p>
        </w:tc>
        <w:tc>
          <w:tcPr>
            <w:tcW w:w="27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w w:val="90"/>
              </w:rPr>
              <w:t>Letters of Credit Cash Borrowings</w:t>
            </w:r>
          </w:p>
        </w:tc>
        <w:tc>
          <w:tcPr>
            <w:tcW w:w="160" w:type="dxa"/>
            <w:vAlign w:val="bottom"/>
          </w:tcPr>
          <w:p>
            <w:pPr>
              <w:spacing w:after="0"/>
              <w:rPr>
                <w:sz w:val="15"/>
                <w:szCs w:val="15"/>
                <w:color w:val="auto"/>
              </w:rPr>
            </w:pPr>
          </w:p>
        </w:tc>
        <w:tc>
          <w:tcPr>
            <w:tcW w:w="1180" w:type="dxa"/>
            <w:vAlign w:val="bottom"/>
          </w:tcPr>
          <w:p>
            <w:pPr>
              <w:jc w:val="right"/>
              <w:ind w:right="210"/>
              <w:spacing w:after="0" w:line="181" w:lineRule="exact"/>
              <w:rPr>
                <w:sz w:val="20"/>
                <w:szCs w:val="20"/>
                <w:color w:val="auto"/>
              </w:rPr>
            </w:pPr>
            <w:r>
              <w:rPr>
                <w:rFonts w:ascii="Arial" w:cs="Arial" w:eastAsia="Arial" w:hAnsi="Arial"/>
                <w:sz w:val="18"/>
                <w:szCs w:val="18"/>
                <w:b w:val="1"/>
                <w:bCs w:val="1"/>
                <w:color w:val="auto"/>
              </w:rPr>
              <w:t>Available</w:t>
            </w:r>
          </w:p>
        </w:tc>
        <w:tc>
          <w:tcPr>
            <w:tcW w:w="2060" w:type="dxa"/>
            <w:vAlign w:val="bottom"/>
          </w:tcPr>
          <w:p>
            <w:pPr>
              <w:jc w:val="center"/>
              <w:ind w:left="130"/>
              <w:spacing w:after="0" w:line="181" w:lineRule="exact"/>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Paper</w:t>
            </w:r>
          </w:p>
        </w:tc>
        <w:tc>
          <w:tcPr>
            <w:tcW w:w="2720" w:type="dxa"/>
            <w:vAlign w:val="bottom"/>
            <w:tcBorders>
              <w:bottom w:val="single" w:sz="8" w:color="auto"/>
            </w:tcBorders>
            <w:gridSpan w:val="4"/>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31"/>
              <w:spacing w:after="0"/>
              <w:rPr>
                <w:sz w:val="20"/>
                <w:szCs w:val="20"/>
                <w:color w:val="auto"/>
              </w:rPr>
            </w:pPr>
            <w:r>
              <w:rPr>
                <w:rFonts w:ascii="Arial" w:cs="Arial" w:eastAsia="Arial" w:hAnsi="Arial"/>
                <w:sz w:val="16"/>
                <w:szCs w:val="16"/>
                <w:color w:val="auto"/>
              </w:rPr>
              <w:t>(millions)</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5.30%</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813.8</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185.2</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93"/>
              </w:rPr>
              <w:t>5.43%</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5.32%</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060" w:type="dxa"/>
            <w:vAlign w:val="bottom"/>
            <w:tcBorders>
              <w:bottom w:val="single" w:sz="8" w:color="CCEEFF"/>
            </w:tcBorders>
          </w:tcPr>
          <w:p>
            <w:pPr>
              <w:jc w:val="center"/>
              <w:ind w:left="130"/>
              <w:spacing w:after="0"/>
              <w:rPr>
                <w:sz w:val="20"/>
                <w:szCs w:val="20"/>
                <w:color w:val="auto"/>
              </w:rPr>
            </w:pPr>
            <w:r>
              <w:rPr>
                <w:rFonts w:ascii="Arial" w:cs="Arial" w:eastAsia="Arial" w:hAnsi="Arial"/>
                <w:sz w:val="18"/>
                <w:szCs w:val="18"/>
                <w:color w:val="auto"/>
                <w:w w:val="93"/>
              </w:rPr>
              <w:t>5.40%</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449.3</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4.91%</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239.0</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93"/>
              </w:rPr>
              <w:t>5.02%</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4.84%</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1,332.3</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2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In February 2023, Evergy, Inc. amended a $500.0 million unsecured Term Loan Credit Agreement (Term Loan Facility) that originally expired in February 2023 to extend the expiration date to February 2024. As a result of the amendment, Evergy, Inc. demonstrated its intent and ability to refinance the Term Loan Facility and reflected this $500.0 million borrowing within long-term debt, net, on Evergy's consolidated balance sheet as of December 31, 2022. As of June 30, 2023, Evergy had borrowed $500.0 million under the Term Loan Facility that is reflected within notes payable and commercial paper on Evergy's consolidated balance sheet. Evergy's borrowings under the Term Loan Facility were used for, among other things, working capital, capital expenditures and general corporate purposes.</w:t>
      </w:r>
    </w:p>
    <w:p>
      <w:pPr>
        <w:spacing w:after="0" w:line="159" w:lineRule="exact"/>
        <w:rPr>
          <w:sz w:val="20"/>
          <w:szCs w:val="20"/>
          <w:color w:val="auto"/>
        </w:rPr>
      </w:pPr>
    </w:p>
    <w:p>
      <w:pPr>
        <w:ind w:right="80"/>
        <w:spacing w:after="0" w:line="360" w:lineRule="auto"/>
        <w:rPr>
          <w:sz w:val="20"/>
          <w:szCs w:val="20"/>
          <w:color w:val="auto"/>
        </w:rPr>
      </w:pPr>
      <w:r>
        <w:rPr>
          <w:rFonts w:ascii="Arial" w:cs="Arial" w:eastAsia="Arial" w:hAnsi="Arial"/>
          <w:sz w:val="16"/>
          <w:szCs w:val="16"/>
          <w:color w:val="auto"/>
        </w:rPr>
        <w:t>The weighted average interest rate for borrowings under the Term Loan Facility as of June 30, 2023, was 6.23%. The Term Loan Facility contains customary covenants, including one that sets the ratio of maximum allowed total indebtedness to total capitalization of not greater than 0.65 to 1.00, for Evergy and its subsidiaries on a consolidated basis. As of June 30, 2023, Evergy was in compliance with this covenant.</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Bonds</w:t>
      </w:r>
    </w:p>
    <w:p>
      <w:pPr>
        <w:spacing w:after="0" w:line="22"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In March 2023, Evergy Kansas Central issued, at a discount, $400.0 million of 5.70% First Mortgage Bonds (FMBs), maturing in 2053. The proceeds of the issuance were used to repay commercial paper borrowings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In April 2023, Evergy Metro issued, at a discount, $300.0 million of 4.95% Mortgage Bonds, maturing April 2033. The proceeds of the issuance were used to repay Evergy Metro's commercial paper borrowings which were incurred to repay the $300.0 million principal amount of Evergy Metro's 3.15% Senior Notes that matured in March 2023.</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In May 2023, Evergy Kansas South repaid its $50.0 million of 6.15% FMBs at maturity.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In March 2023, Evergy Metro repaid its $300.0 million of 3.15% Senior Notes at maturity.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DERIVATIVE INSTRUMENTS</w:t>
      </w:r>
    </w:p>
    <w:p>
      <w:pPr>
        <w:spacing w:after="0" w:line="114"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86"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w:t>
      </w:r>
    </w:p>
    <w:p>
      <w:pPr>
        <w:spacing w:after="0" w:line="173" w:lineRule="exact"/>
        <w:rPr>
          <w:sz w:val="20"/>
          <w:szCs w:val="20"/>
          <w:color w:val="auto"/>
        </w:rPr>
      </w:pPr>
    </w:p>
    <w:p>
      <w:pPr>
        <w:jc w:val="both"/>
        <w:ind w:right="340"/>
        <w:spacing w:after="0" w:line="257" w:lineRule="auto"/>
        <w:rPr>
          <w:sz w:val="20"/>
          <w:szCs w:val="20"/>
          <w:color w:val="auto"/>
        </w:rPr>
      </w:pPr>
      <w:r>
        <w:rPr>
          <w:rFonts w:ascii="Arial" w:cs="Arial" w:eastAsia="Arial" w:hAnsi="Arial"/>
          <w:sz w:val="20"/>
          <w:szCs w:val="20"/>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10 for additional information on the 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 customers. Recovery of the actual costs incurred by regulated activities will not impact earnings but will impact cash flows due to the timing 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 operations are recorded in operating revenues on the Evergy Companies' statements of income and comprehensive income.</w:t>
      </w:r>
    </w:p>
    <w:p>
      <w:pPr>
        <w:spacing w:after="0" w:line="20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The gross notional contract amount by commodity type for derivative instruments is summarized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5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jc w:val="right"/>
              <w:ind w:right="831"/>
              <w:spacing w:after="0"/>
              <w:rPr>
                <w:sz w:val="20"/>
                <w:szCs w:val="20"/>
                <w:color w:val="auto"/>
              </w:rPr>
            </w:pPr>
            <w:r>
              <w:rPr>
                <w:rFonts w:ascii="Arial" w:cs="Arial" w:eastAsia="Arial" w:hAnsi="Arial"/>
                <w:sz w:val="18"/>
                <w:szCs w:val="18"/>
                <w:b w:val="1"/>
                <w:bCs w:val="1"/>
                <w:color w:val="auto"/>
              </w:rPr>
              <w:t>June 30</w:t>
            </w: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December 31</w:t>
            </w:r>
          </w:p>
        </w:tc>
      </w:tr>
      <w:tr>
        <w:trPr>
          <w:trHeight w:val="234"/>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2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b w:val="1"/>
                <w:bCs w:val="1"/>
                <w:color w:val="auto"/>
                <w:w w:val="89"/>
              </w:rPr>
              <w:t>Notional volume unit of measure</w:t>
            </w:r>
          </w:p>
        </w:tc>
        <w:tc>
          <w:tcPr>
            <w:tcW w:w="186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31"/>
        </w:trPr>
        <w:tc>
          <w:tcPr>
            <w:tcW w:w="3580" w:type="dxa"/>
            <w:vAlign w:val="bottom"/>
          </w:tcPr>
          <w:p>
            <w:pPr>
              <w:ind w:left="140"/>
              <w:spacing w:after="0"/>
              <w:rPr>
                <w:sz w:val="20"/>
                <w:szCs w:val="20"/>
                <w:color w:val="auto"/>
              </w:rPr>
            </w:pPr>
            <w:r>
              <w:rPr>
                <w:rFonts w:ascii="Arial" w:cs="Arial" w:eastAsia="Arial" w:hAnsi="Arial"/>
                <w:sz w:val="18"/>
                <w:szCs w:val="18"/>
                <w:b w:val="1"/>
                <w:bCs w:val="1"/>
                <w:color w:val="auto"/>
              </w:rPr>
              <w:t>Evergy</w:t>
            </w:r>
          </w:p>
        </w:tc>
        <w:tc>
          <w:tcPr>
            <w:tcW w:w="45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(millions)</w:t>
            </w:r>
          </w:p>
        </w:tc>
        <w:tc>
          <w:tcPr>
            <w:tcW w:w="1280" w:type="dxa"/>
            <w:vAlign w:val="bottom"/>
          </w:tcPr>
          <w:p>
            <w:pPr>
              <w:spacing w:after="0"/>
              <w:rPr>
                <w:sz w:val="20"/>
                <w:szCs w:val="20"/>
                <w:color w:val="auto"/>
              </w:rPr>
            </w:pPr>
          </w:p>
        </w:tc>
      </w:tr>
      <w:tr>
        <w:trPr>
          <w:trHeight w:val="235"/>
        </w:trPr>
        <w:tc>
          <w:tcPr>
            <w:tcW w:w="3580" w:type="dxa"/>
            <w:vAlign w:val="bottom"/>
          </w:tcPr>
          <w:p>
            <w:pPr>
              <w:jc w:val="center"/>
              <w:ind w:right="1450"/>
              <w:spacing w:after="0"/>
              <w:rPr>
                <w:sz w:val="20"/>
                <w:szCs w:val="20"/>
                <w:color w:val="auto"/>
              </w:rPr>
            </w:pPr>
            <w:r>
              <w:rPr>
                <w:rFonts w:ascii="Arial" w:cs="Arial" w:eastAsia="Arial" w:hAnsi="Arial"/>
                <w:sz w:val="18"/>
                <w:szCs w:val="18"/>
                <w:color w:val="auto"/>
                <w:w w:val="92"/>
              </w:rPr>
              <w:t>Commodity contracts</w:t>
            </w:r>
          </w:p>
        </w:tc>
        <w:tc>
          <w:tcPr>
            <w:tcW w:w="4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97"/>
              </w:rPr>
              <w:t>MWhs</w:t>
            </w:r>
          </w:p>
        </w:tc>
        <w:tc>
          <w:tcPr>
            <w:tcW w:w="18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111.8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37"/>
        </w:trPr>
        <w:tc>
          <w:tcPr>
            <w:tcW w:w="3580" w:type="dxa"/>
            <w:vAlign w:val="bottom"/>
          </w:tcPr>
          <w:p>
            <w:pPr>
              <w:ind w:left="360"/>
              <w:spacing w:after="0"/>
              <w:rPr>
                <w:sz w:val="20"/>
                <w:szCs w:val="20"/>
                <w:color w:val="auto"/>
              </w:rPr>
            </w:pPr>
            <w:r>
              <w:rPr>
                <w:rFonts w:ascii="Arial" w:cs="Arial" w:eastAsia="Arial" w:hAnsi="Arial"/>
                <w:sz w:val="18"/>
                <w:szCs w:val="18"/>
                <w:color w:val="auto"/>
              </w:rPr>
              <w:t>Natural gas</w:t>
            </w:r>
          </w:p>
        </w:tc>
        <w:tc>
          <w:tcPr>
            <w:tcW w:w="4520" w:type="dxa"/>
            <w:vAlign w:val="bottom"/>
          </w:tcPr>
          <w:p>
            <w:pPr>
              <w:jc w:val="center"/>
              <w:ind w:left="1250"/>
              <w:spacing w:after="0"/>
              <w:rPr>
                <w:sz w:val="20"/>
                <w:szCs w:val="20"/>
                <w:color w:val="auto"/>
              </w:rPr>
            </w:pPr>
            <w:r>
              <w:rPr>
                <w:rFonts w:ascii="Arial" w:cs="Arial" w:eastAsia="Arial" w:hAnsi="Arial"/>
                <w:sz w:val="18"/>
                <w:szCs w:val="18"/>
                <w:color w:val="auto"/>
              </w:rPr>
              <w:t>MMBtu</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304.3</w:t>
            </w:r>
          </w:p>
        </w:tc>
        <w:tc>
          <w:tcPr>
            <w:tcW w:w="1280" w:type="dxa"/>
            <w:vAlign w:val="bottom"/>
          </w:tcPr>
          <w:p>
            <w:pPr>
              <w:jc w:val="right"/>
              <w:spacing w:after="0"/>
              <w:rPr>
                <w:sz w:val="20"/>
                <w:szCs w:val="20"/>
                <w:color w:val="auto"/>
              </w:rPr>
            </w:pPr>
            <w:r>
              <w:rPr>
                <w:rFonts w:ascii="Arial" w:cs="Arial" w:eastAsia="Arial" w:hAnsi="Arial"/>
                <w:sz w:val="18"/>
                <w:szCs w:val="18"/>
                <w:color w:val="auto"/>
              </w:rPr>
              <w:t>772.7</w:t>
            </w:r>
          </w:p>
        </w:tc>
      </w:tr>
      <w:tr>
        <w:trPr>
          <w:trHeight w:val="236"/>
        </w:trPr>
        <w:tc>
          <w:tcPr>
            <w:tcW w:w="3580" w:type="dxa"/>
            <w:vAlign w:val="bottom"/>
            <w:shd w:val="clear" w:color="auto" w:fill="CCEEFF"/>
          </w:tcPr>
          <w:p>
            <w:pPr>
              <w:jc w:val="center"/>
              <w:ind w:right="1430"/>
              <w:spacing w:after="0"/>
              <w:rPr>
                <w:sz w:val="20"/>
                <w:szCs w:val="20"/>
                <w:color w:val="auto"/>
              </w:rPr>
            </w:pPr>
            <w:r>
              <w:rPr>
                <w:rFonts w:ascii="Arial" w:cs="Arial" w:eastAsia="Arial" w:hAnsi="Arial"/>
                <w:sz w:val="18"/>
                <w:szCs w:val="18"/>
                <w:b w:val="1"/>
                <w:bCs w:val="1"/>
                <w:color w:val="auto"/>
                <w:w w:val="90"/>
              </w:rPr>
              <w:t>Evergy Kansas Central</w:t>
            </w:r>
          </w:p>
        </w:tc>
        <w:tc>
          <w:tcPr>
            <w:tcW w:w="45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3580" w:type="dxa"/>
            <w:vAlign w:val="bottom"/>
          </w:tcPr>
          <w:p>
            <w:pPr>
              <w:jc w:val="center"/>
              <w:ind w:right="1450"/>
              <w:spacing w:after="0"/>
              <w:rPr>
                <w:sz w:val="20"/>
                <w:szCs w:val="20"/>
                <w:color w:val="auto"/>
              </w:rPr>
            </w:pPr>
            <w:r>
              <w:rPr>
                <w:rFonts w:ascii="Arial" w:cs="Arial" w:eastAsia="Arial" w:hAnsi="Arial"/>
                <w:sz w:val="18"/>
                <w:szCs w:val="18"/>
                <w:color w:val="auto"/>
                <w:w w:val="92"/>
              </w:rPr>
              <w:t>Commodity contracts</w:t>
            </w:r>
          </w:p>
        </w:tc>
        <w:tc>
          <w:tcPr>
            <w:tcW w:w="45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97"/>
              </w:rPr>
              <w:t>MWhs</w:t>
            </w:r>
          </w:p>
        </w:tc>
        <w:tc>
          <w:tcPr>
            <w:tcW w:w="18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66.1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9"/>
        </w:trPr>
        <w:tc>
          <w:tcPr>
            <w:tcW w:w="3580" w:type="dxa"/>
            <w:vAlign w:val="bottom"/>
          </w:tcPr>
          <w:p>
            <w:pPr>
              <w:ind w:left="360"/>
              <w:spacing w:after="0"/>
              <w:rPr>
                <w:sz w:val="20"/>
                <w:szCs w:val="20"/>
                <w:color w:val="auto"/>
              </w:rPr>
            </w:pPr>
            <w:r>
              <w:rPr>
                <w:rFonts w:ascii="Arial" w:cs="Arial" w:eastAsia="Arial" w:hAnsi="Arial"/>
                <w:sz w:val="18"/>
                <w:szCs w:val="18"/>
                <w:color w:val="auto"/>
              </w:rPr>
              <w:t>Natural gas</w:t>
            </w:r>
          </w:p>
        </w:tc>
        <w:tc>
          <w:tcPr>
            <w:tcW w:w="4520" w:type="dxa"/>
            <w:vAlign w:val="bottom"/>
          </w:tcPr>
          <w:p>
            <w:pPr>
              <w:jc w:val="center"/>
              <w:ind w:left="1250"/>
              <w:spacing w:after="0"/>
              <w:rPr>
                <w:sz w:val="20"/>
                <w:szCs w:val="20"/>
                <w:color w:val="auto"/>
              </w:rPr>
            </w:pPr>
            <w:r>
              <w:rPr>
                <w:rFonts w:ascii="Arial" w:cs="Arial" w:eastAsia="Arial" w:hAnsi="Arial"/>
                <w:sz w:val="18"/>
                <w:szCs w:val="18"/>
                <w:color w:val="auto"/>
              </w:rPr>
              <w:t>MMBtu</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298.1</w:t>
            </w:r>
          </w:p>
        </w:tc>
        <w:tc>
          <w:tcPr>
            <w:tcW w:w="1280" w:type="dxa"/>
            <w:vAlign w:val="bottom"/>
          </w:tcPr>
          <w:p>
            <w:pPr>
              <w:jc w:val="right"/>
              <w:spacing w:after="0"/>
              <w:rPr>
                <w:sz w:val="20"/>
                <w:szCs w:val="20"/>
                <w:color w:val="auto"/>
              </w:rPr>
            </w:pPr>
            <w:r>
              <w:rPr>
                <w:rFonts w:ascii="Arial" w:cs="Arial" w:eastAsia="Arial" w:hAnsi="Arial"/>
                <w:sz w:val="18"/>
                <w:szCs w:val="18"/>
                <w:color w:val="auto"/>
              </w:rPr>
              <w:t>769.6</w:t>
            </w: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Evergy Metro</w:t>
            </w:r>
          </w:p>
        </w:tc>
        <w:tc>
          <w:tcPr>
            <w:tcW w:w="45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3580" w:type="dxa"/>
            <w:vAlign w:val="bottom"/>
          </w:tcPr>
          <w:p>
            <w:pPr>
              <w:jc w:val="center"/>
              <w:ind w:right="1450"/>
              <w:spacing w:after="0"/>
              <w:rPr>
                <w:sz w:val="20"/>
                <w:szCs w:val="20"/>
                <w:color w:val="auto"/>
              </w:rPr>
            </w:pPr>
            <w:r>
              <w:rPr>
                <w:rFonts w:ascii="Arial" w:cs="Arial" w:eastAsia="Arial" w:hAnsi="Arial"/>
                <w:sz w:val="18"/>
                <w:szCs w:val="18"/>
                <w:color w:val="auto"/>
                <w:w w:val="92"/>
              </w:rPr>
              <w:t>Commodity contracts</w:t>
            </w:r>
          </w:p>
        </w:tc>
        <w:tc>
          <w:tcPr>
            <w:tcW w:w="4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35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Power</w:t>
            </w:r>
          </w:p>
        </w:tc>
        <w:tc>
          <w:tcPr>
            <w:tcW w:w="4520" w:type="dxa"/>
            <w:vAlign w:val="bottom"/>
            <w:tcBorders>
              <w:bottom w:val="single" w:sz="8" w:color="auto"/>
            </w:tcBorders>
            <w:shd w:val="clear" w:color="auto" w:fill="CCEEFF"/>
          </w:tcPr>
          <w:p>
            <w:pPr>
              <w:jc w:val="center"/>
              <w:ind w:left="1250"/>
              <w:spacing w:after="0"/>
              <w:rPr>
                <w:sz w:val="20"/>
                <w:szCs w:val="20"/>
                <w:color w:val="auto"/>
              </w:rPr>
            </w:pPr>
            <w:r>
              <w:rPr>
                <w:rFonts w:ascii="Arial" w:cs="Arial" w:eastAsia="Arial" w:hAnsi="Arial"/>
                <w:sz w:val="18"/>
                <w:szCs w:val="18"/>
                <w:color w:val="auto"/>
                <w:w w:val="97"/>
              </w:rPr>
              <w:t>MWhs</w:t>
            </w:r>
          </w:p>
        </w:tc>
        <w:tc>
          <w:tcPr>
            <w:tcW w:w="186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33.9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bl>
    <w:p>
      <w:pPr>
        <w:spacing w:after="0" w:line="28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fair values of Evergy's open derivative positions and balance sheet classifications are summarized in the following tables. The fair values below are gross values before netting agreements and netting of cash collateral.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Borders>
              <w:top w:val="single" w:sz="8" w:color="auto"/>
            </w:tcBorders>
          </w:tcPr>
          <w:p>
            <w:pPr>
              <w:spacing w:after="0"/>
              <w:rPr>
                <w:sz w:val="21"/>
                <w:szCs w:val="21"/>
                <w:color w:val="auto"/>
              </w:rPr>
            </w:pPr>
          </w:p>
        </w:tc>
        <w:tc>
          <w:tcPr>
            <w:tcW w:w="45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w:t>
            </w:r>
          </w:p>
        </w:tc>
        <w:tc>
          <w:tcPr>
            <w:tcW w:w="45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3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0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Balance sheet location</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7"/>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assets - current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31.3</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7"/>
        </w:trPr>
        <w:tc>
          <w:tcPr>
            <w:tcW w:w="3480" w:type="dxa"/>
            <w:vAlign w:val="bottom"/>
          </w:tcPr>
          <w:p>
            <w:pPr>
              <w:spacing w:after="0"/>
              <w:rPr>
                <w:sz w:val="20"/>
                <w:szCs w:val="20"/>
                <w:color w:val="auto"/>
              </w:rPr>
            </w:pPr>
          </w:p>
        </w:tc>
        <w:tc>
          <w:tcPr>
            <w:tcW w:w="4500" w:type="dxa"/>
            <w:vAlign w:val="bottom"/>
          </w:tcPr>
          <w:p>
            <w:pPr>
              <w:ind w:left="1560"/>
              <w:spacing w:after="0"/>
              <w:rPr>
                <w:sz w:val="20"/>
                <w:szCs w:val="20"/>
                <w:color w:val="auto"/>
              </w:rPr>
            </w:pPr>
            <w:r>
              <w:rPr>
                <w:rFonts w:ascii="Arial" w:cs="Arial" w:eastAsia="Arial" w:hAnsi="Arial"/>
                <w:sz w:val="18"/>
                <w:szCs w:val="18"/>
                <w:color w:val="auto"/>
              </w:rPr>
              <w:t>Other assets - long-term</w:t>
            </w:r>
          </w:p>
        </w:tc>
        <w:tc>
          <w:tcPr>
            <w:tcW w:w="28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37.3</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36"/>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assets - current</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38.0</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3480" w:type="dxa"/>
            <w:vAlign w:val="bottom"/>
          </w:tcPr>
          <w:p>
            <w:pPr>
              <w:spacing w:after="0"/>
              <w:rPr>
                <w:sz w:val="19"/>
                <w:szCs w:val="19"/>
                <w:color w:val="auto"/>
              </w:rPr>
            </w:pPr>
          </w:p>
        </w:tc>
        <w:tc>
          <w:tcPr>
            <w:tcW w:w="4500" w:type="dxa"/>
            <w:vAlign w:val="bottom"/>
          </w:tcPr>
          <w:p>
            <w:pPr>
              <w:ind w:left="1560"/>
              <w:spacing w:after="0"/>
              <w:rPr>
                <w:sz w:val="20"/>
                <w:szCs w:val="20"/>
                <w:color w:val="auto"/>
              </w:rPr>
            </w:pPr>
            <w:r>
              <w:rPr>
                <w:rFonts w:ascii="Arial" w:cs="Arial" w:eastAsia="Arial" w:hAnsi="Arial"/>
                <w:sz w:val="18"/>
                <w:szCs w:val="18"/>
                <w:color w:val="auto"/>
              </w:rPr>
              <w:t>Other assets - long-term</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 assets</w:t>
            </w:r>
          </w:p>
        </w:tc>
        <w:tc>
          <w:tcPr>
            <w:tcW w:w="45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108.6</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liabilities - current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16.8</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7"/>
        </w:trPr>
        <w:tc>
          <w:tcPr>
            <w:tcW w:w="3480" w:type="dxa"/>
            <w:vAlign w:val="bottom"/>
          </w:tcPr>
          <w:p>
            <w:pPr>
              <w:spacing w:after="0"/>
              <w:rPr>
                <w:sz w:val="20"/>
                <w:szCs w:val="20"/>
                <w:color w:val="auto"/>
              </w:rPr>
            </w:pPr>
          </w:p>
        </w:tc>
        <w:tc>
          <w:tcPr>
            <w:tcW w:w="4500" w:type="dxa"/>
            <w:vAlign w:val="bottom"/>
          </w:tcPr>
          <w:p>
            <w:pPr>
              <w:ind w:left="1560"/>
              <w:spacing w:after="0"/>
              <w:rPr>
                <w:sz w:val="20"/>
                <w:szCs w:val="20"/>
                <w:color w:val="auto"/>
              </w:rPr>
            </w:pPr>
            <w:r>
              <w:rPr>
                <w:rFonts w:ascii="Arial" w:cs="Arial" w:eastAsia="Arial" w:hAnsi="Arial"/>
                <w:sz w:val="18"/>
                <w:szCs w:val="18"/>
                <w:color w:val="auto"/>
              </w:rPr>
              <w:t>Other liabilities - long-term</w:t>
            </w:r>
          </w:p>
        </w:tc>
        <w:tc>
          <w:tcPr>
            <w:tcW w:w="28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34.1</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6"/>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liabilities - current</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35.7</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30"/>
        </w:trPr>
        <w:tc>
          <w:tcPr>
            <w:tcW w:w="3480" w:type="dxa"/>
            <w:vAlign w:val="bottom"/>
          </w:tcPr>
          <w:p>
            <w:pPr>
              <w:spacing w:after="0"/>
              <w:rPr>
                <w:sz w:val="19"/>
                <w:szCs w:val="19"/>
                <w:color w:val="auto"/>
              </w:rPr>
            </w:pPr>
          </w:p>
        </w:tc>
        <w:tc>
          <w:tcPr>
            <w:tcW w:w="4500" w:type="dxa"/>
            <w:vAlign w:val="bottom"/>
          </w:tcPr>
          <w:p>
            <w:pPr>
              <w:ind w:left="1560"/>
              <w:spacing w:after="0"/>
              <w:rPr>
                <w:sz w:val="20"/>
                <w:szCs w:val="20"/>
                <w:color w:val="auto"/>
              </w:rPr>
            </w:pPr>
            <w:r>
              <w:rPr>
                <w:rFonts w:ascii="Arial" w:cs="Arial" w:eastAsia="Arial" w:hAnsi="Arial"/>
                <w:sz w:val="18"/>
                <w:szCs w:val="18"/>
                <w:color w:val="auto"/>
              </w:rPr>
              <w:t>Other liabilities - long-term</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w:t>
            </w:r>
          </w:p>
        </w:tc>
        <w:tc>
          <w:tcPr>
            <w:tcW w:w="45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88.7</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r>
      <w:tr>
        <w:trPr>
          <w:trHeight w:val="115"/>
        </w:trPr>
        <w:tc>
          <w:tcPr>
            <w:tcW w:w="348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451"/>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5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0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Balance sheet location</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33"/>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20"/>
                <w:szCs w:val="20"/>
                <w:color w:val="auto"/>
              </w:rPr>
            </w:pPr>
          </w:p>
        </w:tc>
      </w:tr>
      <w:tr>
        <w:trPr>
          <w:trHeight w:val="233"/>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assets - current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24.1</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3480" w:type="dxa"/>
            <w:vAlign w:val="bottom"/>
          </w:tcPr>
          <w:p>
            <w:pPr>
              <w:spacing w:after="0"/>
              <w:rPr>
                <w:sz w:val="19"/>
                <w:szCs w:val="19"/>
                <w:color w:val="auto"/>
              </w:rPr>
            </w:pPr>
          </w:p>
        </w:tc>
        <w:tc>
          <w:tcPr>
            <w:tcW w:w="4500" w:type="dxa"/>
            <w:vAlign w:val="bottom"/>
          </w:tcPr>
          <w:p>
            <w:pPr>
              <w:ind w:left="1560"/>
              <w:spacing w:after="0"/>
              <w:rPr>
                <w:sz w:val="20"/>
                <w:szCs w:val="20"/>
                <w:color w:val="auto"/>
              </w:rPr>
            </w:pPr>
            <w:r>
              <w:rPr>
                <w:rFonts w:ascii="Arial" w:cs="Arial" w:eastAsia="Arial" w:hAnsi="Arial"/>
                <w:sz w:val="18"/>
                <w:szCs w:val="18"/>
                <w:color w:val="auto"/>
              </w:rPr>
              <w:t>Other assets - long-term</w:t>
            </w:r>
          </w:p>
        </w:tc>
        <w:tc>
          <w:tcPr>
            <w:tcW w:w="280" w:type="dxa"/>
            <w:vAlign w:val="bottom"/>
          </w:tcPr>
          <w:p>
            <w:pPr>
              <w:spacing w:after="0"/>
              <w:rPr>
                <w:sz w:val="19"/>
                <w:szCs w:val="19"/>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37.3</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43"/>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assets - current</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38.0</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348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tcPr>
          <w:p>
            <w:pPr>
              <w:ind w:left="1560"/>
              <w:spacing w:after="0"/>
              <w:rPr>
                <w:sz w:val="20"/>
                <w:szCs w:val="20"/>
                <w:color w:val="auto"/>
              </w:rPr>
            </w:pPr>
            <w:r>
              <w:rPr>
                <w:rFonts w:ascii="Arial" w:cs="Arial" w:eastAsia="Arial" w:hAnsi="Arial"/>
                <w:sz w:val="18"/>
                <w:szCs w:val="18"/>
                <w:color w:val="auto"/>
              </w:rPr>
              <w:t>Other assets - long-term</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 assets</w:t>
            </w:r>
          </w:p>
        </w:tc>
        <w:tc>
          <w:tcPr>
            <w:tcW w:w="4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101.4</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37"/>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6"/>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liabilities - current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3480" w:type="dxa"/>
            <w:vAlign w:val="bottom"/>
          </w:tcPr>
          <w:p>
            <w:pPr>
              <w:spacing w:after="0"/>
              <w:rPr>
                <w:sz w:val="19"/>
                <w:szCs w:val="19"/>
                <w:color w:val="auto"/>
              </w:rPr>
            </w:pPr>
          </w:p>
        </w:tc>
        <w:tc>
          <w:tcPr>
            <w:tcW w:w="4500" w:type="dxa"/>
            <w:vAlign w:val="bottom"/>
          </w:tcPr>
          <w:p>
            <w:pPr>
              <w:ind w:left="1560"/>
              <w:spacing w:after="0"/>
              <w:rPr>
                <w:sz w:val="20"/>
                <w:szCs w:val="20"/>
                <w:color w:val="auto"/>
              </w:rPr>
            </w:pPr>
            <w:r>
              <w:rPr>
                <w:rFonts w:ascii="Arial" w:cs="Arial" w:eastAsia="Arial" w:hAnsi="Arial"/>
                <w:sz w:val="18"/>
                <w:szCs w:val="18"/>
                <w:color w:val="auto"/>
              </w:rPr>
              <w:t>Other liabilities - long-term</w:t>
            </w:r>
          </w:p>
        </w:tc>
        <w:tc>
          <w:tcPr>
            <w:tcW w:w="280" w:type="dxa"/>
            <w:vAlign w:val="bottom"/>
          </w:tcPr>
          <w:p>
            <w:pPr>
              <w:spacing w:after="0"/>
              <w:rPr>
                <w:sz w:val="19"/>
                <w:szCs w:val="19"/>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34.1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43"/>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liabilities - current</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33.9</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r>
      <w:tr>
        <w:trPr>
          <w:trHeight w:val="229"/>
        </w:trPr>
        <w:tc>
          <w:tcPr>
            <w:tcW w:w="348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tcPr>
          <w:p>
            <w:pPr>
              <w:ind w:left="1560"/>
              <w:spacing w:after="0"/>
              <w:rPr>
                <w:sz w:val="20"/>
                <w:szCs w:val="20"/>
                <w:color w:val="auto"/>
              </w:rPr>
            </w:pPr>
            <w:r>
              <w:rPr>
                <w:rFonts w:ascii="Arial" w:cs="Arial" w:eastAsia="Arial" w:hAnsi="Arial"/>
                <w:sz w:val="18"/>
                <w:szCs w:val="18"/>
                <w:color w:val="auto"/>
              </w:rPr>
              <w:t>Other liabilities - long-term</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w:t>
            </w:r>
          </w:p>
        </w:tc>
        <w:tc>
          <w:tcPr>
            <w:tcW w:w="45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85.0</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60" w:type="dxa"/>
            <w:vAlign w:val="bottom"/>
            <w:tcBorders>
              <w:top w:val="single" w:sz="8" w:color="auto"/>
            </w:tcBorders>
          </w:tcPr>
          <w:p>
            <w:pPr>
              <w:spacing w:after="0"/>
              <w:rPr>
                <w:sz w:val="21"/>
                <w:szCs w:val="21"/>
                <w:color w:val="auto"/>
              </w:rPr>
            </w:pPr>
          </w:p>
        </w:tc>
        <w:tc>
          <w:tcPr>
            <w:tcW w:w="45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December 31</w:t>
            </w:r>
          </w:p>
        </w:tc>
      </w:tr>
      <w:tr>
        <w:trPr>
          <w:trHeight w:val="24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p>
        </w:tc>
        <w:tc>
          <w:tcPr>
            <w:tcW w:w="4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3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0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Balance sheet location</w:t>
            </w: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30"/>
        </w:trPr>
        <w:tc>
          <w:tcPr>
            <w:tcW w:w="3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0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 derivative assets</w:t>
            </w:r>
          </w:p>
        </w:tc>
        <w:tc>
          <w:tcPr>
            <w:tcW w:w="450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45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Power</w:t>
            </w:r>
          </w:p>
        </w:tc>
        <w:tc>
          <w:tcPr>
            <w:tcW w:w="450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liabilities - current</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w:t>
            </w:r>
          </w:p>
        </w:tc>
        <w:tc>
          <w:tcPr>
            <w:tcW w:w="45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294" w:lineRule="exact"/>
        <w:rPr>
          <w:sz w:val="20"/>
          <w:szCs w:val="20"/>
          <w:color w:val="auto"/>
        </w:rPr>
      </w:pPr>
    </w:p>
    <w:p>
      <w:pPr>
        <w:jc w:val="both"/>
        <w:ind w:right="160"/>
        <w:spacing w:after="0" w:line="264" w:lineRule="auto"/>
        <w:rPr>
          <w:sz w:val="20"/>
          <w:szCs w:val="20"/>
          <w:color w:val="auto"/>
        </w:rPr>
      </w:pPr>
      <w:r>
        <w:rPr>
          <w:rFonts w:ascii="Arial" w:cs="Arial" w:eastAsia="Arial" w:hAnsi="Arial"/>
          <w:sz w:val="20"/>
          <w:szCs w:val="20"/>
          <w:color w:val="auto"/>
        </w:rPr>
        <w:t>The following tables present the line items on the Evergy Companies' consolidated balance sheets where derivative assets and liabilities are reported. The gross amounts offset in the tables below show the effect of master netting arrangements and include collateral posted to offset the net position.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Evergy Kansas</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 2023</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Evergy</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6"/>
              </w:rPr>
              <w:t>Central</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Evergy Metro</w:t>
            </w:r>
          </w:p>
        </w:tc>
      </w:tr>
      <w:tr>
        <w:trPr>
          <w:trHeight w:val="222"/>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Derivative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71"/>
              <w:spacing w:after="0"/>
              <w:rPr>
                <w:sz w:val="20"/>
                <w:szCs w:val="20"/>
                <w:color w:val="auto"/>
              </w:rPr>
            </w:pPr>
            <w:r>
              <w:rPr>
                <w:rFonts w:ascii="Arial" w:cs="Arial" w:eastAsia="Arial" w:hAnsi="Arial"/>
                <w:sz w:val="16"/>
                <w:szCs w:val="16"/>
                <w:color w:val="auto"/>
                <w:w w:val="99"/>
              </w:rPr>
              <w:t>(millions)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7"/>
        </w:trPr>
        <w:tc>
          <w:tcPr>
            <w:tcW w:w="6280" w:type="dxa"/>
            <w:vAlign w:val="bottom"/>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9"/>
        </w:trPr>
        <w:tc>
          <w:tcPr>
            <w:tcW w:w="6280" w:type="dxa"/>
            <w:vAlign w:val="bottom"/>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23"/>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Evergy</w:t>
            </w: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91"/>
              <w:spacing w:after="0" w:line="202" w:lineRule="exact"/>
              <w:rPr>
                <w:sz w:val="20"/>
                <w:szCs w:val="20"/>
                <w:color w:val="auto"/>
              </w:rPr>
            </w:pPr>
            <w:r>
              <w:rPr>
                <w:rFonts w:ascii="Arial" w:cs="Arial" w:eastAsia="Arial" w:hAnsi="Arial"/>
                <w:sz w:val="18"/>
                <w:szCs w:val="18"/>
                <w:b w:val="1"/>
                <w:bCs w:val="1"/>
                <w:color w:val="auto"/>
                <w:w w:val="89"/>
              </w:rPr>
              <w:t>Evergy Kansas</w:t>
            </w: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99"/>
              </w:rPr>
              <w:t>Evergy Metro</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6"/>
              </w:rPr>
              <w:t>Central</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Derivative Assets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ind w:right="91"/>
              <w:spacing w:after="0"/>
              <w:rPr>
                <w:sz w:val="20"/>
                <w:szCs w:val="20"/>
                <w:color w:val="auto"/>
              </w:rPr>
            </w:pPr>
            <w:r>
              <w:rPr>
                <w:rFonts w:ascii="Arial" w:cs="Arial" w:eastAsia="Arial" w:hAnsi="Arial"/>
                <w:sz w:val="16"/>
                <w:szCs w:val="16"/>
                <w:color w:val="auto"/>
                <w:w w:val="99"/>
              </w:rPr>
              <w:t>(millions)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140"/>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current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80" w:type="dxa"/>
            <w:vAlign w:val="bottom"/>
          </w:tcPr>
          <w:p>
            <w:pPr>
              <w:ind w:left="140"/>
              <w:spacing w:after="0"/>
              <w:rPr>
                <w:sz w:val="20"/>
                <w:szCs w:val="20"/>
                <w:color w:val="auto"/>
              </w:rPr>
            </w:pPr>
            <w:r>
              <w:rPr>
                <w:rFonts w:ascii="Arial" w:cs="Arial" w:eastAsia="Arial" w:hAnsi="Arial"/>
                <w:sz w:val="18"/>
                <w:szCs w:val="18"/>
                <w:color w:val="auto"/>
              </w:rPr>
              <w:t>Long-Term</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long-term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Net amounts presented in other liabilities - current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amounts presented in other liabilities - long-term</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The following table summarizes the amounts of gain (loss) recognized in income for the change in fair value of derivatives not designated as hedging instruments for the Evergy Companies.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4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Year to Date</w:t>
            </w:r>
          </w:p>
        </w:tc>
      </w:tr>
      <w:tr>
        <w:trPr>
          <w:trHeight w:val="230"/>
        </w:trPr>
        <w:tc>
          <w:tcPr>
            <w:tcW w:w="27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ind w:left="66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9"/>
                <w:szCs w:val="19"/>
                <w:color w:val="auto"/>
              </w:rPr>
            </w:pPr>
          </w:p>
        </w:tc>
      </w:tr>
      <w:tr>
        <w:trPr>
          <w:trHeight w:val="23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of gain (loss)</w:t>
            </w:r>
          </w:p>
        </w:tc>
        <w:tc>
          <w:tcPr>
            <w:tcW w:w="35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Contract type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2023</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33"/>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3"/>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35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Commodity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2.7</w:t>
            </w:r>
          </w:p>
        </w:tc>
        <w:tc>
          <w:tcPr>
            <w:tcW w:w="86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19.3</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2740" w:type="dxa"/>
            <w:vAlign w:val="bottom"/>
          </w:tcPr>
          <w:p>
            <w:pPr>
              <w:ind w:left="24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2.7</w:t>
            </w: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19.3</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3540" w:type="dxa"/>
            <w:vAlign w:val="bottom"/>
          </w:tcPr>
          <w:p>
            <w:pPr>
              <w:ind w:left="920"/>
              <w:spacing w:after="0"/>
              <w:rPr>
                <w:sz w:val="20"/>
                <w:szCs w:val="20"/>
                <w:color w:val="auto"/>
              </w:rPr>
            </w:pPr>
            <w:r>
              <w:rPr>
                <w:rFonts w:ascii="Arial" w:cs="Arial" w:eastAsia="Arial" w:hAnsi="Arial"/>
                <w:sz w:val="18"/>
                <w:szCs w:val="18"/>
                <w:color w:val="auto"/>
              </w:rPr>
              <w:t>Commodity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2.7</w:t>
            </w:r>
          </w:p>
        </w:tc>
        <w:tc>
          <w:tcPr>
            <w:tcW w:w="8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19.3</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27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2.7</w:t>
            </w:r>
          </w:p>
        </w:tc>
        <w:tc>
          <w:tcPr>
            <w:tcW w:w="86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19.3</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bl>
    <w:p>
      <w:pPr>
        <w:spacing w:after="0" w:line="280"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June 30, 2023, if counterparty groups completely failed to perform on contracts, Evergy's and Evergy Kansas Central's maximum exposure related to derivative assets was $41.6 million. As of June 30, 2023, the potential loss after the consideration of applicable master netting arrangements and collateral received for Evergy and Evergy Kansas Central was $29.4 million.</w:t>
      </w:r>
    </w:p>
    <w:p>
      <w:pPr>
        <w:spacing w:after="0" w:line="162"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June 30, 2023, was $34.9 million for which Evergy and Evergy Kansas Central have posted collateral of $1.1 million in the normal course of business. If the credit-risk-related contingent features underlying these agreements were triggered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000"/>
        <w:spacing w:after="0" w:line="274" w:lineRule="auto"/>
        <w:rPr>
          <w:sz w:val="20"/>
          <w:szCs w:val="20"/>
          <w:color w:val="auto"/>
        </w:rPr>
      </w:pPr>
      <w:r>
        <w:rPr>
          <w:rFonts w:ascii="Arial" w:cs="Arial" w:eastAsia="Arial" w:hAnsi="Arial"/>
          <w:sz w:val="20"/>
          <w:szCs w:val="20"/>
          <w:color w:val="auto"/>
        </w:rPr>
        <w:t>as of June 30, 2023, Evergy and Evergy Kansas Central could be required to post an additional $32.8 million of collateral to their counterparties.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73"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93" w:lineRule="exact"/>
        <w:rPr>
          <w:sz w:val="20"/>
          <w:szCs w:val="20"/>
          <w:color w:val="auto"/>
        </w:rPr>
      </w:pPr>
    </w:p>
    <w:p>
      <w:pPr>
        <w:ind w:right="400"/>
        <w:spacing w:after="0" w:line="255"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84"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18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2740" w:type="dxa"/>
            <w:vAlign w:val="bottom"/>
            <w:tcBorders>
              <w:top w:val="single" w:sz="8" w:color="auto"/>
              <w:bottom w:val="single" w:sz="8" w:color="auto"/>
            </w:tcBorders>
            <w:gridSpan w:val="3"/>
          </w:tcPr>
          <w:p>
            <w:pPr>
              <w:jc w:val="right"/>
              <w:ind w:right="852"/>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2700" w:type="dxa"/>
            <w:vAlign w:val="bottom"/>
            <w:tcBorders>
              <w:top w:val="single" w:sz="8" w:color="auto"/>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December 31, 2022</w:t>
            </w:r>
          </w:p>
        </w:tc>
      </w:tr>
      <w:tr>
        <w:trPr>
          <w:trHeight w:val="227"/>
        </w:trPr>
        <w:tc>
          <w:tcPr>
            <w:tcW w:w="5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Book Value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Book Value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r>
      <w:tr>
        <w:trPr>
          <w:trHeight w:val="223"/>
        </w:trPr>
        <w:tc>
          <w:tcPr>
            <w:tcW w:w="51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51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Evergy</w:t>
            </w:r>
            <w:r>
              <w:rPr>
                <w:rFonts w:ascii="Arial" w:cs="Arial" w:eastAsia="Arial" w:hAnsi="Arial"/>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10,186.5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10,344.8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9,160.0</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4,281.7</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3,936.9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3,389.4</w:t>
            </w: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2,924.9</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2,686.7</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2,926.6</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2,661.7</w:t>
            </w:r>
          </w:p>
        </w:tc>
      </w:tr>
    </w:tbl>
    <w:p>
      <w:pPr>
        <w:spacing w:after="0" w:line="67"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ind w:left="180" w:right="60" w:hanging="172"/>
        <w:spacing w:after="0" w:line="252"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Book value as of June 30, 2023 and December 31, 2022, includes $89.6 million and $92.1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Recurring Fair Value Measurements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1360" w:type="dxa"/>
            <w:vAlign w:val="bottom"/>
            <w:tcBorders>
              <w:top w:val="single" w:sz="8" w:color="auto"/>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w w:val="94"/>
              </w:rPr>
              <w:t>June 30, 2023</w:t>
            </w: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Netting</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Level 1</w:t>
            </w: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2"/>
              </w:rPr>
              <w:t>Level 2</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Level 3</w:t>
            </w: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NAV</w:t>
            </w: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4320" w:type="dxa"/>
            <w:vAlign w:val="bottom"/>
          </w:tcPr>
          <w:p>
            <w:pPr>
              <w:ind w:left="14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127.4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67.8</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52.6</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26.9</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33.1</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17.7</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3"/>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343.2</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281.6</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193"/>
        </w:trPr>
        <w:tc>
          <w:tcPr>
            <w:tcW w:w="4320" w:type="dxa"/>
            <w:vAlign w:val="bottom"/>
          </w:tcPr>
          <w:p>
            <w:pPr>
              <w:ind w:left="140"/>
              <w:spacing w:after="0"/>
              <w:rPr>
                <w:sz w:val="20"/>
                <w:szCs w:val="20"/>
                <w:color w:val="auto"/>
              </w:rPr>
            </w:pPr>
            <w:r>
              <w:rPr>
                <w:rFonts w:ascii="Arial" w:cs="Arial" w:eastAsia="Arial" w:hAnsi="Arial"/>
                <w:sz w:val="16"/>
                <w:szCs w:val="16"/>
                <w:color w:val="auto"/>
              </w:rPr>
              <w:t>Rabbi trust</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20"/>
              <w:spacing w:after="0"/>
              <w:rPr>
                <w:sz w:val="20"/>
                <w:szCs w:val="20"/>
                <w:color w:val="auto"/>
              </w:rPr>
            </w:pPr>
            <w:r>
              <w:rPr>
                <w:rFonts w:ascii="Arial" w:cs="Arial" w:eastAsia="Arial" w:hAnsi="Arial"/>
                <w:sz w:val="16"/>
                <w:szCs w:val="16"/>
                <w:color w:val="auto"/>
              </w:rPr>
              <w:t>Cash equivalents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20" w:type="dxa"/>
            <w:vAlign w:val="bottom"/>
          </w:tcPr>
          <w:p>
            <w:pPr>
              <w:ind w:left="140"/>
              <w:spacing w:after="0" w:line="210"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32.1</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11.1</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411.8</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364.2</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11.1</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r>
      <w:tr>
        <w:trPr>
          <w:trHeight w:val="19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32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40"/>
              <w:spacing w:after="0"/>
              <w:rPr>
                <w:sz w:val="20"/>
                <w:szCs w:val="20"/>
                <w:color w:val="auto"/>
              </w:rPr>
            </w:pPr>
            <w:r>
              <w:rPr>
                <w:rFonts w:ascii="Arial" w:cs="Arial" w:eastAsia="Arial" w:hAnsi="Arial"/>
                <w:sz w:val="16"/>
                <w:szCs w:val="16"/>
                <w:color w:val="auto"/>
              </w:rPr>
              <w:t>Natural gas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35.7</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derivative liabilities</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38.4</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36.5</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3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280.0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280.0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32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46.1</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46.1</w:t>
            </w:r>
          </w:p>
        </w:tc>
        <w:tc>
          <w:tcPr>
            <w:tcW w:w="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 and local obligations</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Pr>
          <w:p>
            <w:pPr>
              <w:ind w:left="360"/>
              <w:spacing w:after="0"/>
              <w:rPr>
                <w:sz w:val="20"/>
                <w:szCs w:val="20"/>
                <w:color w:val="auto"/>
              </w:rPr>
            </w:pPr>
            <w:r>
              <w:rPr>
                <w:rFonts w:ascii="Arial" w:cs="Arial" w:eastAsia="Arial" w:hAnsi="Arial"/>
                <w:sz w:val="16"/>
                <w:szCs w:val="16"/>
                <w:color w:val="auto"/>
              </w:rPr>
              <w:t>Corporate bonds</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41.0</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41.0</w:t>
            </w:r>
          </w:p>
        </w:tc>
        <w:tc>
          <w:tcPr>
            <w:tcW w:w="3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governments</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374.0</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328.9</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45.1</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320" w:type="dxa"/>
            <w:vAlign w:val="bottom"/>
          </w:tcPr>
          <w:p>
            <w:pPr>
              <w:ind w:left="140"/>
              <w:spacing w:after="0" w:line="19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Debt securities</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tcPr>
          <w:p>
            <w:pPr>
              <w:ind w:left="480"/>
              <w:spacing w:after="0"/>
              <w:rPr>
                <w:sz w:val="20"/>
                <w:szCs w:val="20"/>
                <w:color w:val="auto"/>
              </w:rPr>
            </w:pPr>
            <w:r>
              <w:rPr>
                <w:rFonts w:ascii="Arial" w:cs="Arial" w:eastAsia="Arial" w:hAnsi="Arial"/>
                <w:sz w:val="16"/>
                <w:szCs w:val="16"/>
                <w:color w:val="auto"/>
              </w:rPr>
              <w:t>Total self-insured health plan trust</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20" w:type="dxa"/>
            <w:vAlign w:val="bottom"/>
            <w:shd w:val="clear" w:color="auto" w:fill="CCEEFF"/>
          </w:tcPr>
          <w:p>
            <w:pPr>
              <w:ind w:left="140"/>
              <w:spacing w:after="0" w:line="210"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3"/>
        </w:trPr>
        <w:tc>
          <w:tcPr>
            <w:tcW w:w="4320" w:type="dxa"/>
            <w:vAlign w:val="bottom"/>
          </w:tcPr>
          <w:p>
            <w:pPr>
              <w:ind w:left="220"/>
              <w:spacing w:after="0"/>
              <w:rPr>
                <w:sz w:val="20"/>
                <w:szCs w:val="20"/>
                <w:color w:val="auto"/>
              </w:rPr>
            </w:pPr>
            <w:r>
              <w:rPr>
                <w:rFonts w:ascii="Arial" w:cs="Arial" w:eastAsia="Arial" w:hAnsi="Arial"/>
                <w:sz w:val="16"/>
                <w:szCs w:val="16"/>
                <w:color w:val="auto"/>
              </w:rPr>
              <w:t>Power</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388.4</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336.7</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50.6</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2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tcPr>
          <w:p>
            <w:pPr>
              <w:ind w:left="460"/>
              <w:spacing w:after="0"/>
              <w:rPr>
                <w:sz w:val="20"/>
                <w:szCs w:val="20"/>
                <w:color w:val="auto"/>
              </w:rPr>
            </w:pPr>
            <w:r>
              <w:rPr>
                <w:rFonts w:ascii="Arial" w:cs="Arial" w:eastAsia="Arial" w:hAnsi="Arial"/>
                <w:sz w:val="16"/>
                <w:szCs w:val="16"/>
                <w:color w:val="auto"/>
              </w:rPr>
              <w:t>Total derivative liabilities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1340" w:type="dxa"/>
            <w:vAlign w:val="bottom"/>
            <w:tcBorders>
              <w:top w:val="single" w:sz="8" w:color="auto"/>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w w:val="94"/>
              </w:rPr>
              <w:t>June 30, 2023</w:t>
            </w: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Netting</w:t>
            </w: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Level 1</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Level 2</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Level 3</w:t>
            </w: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NAV</w:t>
            </w: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Other Evergy</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32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9"/>
        </w:trPr>
        <w:tc>
          <w:tcPr>
            <w:tcW w:w="4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trusts</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320" w:type="dxa"/>
            <w:vAlign w:val="bottom"/>
            <w:shd w:val="clear" w:color="auto" w:fill="CCEEFF"/>
          </w:tcPr>
          <w:p>
            <w:pPr>
              <w:ind w:left="140"/>
              <w:spacing w:after="0" w:line="19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Power</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320" w:type="dxa"/>
            <w:vAlign w:val="bottom"/>
          </w:tcPr>
          <w:p>
            <w:pPr>
              <w:ind w:left="120"/>
              <w:spacing w:after="0"/>
              <w:rPr>
                <w:sz w:val="20"/>
                <w:szCs w:val="20"/>
                <w:color w:val="auto"/>
              </w:rPr>
            </w:pPr>
            <w:r>
              <w:rPr>
                <w:rFonts w:ascii="Arial" w:cs="Arial" w:eastAsia="Arial" w:hAnsi="Arial"/>
                <w:sz w:val="16"/>
                <w:szCs w:val="16"/>
                <w:color w:val="auto"/>
              </w:rPr>
              <w:t>Derivative instruments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Power</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60"/>
              <w:spacing w:after="0"/>
              <w:rPr>
                <w:sz w:val="20"/>
                <w:szCs w:val="20"/>
                <w:color w:val="auto"/>
              </w:rPr>
            </w:pPr>
            <w:r>
              <w:rPr>
                <w:rFonts w:ascii="Arial" w:cs="Arial" w:eastAsia="Arial" w:hAnsi="Arial"/>
                <w:sz w:val="16"/>
                <w:szCs w:val="16"/>
                <w:color w:val="auto"/>
              </w:rPr>
              <w:t>Natural gas</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derivative liabilities</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3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717.2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610.5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Rabbi trusts</w:t>
            </w:r>
          </w:p>
        </w:tc>
        <w:tc>
          <w:tcPr>
            <w:tcW w:w="4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33.5</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33.5</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Power</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60"/>
              <w:spacing w:after="0"/>
              <w:rPr>
                <w:sz w:val="20"/>
                <w:szCs w:val="20"/>
                <w:color w:val="auto"/>
              </w:rPr>
            </w:pPr>
            <w:r>
              <w:rPr>
                <w:rFonts w:ascii="Arial" w:cs="Arial" w:eastAsia="Arial" w:hAnsi="Arial"/>
                <w:sz w:val="16"/>
                <w:szCs w:val="16"/>
                <w:color w:val="auto"/>
              </w:rPr>
              <w:t>Natural gas</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39.7</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49.8</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58.3</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32.1</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18.2</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2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813.8</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710.1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82.7</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2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Power</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Natural gas</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35.7</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40.4</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38.3</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0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Level 2</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Level 3</w:t>
            </w: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NAV</w:t>
            </w: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04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112.5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62.9</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62.9</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51.0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25.3</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25.3</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31.8</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18.9</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6"/>
        </w:trPr>
        <w:tc>
          <w:tcPr>
            <w:tcW w:w="4040" w:type="dxa"/>
            <w:vAlign w:val="bottom"/>
          </w:tcPr>
          <w:p>
            <w:pPr>
              <w:ind w:left="220"/>
              <w:spacing w:after="0"/>
              <w:rPr>
                <w:sz w:val="20"/>
                <w:szCs w:val="20"/>
                <w:color w:val="auto"/>
              </w:rPr>
            </w:pPr>
            <w:r>
              <w:rPr>
                <w:rFonts w:ascii="Arial" w:cs="Arial" w:eastAsia="Arial" w:hAnsi="Arial"/>
                <w:sz w:val="16"/>
                <w:szCs w:val="16"/>
                <w:color w:val="auto"/>
              </w:rPr>
              <w:t>Cash equivalents</w:t>
            </w:r>
          </w:p>
        </w:tc>
        <w:tc>
          <w:tcPr>
            <w:tcW w:w="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9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318.8</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256.0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207"/>
        </w:trPr>
        <w:tc>
          <w:tcPr>
            <w:tcW w:w="404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9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24.9</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40" w:type="dxa"/>
            <w:vAlign w:val="bottom"/>
          </w:tcPr>
          <w:p>
            <w:pPr>
              <w:ind w:left="240"/>
              <w:spacing w:after="0"/>
              <w:rPr>
                <w:sz w:val="20"/>
                <w:szCs w:val="20"/>
                <w:color w:val="auto"/>
              </w:rPr>
            </w:pPr>
            <w:r>
              <w:rPr>
                <w:rFonts w:ascii="Arial" w:cs="Arial" w:eastAsia="Arial" w:hAnsi="Arial"/>
                <w:sz w:val="16"/>
                <w:szCs w:val="16"/>
                <w:color w:val="auto"/>
              </w:rPr>
              <w:t>Natural gas</w:t>
            </w:r>
          </w:p>
        </w:tc>
        <w:tc>
          <w:tcPr>
            <w:tcW w:w="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7.3</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222.5</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derivative assets</w:t>
            </w:r>
          </w:p>
        </w:tc>
        <w:tc>
          <w:tcPr>
            <w:tcW w:w="9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49.9</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268.0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46.6</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04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393.6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548.9</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10.3</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46.6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48.0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(265.8)</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250.6</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243.4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243.4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40.7</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40.7</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Agency</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State and local obligations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bonds</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39.1</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39.1</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Foreign governments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9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6.6</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040" w:type="dxa"/>
            <w:vAlign w:val="bottom"/>
          </w:tcPr>
          <w:p>
            <w:pPr>
              <w:ind w:left="360"/>
              <w:spacing w:after="0"/>
              <w:rPr>
                <w:sz w:val="20"/>
                <w:szCs w:val="20"/>
                <w:color w:val="auto"/>
              </w:rPr>
            </w:pPr>
            <w:r>
              <w:rPr>
                <w:rFonts w:ascii="Arial" w:cs="Arial" w:eastAsia="Arial" w:hAnsi="Arial"/>
                <w:sz w:val="16"/>
                <w:szCs w:val="16"/>
                <w:color w:val="auto"/>
              </w:rPr>
              <w:t>Total nuclear decommissioning trust</w:t>
            </w:r>
          </w:p>
        </w:tc>
        <w:tc>
          <w:tcPr>
            <w:tcW w:w="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334.5</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291.1</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040" w:type="dxa"/>
            <w:vAlign w:val="bottom"/>
            <w:shd w:val="clear" w:color="auto" w:fill="CCEEFF"/>
          </w:tcPr>
          <w:p>
            <w:pPr>
              <w:ind w:left="180"/>
              <w:spacing w:after="0" w:line="210"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9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derivative assets</w:t>
            </w:r>
          </w:p>
        </w:tc>
        <w:tc>
          <w:tcPr>
            <w:tcW w:w="9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345.7</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296.8</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48.9</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40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Power</w:t>
            </w:r>
          </w:p>
        </w:tc>
        <w:tc>
          <w:tcPr>
            <w:tcW w:w="9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Netting</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Level 3</w:t>
            </w: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NAV</w:t>
            </w: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Other Evergy</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(millions)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2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020" w:type="dxa"/>
            <w:vAlign w:val="bottom"/>
            <w:tcBorders>
              <w:top w:val="single" w:sz="8" w:color="CCEEFF"/>
            </w:tcBorders>
          </w:tcPr>
          <w:p>
            <w:pPr>
              <w:ind w:left="480"/>
              <w:spacing w:after="0"/>
              <w:rPr>
                <w:sz w:val="20"/>
                <w:szCs w:val="20"/>
                <w:color w:val="auto"/>
              </w:rPr>
            </w:pPr>
            <w:r>
              <w:rPr>
                <w:rFonts w:ascii="Arial" w:cs="Arial" w:eastAsia="Arial" w:hAnsi="Arial"/>
                <w:sz w:val="16"/>
                <w:szCs w:val="16"/>
                <w:color w:val="auto"/>
              </w:rPr>
              <w:t>Total rabbi trusts</w:t>
            </w:r>
          </w:p>
        </w:tc>
        <w:tc>
          <w:tcPr>
            <w:tcW w:w="92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9.2</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9.2</w:t>
            </w: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020" w:type="dxa"/>
            <w:vAlign w:val="bottom"/>
            <w:shd w:val="clear" w:color="auto" w:fill="CCEEFF"/>
          </w:tcPr>
          <w:p>
            <w:pPr>
              <w:ind w:left="140"/>
              <w:spacing w:after="0" w:line="210"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4020" w:type="dxa"/>
            <w:vAlign w:val="bottom"/>
          </w:tcPr>
          <w:p>
            <w:pPr>
              <w:ind w:left="220"/>
              <w:spacing w:after="0"/>
              <w:rPr>
                <w:sz w:val="20"/>
                <w:szCs w:val="20"/>
                <w:color w:val="auto"/>
              </w:rPr>
            </w:pPr>
            <w:r>
              <w:rPr>
                <w:rFonts w:ascii="Arial" w:cs="Arial" w:eastAsia="Arial" w:hAnsi="Arial"/>
                <w:sz w:val="16"/>
                <w:szCs w:val="16"/>
                <w:color w:val="auto"/>
              </w:rPr>
              <w:t>Power</w:t>
            </w:r>
          </w:p>
        </w:tc>
        <w:tc>
          <w:tcPr>
            <w:tcW w:w="9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derivative assets</w:t>
            </w:r>
          </w:p>
        </w:tc>
        <w:tc>
          <w:tcPr>
            <w:tcW w:w="9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02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9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02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0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547.1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Rabbi trusts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34.1</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2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222.5</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50.3</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(279.5)</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268.0</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15.2</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748.9</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854.9</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95.5</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19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2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47.4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20" w:type="dxa"/>
            <w:vAlign w:val="bottom"/>
          </w:tcPr>
          <w:p>
            <w:pPr>
              <w:ind w:left="240"/>
              <w:spacing w:after="0"/>
              <w:rPr>
                <w:sz w:val="20"/>
                <w:szCs w:val="20"/>
                <w:color w:val="auto"/>
              </w:rPr>
            </w:pPr>
            <w:r>
              <w:rPr>
                <w:rFonts w:ascii="Arial" w:cs="Arial" w:eastAsia="Arial" w:hAnsi="Arial"/>
                <w:sz w:val="16"/>
                <w:szCs w:val="16"/>
                <w:color w:val="auto"/>
              </w:rPr>
              <w:t>Natural gas</w:t>
            </w:r>
          </w:p>
        </w:tc>
        <w:tc>
          <w:tcPr>
            <w:tcW w:w="9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216.6</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52.5</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(270.4)</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250.8</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59.7</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5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With the exception of investments measured at NAV, fair value is based on quoted market prices of the investments held by the trust and/or valuation models.</w:t>
      </w:r>
    </w:p>
    <w:p>
      <w:pPr>
        <w:ind w:left="180" w:right="20" w:hanging="172"/>
        <w:spacing w:after="0" w:line="233"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spacing w:after="0" w:line="12" w:lineRule="exact"/>
        <w:rPr>
          <w:rFonts w:ascii="Arial" w:cs="Arial" w:eastAsia="Arial" w:hAnsi="Arial"/>
          <w:sz w:val="21"/>
          <w:szCs w:val="21"/>
          <w:color w:val="auto"/>
          <w:vertAlign w:val="superscript"/>
        </w:rPr>
      </w:pPr>
    </w:p>
    <w:p>
      <w:pPr>
        <w:ind w:left="180" w:right="420" w:hanging="172"/>
        <w:spacing w:after="0" w:line="235" w:lineRule="auto"/>
        <w:tabs>
          <w:tab w:leader="none" w:pos="18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480" w:type="dxa"/>
            <w:vAlign w:val="bottom"/>
            <w:tcBorders>
              <w:top w:val="single" w:sz="8" w:color="auto"/>
              <w:bottom w:val="single" w:sz="8" w:color="auto"/>
            </w:tcBorders>
            <w:gridSpan w:val="3"/>
          </w:tcPr>
          <w:p>
            <w:pPr>
              <w:jc w:val="right"/>
              <w:ind w:right="751"/>
              <w:spacing w:after="0"/>
              <w:rPr>
                <w:sz w:val="20"/>
                <w:szCs w:val="20"/>
                <w:color w:val="auto"/>
              </w:rPr>
            </w:pPr>
            <w:r>
              <w:rPr>
                <w:rFonts w:ascii="Arial" w:cs="Arial" w:eastAsia="Arial" w:hAnsi="Arial"/>
                <w:sz w:val="18"/>
                <w:szCs w:val="18"/>
                <w:b w:val="1"/>
                <w:bCs w:val="1"/>
                <w:color w:val="auto"/>
              </w:rPr>
              <w:t>June 30, 2023</w:t>
            </w:r>
          </w:p>
        </w:tc>
        <w:tc>
          <w:tcPr>
            <w:tcW w:w="360" w:type="dxa"/>
            <w:vAlign w:val="bottom"/>
            <w:tcBorders>
              <w:top w:val="single" w:sz="8" w:color="auto"/>
              <w:bottom w:val="single" w:sz="8" w:color="auto"/>
            </w:tcBorders>
          </w:tcPr>
          <w:p>
            <w:pPr>
              <w:spacing w:after="0"/>
              <w:rPr>
                <w:sz w:val="22"/>
                <w:szCs w:val="22"/>
                <w:color w:val="auto"/>
              </w:rPr>
            </w:pPr>
          </w:p>
        </w:tc>
        <w:tc>
          <w:tcPr>
            <w:tcW w:w="2540" w:type="dxa"/>
            <w:vAlign w:val="bottom"/>
            <w:tcBorders>
              <w:top w:val="single" w:sz="8" w:color="auto"/>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December 31, 2022</w:t>
            </w:r>
          </w:p>
        </w:tc>
        <w:tc>
          <w:tcPr>
            <w:tcW w:w="264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rPr>
              <w:t>June 30, 2023</w:t>
            </w:r>
          </w:p>
        </w:tc>
      </w:tr>
      <w:tr>
        <w:trPr>
          <w:trHeight w:val="218"/>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80" w:type="dxa"/>
            <w:vAlign w:val="bottom"/>
          </w:tcPr>
          <w:p>
            <w:pPr>
              <w:jc w:val="right"/>
              <w:ind w:right="311"/>
              <w:spacing w:after="0"/>
              <w:rPr>
                <w:sz w:val="20"/>
                <w:szCs w:val="20"/>
                <w:color w:val="auto"/>
              </w:rPr>
            </w:pPr>
            <w:r>
              <w:rPr>
                <w:rFonts w:ascii="Arial" w:cs="Arial" w:eastAsia="Arial" w:hAnsi="Arial"/>
                <w:sz w:val="18"/>
                <w:szCs w:val="18"/>
                <w:b w:val="1"/>
                <w:bCs w:val="1"/>
                <w:color w:val="auto"/>
              </w:rPr>
              <w:t>Unfunded</w:t>
            </w:r>
          </w:p>
        </w:tc>
        <w:tc>
          <w:tcPr>
            <w:tcW w:w="36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Unfunded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Length of</w:t>
            </w:r>
          </w:p>
        </w:tc>
      </w:tr>
      <w:tr>
        <w:trPr>
          <w:trHeight w:val="241"/>
        </w:trPr>
        <w:tc>
          <w:tcPr>
            <w:tcW w:w="3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3"/>
              </w:rPr>
              <w:t>Commitments</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Commitments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equity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29"/>
        </w:trPr>
        <w:tc>
          <w:tcPr>
            <w:tcW w:w="3040" w:type="dxa"/>
            <w:vAlign w:val="bottom"/>
          </w:tcPr>
          <w:p>
            <w:pPr>
              <w:ind w:left="14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10"/>
                <w:szCs w:val="10"/>
                <w:color w:val="auto"/>
              </w:rPr>
              <w:t>(b)</w:t>
            </w:r>
          </w:p>
        </w:tc>
        <w:tc>
          <w:tcPr>
            <w:tcW w:w="1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1"/>
              </w:rPr>
              <w:t>Quarterly</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10"/>
                <w:szCs w:val="10"/>
                <w:color w:val="auto"/>
              </w:rPr>
              <w:t>(b)</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18.9</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Quarterly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62.8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bl>
    <w:p>
      <w:pPr>
        <w:spacing w:after="0" w:line="85" w:lineRule="exact"/>
        <w:rPr>
          <w:sz w:val="20"/>
          <w:szCs w:val="20"/>
          <w:color w:val="auto"/>
        </w:rPr>
      </w:pPr>
    </w:p>
    <w:p>
      <w:pPr>
        <w:ind w:left="180" w:right="40" w:hanging="172"/>
        <w:spacing w:after="0" w:line="239"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spacing w:after="0" w:line="2" w:lineRule="exact"/>
        <w:rPr>
          <w:rFonts w:ascii="Arial" w:cs="Arial" w:eastAsia="Arial" w:hAnsi="Arial"/>
          <w:sz w:val="21"/>
          <w:szCs w:val="21"/>
          <w:color w:val="auto"/>
          <w:vertAlign w:val="superscript"/>
        </w:rPr>
      </w:pPr>
    </w:p>
    <w:p>
      <w:pPr>
        <w:ind w:left="180" w:hanging="172"/>
        <w:spacing w:after="0" w:line="201"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There is a holdback on final redemptions.</w:t>
      </w:r>
    </w:p>
    <w:p>
      <w:pPr>
        <w:spacing w:after="0" w:line="192"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right"/>
              <w:ind w:right="170"/>
              <w:spacing w:after="0" w:line="202" w:lineRule="exact"/>
              <w:rPr>
                <w:sz w:val="20"/>
                <w:szCs w:val="20"/>
                <w:color w:val="auto"/>
              </w:rPr>
            </w:pPr>
            <w:r>
              <w:rPr>
                <w:rFonts w:ascii="Arial" w:cs="Arial" w:eastAsia="Arial" w:hAnsi="Arial"/>
                <w:sz w:val="18"/>
                <w:szCs w:val="18"/>
                <w:b w:val="1"/>
                <w:bCs w:val="1"/>
                <w:color w:val="auto"/>
              </w:rPr>
              <w:t>Three Months Ended</w:t>
            </w:r>
          </w:p>
        </w:tc>
        <w:tc>
          <w:tcPr>
            <w:tcW w:w="5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w w:val="97"/>
              </w:rPr>
              <w:t>Year to Date</w:t>
            </w:r>
          </w:p>
        </w:tc>
        <w:tc>
          <w:tcPr>
            <w:tcW w:w="1040" w:type="dxa"/>
            <w:vAlign w:val="bottom"/>
            <w:tcBorders>
              <w:top w:val="single" w:sz="8" w:color="auto"/>
            </w:tcBorders>
          </w:tcPr>
          <w:p>
            <w:pPr>
              <w:spacing w:after="0"/>
              <w:rPr>
                <w:sz w:val="17"/>
                <w:szCs w:val="17"/>
                <w:color w:val="auto"/>
              </w:rPr>
            </w:pPr>
          </w:p>
        </w:tc>
      </w:tr>
      <w:tr>
        <w:trPr>
          <w:trHeight w:val="225"/>
        </w:trPr>
        <w:tc>
          <w:tcPr>
            <w:tcW w:w="4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4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19"/>
                <w:szCs w:val="19"/>
                <w:color w:val="auto"/>
              </w:rPr>
            </w:pPr>
          </w:p>
        </w:tc>
      </w:tr>
      <w:tr>
        <w:trPr>
          <w:trHeight w:val="241"/>
        </w:trPr>
        <w:tc>
          <w:tcPr>
            <w:tcW w:w="4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00" w:type="dxa"/>
            <w:vAlign w:val="bottom"/>
            <w:gridSpan w:val="2"/>
          </w:tcPr>
          <w:p>
            <w:pPr>
              <w:jc w:val="right"/>
              <w:ind w:right="690"/>
              <w:spacing w:after="0"/>
              <w:rPr>
                <w:sz w:val="20"/>
                <w:szCs w:val="20"/>
                <w:color w:val="auto"/>
              </w:rPr>
            </w:pPr>
            <w:r>
              <w:rPr>
                <w:rFonts w:ascii="Arial" w:cs="Arial" w:eastAsia="Arial" w:hAnsi="Arial"/>
                <w:sz w:val="16"/>
                <w:szCs w:val="16"/>
                <w:color w:val="auto"/>
              </w:rPr>
              <w:t>(millions)</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25.2</w:t>
            </w:r>
          </w:p>
        </w:tc>
        <w:tc>
          <w:tcPr>
            <w:tcW w:w="10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(36.8)</w:t>
            </w:r>
          </w:p>
        </w:tc>
        <w:tc>
          <w:tcPr>
            <w:tcW w:w="11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20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8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1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Rabbi trusts - equity securities</w:t>
            </w:r>
          </w:p>
        </w:tc>
        <w:tc>
          <w:tcPr>
            <w:tcW w:w="12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6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4460" w:type="dxa"/>
            <w:vAlign w:val="bottom"/>
          </w:tcPr>
          <w:p>
            <w:pPr>
              <w:ind w:left="14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24.0</w:t>
            </w:r>
          </w:p>
        </w:tc>
        <w:tc>
          <w:tcPr>
            <w:tcW w:w="10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w w:val="97"/>
              </w:rPr>
              <w:t>(43.7)</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2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0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w w:val="97"/>
              </w:rPr>
              <w:t>(13.4)</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Rabbi trust - equity securities</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10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w w:val="97"/>
              </w:rPr>
              <w:t>(16.0)</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2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17.3</w:t>
            </w:r>
          </w:p>
        </w:tc>
        <w:tc>
          <w:tcPr>
            <w:tcW w:w="10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w w:val="97"/>
              </w:rPr>
              <w:t>(23.4)</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4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16.0</w:t>
            </w:r>
          </w:p>
        </w:tc>
        <w:tc>
          <w:tcPr>
            <w:tcW w:w="10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(27.0)</w:t>
            </w:r>
          </w:p>
        </w:tc>
        <w:tc>
          <w:tcPr>
            <w:tcW w:w="11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w:t>
            </w: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of their operations are in substantial compliance with current federal, state and local environmental standards.</w:t>
      </w:r>
    </w:p>
    <w:p>
      <w:pPr>
        <w:spacing w:after="0" w:line="190" w:lineRule="exact"/>
        <w:rPr>
          <w:sz w:val="20"/>
          <w:szCs w:val="20"/>
          <w:color w:val="auto"/>
        </w:rPr>
      </w:pPr>
    </w:p>
    <w:p>
      <w:pPr>
        <w:ind w:right="60"/>
        <w:spacing w:after="0" w:line="360" w:lineRule="auto"/>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Clean Air Act - Startup, Shutdown and Malfunction (SSM) Regulation</w:t>
      </w:r>
    </w:p>
    <w:p>
      <w:pPr>
        <w:spacing w:after="0" w:line="20"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In 2015, the Environmental Protection Agency (EPA) issued a final rule addressing how state implementation plans (SIPs) can treat excess emissions during SSM events. This rule was referred to as the 2015 SIP Call Rule. The rule required 36 states to submit SIP revisions by November 2016 to remove certain exemptions and other discretionary enforcement provisions that apply to excess emissions during SSM events. Legal challenges ensued and the case was eventually placed in abeyance. In December 2021, the U.S. Court of Appeals for the D.C. Circuit (D.C. Circuit) restarted the litigation and oral arguments were held in March 2022. An additional case was also taking place in the U.S. District Court for the Northern District of California (District Court of Northern California) and in June 2022, the District Court of Northern California entered a final consent decree establishing deadlines for the EPA to take final action on SIP revisions that were submitted in response to the 2015 SIP Call Rule. Deadlines for 26 states and air districts, including Kansas, Missouri and Oklahoma, are listed in the final consent decree. Final action from the EPA could result in required SIP revisions in Oklahoma, Kansas and Missouri which could have a material impact on the Evergy Companies. If the D.C. Circuit overturns the EPA's 2015 SIP Call Rule, the final consent decree's deadlines will no longer be valid.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Mercury and Air Toxics Standards (MATS)</w:t>
      </w:r>
    </w:p>
    <w:p>
      <w:pPr>
        <w:spacing w:after="0" w:line="2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April 2023, the EPA released a proposal to tighten certain aspects of the MATS rule. The EPA is proposing to lower the emission limit for particulate matter (PM), require the use of PM continuous emissions monitors (CEMS) and lower the mercury emission limit for lignite coal-fired electric generating units (EGUs). The EPA is also soliciting comment on further strengthening of the PM emission limitation. Due to uncertainty regarding final actions on the MATS rule, the Evergy Companies are unable to accurately assess the impacts of these potential EPA actions on their operations or consolidated financial results, but the cost to comply with the emission limitations as proposed do not appear to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State Implementation Plans (ITSIP)</w:t>
      </w:r>
    </w:p>
    <w:p>
      <w:pPr>
        <w:spacing w:after="0" w:line="2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In 2015, the EPA lowered the Ozone National Ambient Air Quality Standards (NAAQS) from 75 ppb to 70 ppb. Impacted states were required to submit ITSIPs in 2018 to comply with the "Good Neighbor Provision" of the Clean Air Act (CAA). The EPA did not act on these ITSIP submissions by the deadline established in the CAA and entered consent decrees establishing deadlines to take final action on various ITSIPs. In February 2022, the EPA published a proposed rule to disapprove of ITSIPs submitted by nineteen states including Missouri and Oklahoma. In April 2022, the EPA published a final approval of the Kansas ITSIP in the Federal Register. MDNR submitted a supplemental ITSIP to the EPA on November 1, 2022. In February 2023, the EPA published a final rule disapproving the ITSIPs submitted by 19 states, including the final disapproval of the Missouri and Oklahoma ITSIPs. In April 2023, the Attorneys General of Missouri and Oklahoma have filed Petitions for Review in the U.S.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Circuit Courts of Appeals, respectively, challenging the EPA disapproval. In May 2023, the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Circuit granted Missouri's stay request and denied the EPA's request for a change of venue to the D.C. Circuit. Due to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80"/>
        <w:spacing w:after="0" w:line="274" w:lineRule="auto"/>
        <w:rPr>
          <w:sz w:val="20"/>
          <w:szCs w:val="20"/>
          <w:color w:val="auto"/>
        </w:rPr>
      </w:pPr>
      <w:r>
        <w:rPr>
          <w:rFonts w:ascii="Arial" w:cs="Arial" w:eastAsia="Arial" w:hAnsi="Arial"/>
          <w:sz w:val="20"/>
          <w:szCs w:val="20"/>
          <w:color w:val="auto"/>
        </w:rPr>
        <w:t>uncertainties regarding the legal challenges, the impact on the Evergy Companies' operations and the cost to comply is unknown but is not expected to be material if the ITSIPs are approved in their current forms.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Federal Implementation Plans (ITFIP)</w:t>
      </w:r>
    </w:p>
    <w:p>
      <w:pPr>
        <w:spacing w:after="0" w:line="2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April 2022, the EPA published in the Federal Register the proposed ITFIP to resolve outstanding "Good Neighbor" obligations with respect to the 2015 Ozone NAAQS for 26 states including Missouri and Oklahoma. This ITFIP would establish a revised Cross-State Air Pollution Rule (CSAPR) ozone season nitrogen oxide (NOx) emissions trading program for electric generating units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includes reductions to the state ozone season NOx budgets for Missouri and Oklahoma beginning in 2023 with additional reductions in future years. The Evergy Companies provided formal comments as part of the rulemaking process. In June 2023, the EPA published in the Federal Register the final ITFIP for twenty-three states, including Missouri and Oklahoma. The EPA also released an Interim Final Rule in June 2023 that will stay the effectiveness of the ITFIP in Missouri, and five other states, while judicial stays remain in effect for the EPA's final rule disapproval of the ITSIPs submitted by those states. In the Interim Final Rule, the EPA acknowledges that it lacks authority to impose the ITFIP on sources in these states while its disapproval of the ITSIPs submitted by these states is stayed. Due to uncertainties regarding the legal challenges to the ITSIP disapprovals and the ITFIP, the Evergy Companies are unable to accurately assess the impacts of the ITFIP, but the impact on their operations and the cost to comply could be material.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Particulate Matter and Ozone National Ambient Air Quality Standards</w:t>
      </w:r>
    </w:p>
    <w:p>
      <w:pPr>
        <w:spacing w:after="0" w:line="20"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January 2023, the EPA proposed strengthening the primary annual PM</w:t>
      </w:r>
      <w:r>
        <w:rPr>
          <w:rFonts w:ascii="Arial" w:cs="Arial" w:eastAsia="Arial" w:hAnsi="Arial"/>
          <w:sz w:val="23"/>
          <w:szCs w:val="23"/>
          <w:color w:val="auto"/>
          <w:vertAlign w:val="subscript"/>
        </w:rPr>
        <w:t>2.5</w:t>
      </w:r>
      <w:r>
        <w:rPr>
          <w:rFonts w:ascii="Arial" w:cs="Arial" w:eastAsia="Arial" w:hAnsi="Arial"/>
          <w:sz w:val="18"/>
          <w:szCs w:val="18"/>
          <w:color w:val="auto"/>
        </w:rPr>
        <w:t xml:space="preserve"> (particulate matter less than 2.5 microns in diameter) NAAQS. The EPA is proposing to lower the primary annual PM </w:t>
      </w:r>
      <w:r>
        <w:rPr>
          <w:rFonts w:ascii="Arial" w:cs="Arial" w:eastAsia="Arial" w:hAnsi="Arial"/>
          <w:sz w:val="23"/>
          <w:szCs w:val="23"/>
          <w:color w:val="auto"/>
          <w:vertAlign w:val="subscript"/>
        </w:rPr>
        <w:t>2.5</w:t>
      </w:r>
      <w:r>
        <w:rPr>
          <w:rFonts w:ascii="Arial" w:cs="Arial" w:eastAsia="Arial" w:hAnsi="Arial"/>
          <w:sz w:val="18"/>
          <w:szCs w:val="18"/>
          <w:color w:val="auto"/>
        </w:rPr>
        <w:t xml:space="preserve"> NAAQS from 12.0 µg/m3 (micrograms per cubic meter) to a level that would be between 9.0 and 10.0 µg/m3. The EPA is proposing to retain the other PM NAAQS at their current levels. In March 2023, the EPA released a revised draft Policy Assessment for the Reconsideration of the Ozone NAAQS which recommended retaining the current Ozone NAAQS of 70 parts per billion (ppb). The EPA plans to issue a proposed decision on the Ozone NAAQS reconsideration in the spring of 2024, with a final decision no earlier than the end of 2024. Due to uncertainty regarding the potential lowering of the ozone and PM</w:t>
      </w:r>
      <w:r>
        <w:rPr>
          <w:rFonts w:ascii="Arial" w:cs="Arial" w:eastAsia="Arial" w:hAnsi="Arial"/>
          <w:sz w:val="23"/>
          <w:szCs w:val="23"/>
          <w:color w:val="auto"/>
          <w:vertAlign w:val="subscript"/>
        </w:rPr>
        <w:t>2.5</w:t>
      </w:r>
      <w:r>
        <w:rPr>
          <w:rFonts w:ascii="Arial" w:cs="Arial" w:eastAsia="Arial" w:hAnsi="Arial"/>
          <w:sz w:val="18"/>
          <w:szCs w:val="18"/>
          <w:color w:val="auto"/>
        </w:rPr>
        <w:t xml:space="preserve"> NAAQS, the Evergy Companies are unable to accurately assess the impacts of these potential EPA actions on their operations or consolidated financial results, but the cost to comply with lower future ozone or PM</w:t>
      </w:r>
      <w:r>
        <w:rPr>
          <w:rFonts w:ascii="Arial" w:cs="Arial" w:eastAsia="Arial" w:hAnsi="Arial"/>
          <w:sz w:val="23"/>
          <w:szCs w:val="23"/>
          <w:color w:val="auto"/>
          <w:vertAlign w:val="subscript"/>
        </w:rPr>
        <w:t>2.5</w:t>
      </w:r>
      <w:r>
        <w:rPr>
          <w:rFonts w:ascii="Arial" w:cs="Arial" w:eastAsia="Arial" w:hAnsi="Arial"/>
          <w:sz w:val="18"/>
          <w:szCs w:val="18"/>
          <w:color w:val="auto"/>
        </w:rPr>
        <w:t xml:space="preserve"> NAAQS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Regional Haze Rule</w:t>
      </w:r>
    </w:p>
    <w:p>
      <w:pPr>
        <w:spacing w:after="0" w:line="2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31, 2021. The Evergy Companies have been in contact with the Kansas Department of Health and Environment (KDHE) and MDNR as they worked to draft their SIP revisions. The Missouri SIP revision does not require any additional reductions from the Evergy Companies' generating units in the state. MDNR submitted the Missouri SIP revision to the EPA in August 2022, however, they failed to do so by the EPA's revised submittal deadline of August 15, 2022. As a result, on August 30,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The Kansas SIP revision was placed on public notice in June 2021 and requested no additional emission reductions by electric utilities based on the significant reductions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that were achieved during the first implementation period. The EPA provided comments on the Kansas SIP revision in June 2021 that each state is statutorily required to conduct a "four-factor analysis" on at least two sources within the state to help determine if further emission reductions are necessary. The EPA also stated it would be difficult to approve the Kansas SIP revision if at least two four-factor analyses are not conducted on Kansas emission sources. KDHE submitted the Kansas SIP revision in July 2021. If a Kansas generating unit of the Evergy Companies is selected for analysis, the possibility exists that the state or the EPA, through a revised SIP or a FIP, could determine that additional operational or physical modifications are required on the generating unit to further reduce emissions. The overall cost of those modifications could be material to the Evergy Companies. In June 2023, several environmental organizations filed a suit against the EPA in the D.C. Circuit for failure of the EPA to timely approve or disapprove of the SIP revisions submitted by Kansas and seven other states.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16" w:lineRule="exact"/>
        <w:rPr>
          <w:sz w:val="20"/>
          <w:szCs w:val="20"/>
          <w:color w:val="auto"/>
        </w:rPr>
      </w:pPr>
    </w:p>
    <w:p>
      <w:pPr>
        <w:ind w:right="20"/>
        <w:spacing w:after="0" w:line="217" w:lineRule="auto"/>
        <w:rPr>
          <w:sz w:val="20"/>
          <w:szCs w:val="20"/>
          <w:color w:val="auto"/>
        </w:rPr>
      </w:pPr>
      <w:r>
        <w:rPr>
          <w:rFonts w:ascii="Arial" w:cs="Arial" w:eastAsia="Arial" w:hAnsi="Arial"/>
          <w:sz w:val="20"/>
          <w:szCs w:val="20"/>
          <w:color w:val="auto"/>
        </w:rPr>
        <w:t>Burning coal and other fossil fuels releases carbon dioxide (CO</w:t>
      </w:r>
      <w:r>
        <w:rPr>
          <w:rFonts w:ascii="Arial" w:cs="Arial" w:eastAsia="Arial" w:hAnsi="Arial"/>
          <w:sz w:val="25"/>
          <w:szCs w:val="25"/>
          <w:color w:val="auto"/>
          <w:vertAlign w:val="subscript"/>
        </w:rPr>
        <w:t>2</w:t>
      </w:r>
      <w:r>
        <w:rPr>
          <w:rFonts w:ascii="Arial" w:cs="Arial" w:eastAsia="Arial" w:hAnsi="Arial"/>
          <w:sz w:val="20"/>
          <w:szCs w:val="20"/>
          <w:color w:val="auto"/>
        </w:rPr>
        <w:t>) and other gases referred to as greenhouse gases (GHG). Various regulations under the CAA limit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and other GHG emissions, and in addition, other measures are being imposed or offered by individual states, municipalities and regional agreements with the goal of reducing GHG emissions. In May 2023, the EPA published in the Federal Register proposed GHG regulations that would apply to fossil fuel fired EGUs. The proposal would set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limitations for new gas-fired combustion turbines, existing coal, oil and gas-fired steam generating units, and certain existing gas-fired combustion turbines. The proposed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limitations assume technologies such as carbon capture and sequestration/storage (CCS), hydrogen co-firing, and natural gas co-firing will be utilized.</w:t>
      </w:r>
    </w:p>
    <w:p>
      <w:pPr>
        <w:spacing w:after="0" w:line="210" w:lineRule="exact"/>
        <w:rPr>
          <w:sz w:val="20"/>
          <w:szCs w:val="20"/>
          <w:color w:val="auto"/>
        </w:rPr>
      </w:pPr>
    </w:p>
    <w:p>
      <w:pPr>
        <w:ind w:right="780"/>
        <w:spacing w:after="0" w:line="287" w:lineRule="auto"/>
        <w:rPr>
          <w:sz w:val="20"/>
          <w:szCs w:val="20"/>
          <w:color w:val="auto"/>
        </w:rPr>
      </w:pPr>
      <w:r>
        <w:rPr>
          <w:rFonts w:ascii="Arial" w:cs="Arial" w:eastAsia="Arial" w:hAnsi="Arial"/>
          <w:sz w:val="19"/>
          <w:szCs w:val="19"/>
          <w:color w:val="auto"/>
        </w:rPr>
        <w:t>Due to uncertainty regarding the future of the EPA's GHG regulations, the Evergy Companies cannot determine the impacts on their operations or consolidated financial results, but the cost to comply with potential GHG rules could be material.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1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 Implementation timelines for this 2015 rule vary from 2018 to 2023. In April 2019, the U.S. Court of Appeals for the 5th Circuit (5th Circuit) issued a ruling that vacated and remanded portions of the original ELG rule. Due to this ruling, the EPA announced a plan in July 2021 to issue a proposed rule in the fall of 2022 to address the vacated limitations for legacy wastewater and landfill leachate. In March 2023, the EPA published a proposed update to the ELG to address the vacated limitations and prior reviews of the existing rule by the current administration. Flue Gas Desulfurization (FGD) wastewater, bottom ash transport wastewater, coal residual leachate, and legacy wastewater are addressed in the proposal. The Evergy Companies have reviewed the proposed modifications to limitations on FGD wastewater and bottom ash transport water and if the regulation is finalized as proposed, the Evergy Companies do not believe the impact to be material. Modifications for best available technology economically available for the discharge of coal residual leachate could be material if the rulemaking is finalized as proposed.</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In August 2021, based on an order issued by the U.S. District Court for the District of Arizona, which vacated and remanded the EPA's 2020 Navigable Waters Protection Rule (NWPR), the EPA and the U.S. Army Corps of Engineers announced that they had halted implementation of the NWPR nationwide, and were interpreting "Waters of the United States" consistent with the regulatory regime that was in place prior to 2015. In December 2021, the EPA and the Department of the Army published a proposed rule that would formally repeal the NWPR and revise the definition of "Waters of the United States." In December 2022, the EPA and the Department of the Army issued a final rule establishing a definition for "Waters of the United States." The final rule was published in the Federal Register in January 2023 and took effect in March 2023. In May 2023, the Supreme Court issued a decision that impacts the final rule and has led the EPA to announce an upcoming rulemaking and changes to the current interpretation. The Evergy Companies are reviewing the Supreme Court's decision and awaiting the announced rulemaking. The impact on the Evergy Companies' operations or consolidated financial results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20"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In April 2022, the Utility Solid Waste Activities Group (USWAG) and other interested parties filed similar petitions in the D.C. Circuit challenging the EPA's legal positions regarding the CCR rule determinations proposed in January 2022. The cost to comply with these proposed determinations by the EPA could be material.</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 May 2023, the EPA published a proposed expansion to the CCR regulation focused on legacy surface impoundments. This regulation expands applicability of the 2015 CCR regulation to two newly defined types of CCR disposal units. If finalized, the Evergy Companies anticipate having additional CCR units requiring evaluation and potential remediation. The cost to comply with these proposed regulations by the EPA could be material.</w:t>
      </w:r>
    </w:p>
    <w:p>
      <w:pPr>
        <w:spacing w:after="0" w:line="184"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The Evergy Companies have recorded AROs for their current estimates for the closure of ash disposal ponds and landfills, but the revision of these AROs may be required in the future due to changes in existing CCR regulations, the results of groundwater monitoring of CCR units or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RELATED PARTY TRANSACTIONS AND RELATIONSHIPS</w:t>
      </w:r>
    </w:p>
    <w:p>
      <w:pPr>
        <w:spacing w:after="0" w:line="12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6" w:lineRule="exact"/>
        <w:rPr>
          <w:sz w:val="20"/>
          <w:szCs w:val="20"/>
          <w:color w:val="auto"/>
        </w:rPr>
      </w:pPr>
    </w:p>
    <w:p>
      <w:pPr>
        <w:ind w:right="140"/>
        <w:spacing w:after="0" w:line="266" w:lineRule="auto"/>
        <w:rPr>
          <w:sz w:val="20"/>
          <w:szCs w:val="20"/>
          <w:color w:val="auto"/>
        </w:rPr>
      </w:pPr>
      <w:r>
        <w:rPr>
          <w:rFonts w:ascii="Arial" w:cs="Arial" w:eastAsia="Arial" w:hAnsi="Arial"/>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operating expenses and capital costs billed for jointly-owned plants and shared services are detailed in the following table.</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84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3"/>
          </w:tcPr>
          <w:p>
            <w:pPr>
              <w:jc w:val="center"/>
              <w:ind w:left="1070"/>
              <w:spacing w:after="0" w:line="202" w:lineRule="exact"/>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ind w:left="540"/>
              <w:spacing w:after="0" w:line="202" w:lineRule="exact"/>
              <w:rPr>
                <w:sz w:val="20"/>
                <w:szCs w:val="20"/>
                <w:color w:val="auto"/>
              </w:rPr>
            </w:pPr>
            <w:r>
              <w:rPr>
                <w:rFonts w:ascii="Arial" w:cs="Arial" w:eastAsia="Arial" w:hAnsi="Arial"/>
                <w:sz w:val="18"/>
                <w:szCs w:val="18"/>
                <w:b w:val="1"/>
                <w:bCs w:val="1"/>
                <w:color w:val="auto"/>
                <w:w w:val="93"/>
              </w:rPr>
              <w:t>Year to Date</w:t>
            </w:r>
          </w:p>
        </w:tc>
        <w:tc>
          <w:tcPr>
            <w:tcW w:w="840" w:type="dxa"/>
            <w:vAlign w:val="bottom"/>
            <w:tcBorders>
              <w:top w:val="single" w:sz="8" w:color="auto"/>
            </w:tcBorders>
          </w:tcPr>
          <w:p>
            <w:pPr>
              <w:spacing w:after="0"/>
              <w:rPr>
                <w:sz w:val="17"/>
                <w:szCs w:val="17"/>
                <w:color w:val="auto"/>
              </w:rPr>
            </w:pPr>
          </w:p>
        </w:tc>
      </w:tr>
      <w:tr>
        <w:trPr>
          <w:trHeight w:val="225"/>
        </w:trPr>
        <w:tc>
          <w:tcPr>
            <w:tcW w:w="48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9"/>
              </w:rPr>
              <w:t>June 30</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ind w:left="720"/>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9"/>
                <w:szCs w:val="19"/>
                <w:color w:val="auto"/>
              </w:rPr>
            </w:pPr>
          </w:p>
        </w:tc>
      </w:tr>
      <w:tr>
        <w:trPr>
          <w:trHeight w:val="241"/>
        </w:trPr>
        <w:tc>
          <w:tcPr>
            <w:tcW w:w="48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2022</w:t>
            </w:r>
          </w:p>
        </w:tc>
      </w:tr>
      <w:tr>
        <w:trPr>
          <w:trHeight w:val="213"/>
        </w:trPr>
        <w:tc>
          <w:tcPr>
            <w:tcW w:w="4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Missouri West</w:t>
            </w:r>
          </w:p>
        </w:tc>
        <w:tc>
          <w:tcPr>
            <w:tcW w:w="16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9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16.1</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Evergy Metro billings to Evergy Missouri West</w:t>
            </w:r>
          </w:p>
        </w:tc>
        <w:tc>
          <w:tcPr>
            <w:tcW w:w="160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30.4</w:t>
            </w:r>
          </w:p>
        </w:tc>
        <w:tc>
          <w:tcPr>
            <w:tcW w:w="96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96"/>
              </w:rPr>
              <w:t>32.3</w:t>
            </w:r>
          </w:p>
        </w:tc>
        <w:tc>
          <w:tcPr>
            <w:tcW w:w="46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57.2</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Metro</w:t>
            </w:r>
          </w:p>
        </w:tc>
        <w:tc>
          <w:tcPr>
            <w:tcW w:w="16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12.0</w:t>
            </w:r>
          </w:p>
        </w:tc>
        <w:tc>
          <w:tcPr>
            <w:tcW w:w="9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22.9</w:t>
            </w: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Metro billings to Evergy Kansas Central</w:t>
            </w: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31.7</w:t>
            </w: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6"/>
              </w:rPr>
              <w:t>31.3</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60.6</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6" w:lineRule="exact"/>
        <w:rPr>
          <w:sz w:val="20"/>
          <w:szCs w:val="20"/>
          <w:color w:val="auto"/>
        </w:rPr>
      </w:pPr>
    </w:p>
    <w:p>
      <w:pPr>
        <w:ind w:right="320"/>
        <w:spacing w:after="0" w:line="253" w:lineRule="auto"/>
        <w:rPr>
          <w:sz w:val="20"/>
          <w:szCs w:val="20"/>
          <w:color w:val="auto"/>
        </w:rPr>
      </w:pPr>
      <w:r>
        <w:rPr>
          <w:rFonts w:ascii="Arial" w:cs="Arial" w:eastAsia="Arial" w:hAnsi="Arial"/>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83"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auto"/>
        </w:rPr>
        <w:t>As of June 30, 2023, Evergy Metro had no outstanding receivables or payables under the money pool. As of December 31, 2022, Evergy Metro had a $31.0 million outstanding receivable from Evergy Missouri West under the money pool. As of June 30, 2023 and December 31, 2022, Evergy Kansas Central had no outstanding receivables or payables under the money pool.</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520" w:type="dxa"/>
            <w:vAlign w:val="bottom"/>
            <w:tcBorders>
              <w:top w:val="single" w:sz="8" w:color="auto"/>
            </w:tcBorders>
          </w:tcPr>
          <w:p>
            <w:pPr>
              <w:spacing w:after="0"/>
              <w:rPr>
                <w:sz w:val="22"/>
                <w:szCs w:val="22"/>
                <w:color w:val="auto"/>
              </w:rPr>
            </w:pPr>
          </w:p>
        </w:tc>
        <w:tc>
          <w:tcPr>
            <w:tcW w:w="3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December 31</w:t>
            </w:r>
          </w:p>
        </w:tc>
      </w:tr>
      <w:tr>
        <w:trPr>
          <w:trHeight w:val="238"/>
        </w:trPr>
        <w:tc>
          <w:tcPr>
            <w:tcW w:w="55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4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payable to Evergy</w:t>
            </w:r>
          </w:p>
        </w:tc>
        <w:tc>
          <w:tcPr>
            <w:tcW w:w="34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3"/>
              </w:rPr>
              <w:t>(13.4)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payable to Evergy Metro</w:t>
            </w:r>
          </w:p>
        </w:tc>
        <w:tc>
          <w:tcPr>
            <w:tcW w:w="344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3"/>
              </w:rPr>
              <w:t>(15.8)</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34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56"/>
        </w:trPr>
        <w:tc>
          <w:tcPr>
            <w:tcW w:w="55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3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344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16.1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Kansas Central</w:t>
            </w:r>
          </w:p>
        </w:tc>
        <w:tc>
          <w:tcPr>
            <w:tcW w:w="34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3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82.5</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6"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December 31</w:t>
            </w:r>
          </w:p>
        </w:tc>
      </w:tr>
      <w:tr>
        <w:trPr>
          <w:trHeight w:val="241"/>
        </w:trPr>
        <w:tc>
          <w:tcPr>
            <w:tcW w:w="57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32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56"/>
        </w:trPr>
        <w:tc>
          <w:tcPr>
            <w:tcW w:w="574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32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(21.6)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TAXES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auto"/>
            </w:tcBorders>
          </w:tcPr>
          <w:p>
            <w:pPr>
              <w:spacing w:after="0"/>
              <w:rPr>
                <w:sz w:val="17"/>
                <w:szCs w:val="17"/>
                <w:color w:val="auto"/>
              </w:rPr>
            </w:pPr>
          </w:p>
        </w:tc>
        <w:tc>
          <w:tcPr>
            <w:tcW w:w="478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3"/>
          </w:tcPr>
          <w:p>
            <w:pPr>
              <w:jc w:val="center"/>
              <w:ind w:left="430"/>
              <w:spacing w:after="0" w:line="196" w:lineRule="exact"/>
              <w:rPr>
                <w:sz w:val="20"/>
                <w:szCs w:val="20"/>
                <w:color w:val="auto"/>
              </w:rPr>
            </w:pPr>
            <w:r>
              <w:rPr>
                <w:rFonts w:ascii="Arial" w:cs="Arial" w:eastAsia="Arial" w:hAnsi="Arial"/>
                <w:sz w:val="18"/>
                <w:szCs w:val="18"/>
                <w:b w:val="1"/>
                <w:bCs w:val="1"/>
                <w:color w:val="auto"/>
                <w:w w:val="92"/>
              </w:rPr>
              <w:t>Three Months Ended</w:t>
            </w:r>
          </w:p>
        </w:tc>
        <w:tc>
          <w:tcPr>
            <w:tcW w:w="6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jc w:val="center"/>
              <w:ind w:left="530"/>
              <w:spacing w:after="0" w:line="196" w:lineRule="exact"/>
              <w:rPr>
                <w:sz w:val="20"/>
                <w:szCs w:val="20"/>
                <w:color w:val="auto"/>
              </w:rPr>
            </w:pPr>
            <w:r>
              <w:rPr>
                <w:rFonts w:ascii="Arial" w:cs="Arial" w:eastAsia="Arial" w:hAnsi="Arial"/>
                <w:sz w:val="18"/>
                <w:szCs w:val="18"/>
                <w:b w:val="1"/>
                <w:bCs w:val="1"/>
                <w:color w:val="auto"/>
                <w:w w:val="91"/>
              </w:rPr>
              <w:t>Year to Date</w:t>
            </w: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9"/>
              </w:rPr>
              <w:t>June 30</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9"/>
              </w:rPr>
              <w:t>June 30</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income taxes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1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10.6</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11.9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4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12.8</w:t>
            </w:r>
          </w:p>
        </w:tc>
        <w:tc>
          <w:tcPr>
            <w:tcW w:w="10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15.6</w:t>
            </w:r>
          </w:p>
        </w:tc>
        <w:tc>
          <w:tcPr>
            <w:tcW w:w="4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22.5</w:t>
            </w: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tcBorders>
              <w:bottom w:val="single" w:sz="8" w:color="auto"/>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13.2</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(0.2)</w:t>
            </w: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w:t>
            </w: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21"/>
                <w:szCs w:val="2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Investment tax credit</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Deferral</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21"/>
                <w:szCs w:val="2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auto"/>
            </w:tcBorders>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10.8</w:t>
            </w:r>
          </w:p>
        </w:tc>
        <w:tc>
          <w:tcPr>
            <w:tcW w:w="10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22.1</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23.2</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0" w:type="dxa"/>
            <w:vAlign w:val="bottom"/>
            <w:tcBorders>
              <w:bottom w:val="single" w:sz="8" w:color="auto"/>
            </w:tcBorders>
          </w:tcPr>
          <w:p>
            <w:pPr>
              <w:spacing w:after="0"/>
              <w:rPr>
                <w:sz w:val="20"/>
                <w:szCs w:val="20"/>
                <w:color w:val="auto"/>
              </w:rPr>
            </w:pPr>
          </w:p>
        </w:tc>
      </w:tr>
      <w:tr>
        <w:trPr>
          <w:trHeight w:val="574"/>
        </w:trPr>
        <w:tc>
          <w:tcPr>
            <w:tcW w:w="20" w:type="dxa"/>
            <w:vAlign w:val="bottom"/>
          </w:tcPr>
          <w:p>
            <w:pPr>
              <w:spacing w:after="0"/>
              <w:rPr>
                <w:sz w:val="24"/>
                <w:szCs w:val="24"/>
                <w:color w:val="auto"/>
              </w:rPr>
            </w:pP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600" w:type="dxa"/>
            <w:vAlign w:val="bottom"/>
            <w:gridSpan w:val="3"/>
          </w:tcPr>
          <w:p>
            <w:pPr>
              <w:jc w:val="center"/>
              <w:ind w:left="410"/>
              <w:spacing w:after="0" w:line="184" w:lineRule="exact"/>
              <w:rPr>
                <w:sz w:val="20"/>
                <w:szCs w:val="20"/>
                <w:color w:val="auto"/>
              </w:rPr>
            </w:pPr>
            <w:r>
              <w:rPr>
                <w:rFonts w:ascii="Arial" w:cs="Arial" w:eastAsia="Arial" w:hAnsi="Arial"/>
                <w:sz w:val="18"/>
                <w:szCs w:val="18"/>
                <w:b w:val="1"/>
                <w:bCs w:val="1"/>
                <w:color w:val="auto"/>
                <w:w w:val="90"/>
              </w:rPr>
              <w:t>Three Months Ended</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gridSpan w:val="2"/>
          </w:tcPr>
          <w:p>
            <w:pPr>
              <w:jc w:val="center"/>
              <w:ind w:left="530"/>
              <w:spacing w:after="0" w:line="184" w:lineRule="exact"/>
              <w:rPr>
                <w:sz w:val="20"/>
                <w:szCs w:val="20"/>
                <w:color w:val="auto"/>
              </w:rPr>
            </w:pPr>
            <w:r>
              <w:rPr>
                <w:rFonts w:ascii="Arial" w:cs="Arial" w:eastAsia="Arial" w:hAnsi="Arial"/>
                <w:sz w:val="18"/>
                <w:szCs w:val="18"/>
                <w:b w:val="1"/>
                <w:bCs w:val="1"/>
                <w:color w:val="auto"/>
                <w:w w:val="91"/>
              </w:rPr>
              <w:t>Year to Date</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86"/>
              </w:rPr>
              <w:t>June 30</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9"/>
              </w:rPr>
              <w:t>June 30</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0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28.9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0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27.8</w:t>
            </w:r>
          </w:p>
        </w:tc>
        <w:tc>
          <w:tcPr>
            <w:tcW w:w="4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26.4</w:t>
            </w: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(0.7)</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(21.9)</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(0.5)</w:t>
            </w: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(2.3)</w:t>
            </w: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(22.4)</w:t>
            </w: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(0.9)</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(1.9)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(0.9)</w:t>
            </w:r>
          </w:p>
        </w:tc>
        <w:tc>
          <w:tcPr>
            <w:tcW w:w="10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(1.9)</w:t>
            </w: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4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w:t>
            </w:r>
          </w:p>
        </w:tc>
        <w:tc>
          <w:tcPr>
            <w:tcW w:w="1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4.4</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11.5</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0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3"/>
          </w:tcPr>
          <w:p>
            <w:pPr>
              <w:jc w:val="right"/>
              <w:ind w:right="170"/>
              <w:spacing w:after="0" w:line="191" w:lineRule="exact"/>
              <w:rPr>
                <w:sz w:val="20"/>
                <w:szCs w:val="20"/>
                <w:color w:val="auto"/>
              </w:rPr>
            </w:pPr>
            <w:r>
              <w:rPr>
                <w:rFonts w:ascii="Arial" w:cs="Arial" w:eastAsia="Arial" w:hAnsi="Arial"/>
                <w:sz w:val="18"/>
                <w:szCs w:val="18"/>
                <w:b w:val="1"/>
                <w:bCs w:val="1"/>
                <w:color w:val="auto"/>
              </w:rPr>
              <w:t>Three Months Ended</w:t>
            </w:r>
          </w:p>
        </w:tc>
        <w:tc>
          <w:tcPr>
            <w:tcW w:w="5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Year to Date</w:t>
            </w:r>
          </w:p>
        </w:tc>
        <w:tc>
          <w:tcPr>
            <w:tcW w:w="980" w:type="dxa"/>
            <w:vAlign w:val="bottom"/>
            <w:tcBorders>
              <w:top w:val="single" w:sz="8" w:color="auto"/>
            </w:tcBorders>
          </w:tcPr>
          <w:p>
            <w:pPr>
              <w:spacing w:after="0"/>
              <w:rPr>
                <w:sz w:val="16"/>
                <w:szCs w:val="16"/>
                <w:color w:val="auto"/>
              </w:rPr>
            </w:pPr>
          </w:p>
        </w:tc>
      </w:tr>
      <w:tr>
        <w:trPr>
          <w:trHeight w:val="229"/>
        </w:trPr>
        <w:tc>
          <w:tcPr>
            <w:tcW w:w="4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19"/>
                <w:szCs w:val="19"/>
                <w:color w:val="auto"/>
              </w:rPr>
            </w:pPr>
          </w:p>
        </w:tc>
      </w:tr>
      <w:tr>
        <w:trPr>
          <w:trHeight w:val="234"/>
        </w:trPr>
        <w:tc>
          <w:tcPr>
            <w:tcW w:w="4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33"/>
        </w:trPr>
        <w:tc>
          <w:tcPr>
            <w:tcW w:w="48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3"/>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0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5.2</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8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0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(5.9)</w:t>
            </w:r>
          </w:p>
        </w:tc>
        <w:tc>
          <w:tcPr>
            <w:tcW w:w="4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21.2</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20.5</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0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8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20.8</w:t>
            </w: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Investment tax credit amortization</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(0.6)</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10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14.3</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18.6</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6" w:lineRule="exact"/>
        <w:rPr>
          <w:sz w:val="20"/>
          <w:szCs w:val="20"/>
          <w:color w:val="auto"/>
        </w:rPr>
      </w:pPr>
    </w:p>
    <w:p>
      <w:pPr>
        <w:ind w:right="640"/>
        <w:spacing w:after="0" w:line="253"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60" w:type="dxa"/>
            <w:vAlign w:val="bottom"/>
            <w:tcBorders>
              <w:top w:val="single" w:sz="8" w:color="auto"/>
            </w:tcBorders>
          </w:tcPr>
          <w:p>
            <w:pPr>
              <w:spacing w:after="0"/>
              <w:rPr>
                <w:sz w:val="16"/>
                <w:szCs w:val="16"/>
                <w:color w:val="auto"/>
              </w:rPr>
            </w:pPr>
          </w:p>
        </w:tc>
        <w:tc>
          <w:tcPr>
            <w:tcW w:w="3620" w:type="dxa"/>
            <w:vAlign w:val="bottom"/>
            <w:tcBorders>
              <w:top w:val="single" w:sz="8" w:color="auto"/>
            </w:tcBorders>
            <w:gridSpan w:val="2"/>
          </w:tcPr>
          <w:p>
            <w:pPr>
              <w:jc w:val="right"/>
              <w:ind w:right="950"/>
              <w:spacing w:after="0" w:line="191" w:lineRule="exact"/>
              <w:rPr>
                <w:sz w:val="20"/>
                <w:szCs w:val="20"/>
                <w:color w:val="auto"/>
              </w:rPr>
            </w:pPr>
            <w:r>
              <w:rPr>
                <w:rFonts w:ascii="Arial" w:cs="Arial" w:eastAsia="Arial" w:hAnsi="Arial"/>
                <w:sz w:val="18"/>
                <w:szCs w:val="18"/>
                <w:b w:val="1"/>
                <w:bCs w:val="1"/>
                <w:color w:val="auto"/>
              </w:rPr>
              <w:t>Three Months Ended</w:t>
            </w:r>
          </w:p>
        </w:tc>
        <w:tc>
          <w:tcPr>
            <w:tcW w:w="1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Year to Date</w:t>
            </w:r>
          </w:p>
        </w:tc>
        <w:tc>
          <w:tcPr>
            <w:tcW w:w="940" w:type="dxa"/>
            <w:vAlign w:val="bottom"/>
            <w:tcBorders>
              <w:top w:val="single" w:sz="8" w:color="auto"/>
            </w:tcBorders>
          </w:tcPr>
          <w:p>
            <w:pPr>
              <w:spacing w:after="0"/>
              <w:rPr>
                <w:sz w:val="16"/>
                <w:szCs w:val="16"/>
                <w:color w:val="auto"/>
              </w:rPr>
            </w:pPr>
          </w:p>
        </w:tc>
      </w:tr>
      <w:tr>
        <w:trPr>
          <w:trHeight w:val="229"/>
        </w:trPr>
        <w:tc>
          <w:tcPr>
            <w:tcW w:w="4760" w:type="dxa"/>
            <w:vAlign w:val="bottom"/>
          </w:tcPr>
          <w:p>
            <w:pPr>
              <w:spacing w:after="0"/>
              <w:rPr>
                <w:sz w:val="19"/>
                <w:szCs w:val="19"/>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380" w:type="dxa"/>
            <w:vAlign w:val="bottom"/>
          </w:tcPr>
          <w:p>
            <w:pPr>
              <w:spacing w:after="0"/>
              <w:rPr>
                <w:sz w:val="19"/>
                <w:szCs w:val="19"/>
                <w:color w:val="auto"/>
              </w:rPr>
            </w:pPr>
          </w:p>
        </w:tc>
        <w:tc>
          <w:tcPr>
            <w:tcW w:w="192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9"/>
                <w:szCs w:val="19"/>
                <w:color w:val="auto"/>
              </w:rPr>
            </w:pPr>
          </w:p>
        </w:tc>
      </w:tr>
      <w:tr>
        <w:trPr>
          <w:trHeight w:val="234"/>
        </w:trPr>
        <w:tc>
          <w:tcPr>
            <w:tcW w:w="47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19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2022</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w:t>
            </w:r>
          </w:p>
        </w:tc>
        <w:tc>
          <w:tcPr>
            <w:tcW w:w="2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21.0 %</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21.0 %</w:t>
            </w:r>
          </w:p>
        </w:tc>
        <w:tc>
          <w:tcPr>
            <w:tcW w:w="19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21.0 %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COLI policies</w:t>
            </w:r>
          </w:p>
        </w:tc>
        <w:tc>
          <w:tcPr>
            <w:tcW w:w="2240" w:type="dxa"/>
            <w:vAlign w:val="bottom"/>
          </w:tcPr>
          <w:p>
            <w:pPr>
              <w:jc w:val="right"/>
              <w:ind w:right="650"/>
              <w:spacing w:after="0"/>
              <w:rPr>
                <w:sz w:val="20"/>
                <w:szCs w:val="20"/>
                <w:color w:val="auto"/>
              </w:rPr>
            </w:pPr>
            <w:r>
              <w:rPr>
                <w:rFonts w:ascii="Arial" w:cs="Arial" w:eastAsia="Arial" w:hAnsi="Arial"/>
                <w:sz w:val="18"/>
                <w:szCs w:val="18"/>
                <w:color w:val="auto"/>
              </w:rPr>
              <w:t>(1.3)</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(0.5)</w:t>
            </w:r>
          </w:p>
        </w:tc>
        <w:tc>
          <w:tcPr>
            <w:tcW w:w="1920" w:type="dxa"/>
            <w:vAlign w:val="bottom"/>
          </w:tcPr>
          <w:p>
            <w:pPr>
              <w:jc w:val="right"/>
              <w:ind w:right="750"/>
              <w:spacing w:after="0"/>
              <w:rPr>
                <w:sz w:val="20"/>
                <w:szCs w:val="20"/>
                <w:color w:val="auto"/>
              </w:rPr>
            </w:pPr>
            <w:r>
              <w:rPr>
                <w:rFonts w:ascii="Arial" w:cs="Arial" w:eastAsia="Arial" w:hAnsi="Arial"/>
                <w:sz w:val="18"/>
                <w:szCs w:val="18"/>
                <w:color w:val="auto"/>
              </w:rPr>
              <w:t>(1.3)</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22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2240" w:type="dxa"/>
            <w:vAlign w:val="bottom"/>
          </w:tcPr>
          <w:p>
            <w:pPr>
              <w:jc w:val="right"/>
              <w:ind w:right="650"/>
              <w:spacing w:after="0"/>
              <w:rPr>
                <w:sz w:val="20"/>
                <w:szCs w:val="20"/>
                <w:color w:val="auto"/>
              </w:rPr>
            </w:pPr>
            <w:r>
              <w:rPr>
                <w:rFonts w:ascii="Arial" w:cs="Arial" w:eastAsia="Arial" w:hAnsi="Arial"/>
                <w:sz w:val="18"/>
                <w:szCs w:val="18"/>
                <w:color w:val="auto"/>
              </w:rPr>
              <w:t>(7.1)</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(6.0)</w:t>
            </w:r>
          </w:p>
        </w:tc>
        <w:tc>
          <w:tcPr>
            <w:tcW w:w="1920" w:type="dxa"/>
            <w:vAlign w:val="bottom"/>
          </w:tcPr>
          <w:p>
            <w:pPr>
              <w:jc w:val="right"/>
              <w:ind w:right="750"/>
              <w:spacing w:after="0"/>
              <w:rPr>
                <w:sz w:val="20"/>
                <w:szCs w:val="20"/>
                <w:color w:val="auto"/>
              </w:rPr>
            </w:pPr>
            <w:r>
              <w:rPr>
                <w:rFonts w:ascii="Arial" w:cs="Arial" w:eastAsia="Arial" w:hAnsi="Arial"/>
                <w:sz w:val="18"/>
                <w:szCs w:val="18"/>
                <w:color w:val="auto"/>
              </w:rPr>
              <w:t>(7.4)</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(6.1)</w:t>
            </w:r>
          </w:p>
        </w:tc>
      </w:tr>
      <w:tr>
        <w:trPr>
          <w:trHeight w:val="23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22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(6.3)</w:t>
            </w:r>
          </w:p>
        </w:tc>
        <w:tc>
          <w:tcPr>
            <w:tcW w:w="1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(4.0)</w:t>
            </w:r>
          </w:p>
        </w:tc>
        <w:tc>
          <w:tcPr>
            <w:tcW w:w="19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240" w:type="dxa"/>
            <w:vAlign w:val="bottom"/>
          </w:tcPr>
          <w:p>
            <w:pPr>
              <w:jc w:val="right"/>
              <w:ind w:right="650"/>
              <w:spacing w:after="0"/>
              <w:rPr>
                <w:sz w:val="20"/>
                <w:szCs w:val="20"/>
                <w:color w:val="auto"/>
              </w:rPr>
            </w:pPr>
            <w:r>
              <w:rPr>
                <w:rFonts w:ascii="Arial" w:cs="Arial" w:eastAsia="Arial" w:hAnsi="Arial"/>
                <w:sz w:val="18"/>
                <w:szCs w:val="18"/>
                <w:color w:val="auto"/>
              </w:rPr>
              <w:t>(0.3)</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(0.3)</w:t>
            </w:r>
          </w:p>
        </w:tc>
        <w:tc>
          <w:tcPr>
            <w:tcW w:w="1920" w:type="dxa"/>
            <w:vAlign w:val="bottom"/>
          </w:tcPr>
          <w:p>
            <w:pPr>
              <w:jc w:val="right"/>
              <w:ind w:right="750"/>
              <w:spacing w:after="0"/>
              <w:rPr>
                <w:sz w:val="20"/>
                <w:szCs w:val="20"/>
                <w:color w:val="auto"/>
              </w:rPr>
            </w:pPr>
            <w:r>
              <w:rPr>
                <w:rFonts w:ascii="Arial" w:cs="Arial" w:eastAsia="Arial" w:hAnsi="Arial"/>
                <w:sz w:val="18"/>
                <w:szCs w:val="18"/>
                <w:color w:val="auto"/>
              </w:rPr>
              <w:t>(0.3)</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22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(0.6)</w:t>
            </w:r>
          </w:p>
        </w:tc>
        <w:tc>
          <w:tcPr>
            <w:tcW w:w="1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(0.5)</w:t>
            </w:r>
          </w:p>
        </w:tc>
        <w:tc>
          <w:tcPr>
            <w:tcW w:w="19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(0.6)</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2240" w:type="dxa"/>
            <w:vAlign w:val="bottom"/>
          </w:tcPr>
          <w:p>
            <w:pPr>
              <w:jc w:val="right"/>
              <w:ind w:right="650"/>
              <w:spacing w:after="0"/>
              <w:rPr>
                <w:sz w:val="20"/>
                <w:szCs w:val="20"/>
                <w:color w:val="auto"/>
              </w:rPr>
            </w:pPr>
            <w:r>
              <w:rPr>
                <w:rFonts w:ascii="Arial" w:cs="Arial" w:eastAsia="Arial" w:hAnsi="Arial"/>
                <w:sz w:val="18"/>
                <w:szCs w:val="18"/>
                <w:color w:val="auto"/>
              </w:rPr>
              <w:t>(0.6)</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(0.2)</w:t>
            </w:r>
          </w:p>
        </w:tc>
        <w:tc>
          <w:tcPr>
            <w:tcW w:w="1920" w:type="dxa"/>
            <w:vAlign w:val="bottom"/>
          </w:tcPr>
          <w:p>
            <w:pPr>
              <w:jc w:val="right"/>
              <w:ind w:right="750"/>
              <w:spacing w:after="0"/>
              <w:rPr>
                <w:sz w:val="20"/>
                <w:szCs w:val="20"/>
                <w:color w:val="auto"/>
              </w:rPr>
            </w:pPr>
            <w:r>
              <w:rPr>
                <w:rFonts w:ascii="Arial" w:cs="Arial" w:eastAsia="Arial" w:hAnsi="Arial"/>
                <w:sz w:val="18"/>
                <w:szCs w:val="18"/>
                <w:color w:val="auto"/>
              </w:rPr>
              <w:t>(0.6)</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2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0.4</w:t>
            </w: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2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3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22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0.2</w:t>
            </w: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0.3</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(0.1)</w:t>
            </w:r>
          </w:p>
        </w:tc>
        <w:tc>
          <w:tcPr>
            <w:tcW w:w="19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r>
      <w:tr>
        <w:trPr>
          <w:trHeight w:val="243"/>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22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5.6 %</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10.1 %</w:t>
            </w:r>
          </w:p>
        </w:tc>
        <w:tc>
          <w:tcPr>
            <w:tcW w:w="19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6.6 %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740" w:type="dxa"/>
            <w:vAlign w:val="bottom"/>
            <w:tcBorders>
              <w:top w:val="single" w:sz="8" w:color="auto"/>
            </w:tcBorders>
          </w:tcPr>
          <w:p>
            <w:pPr>
              <w:spacing w:after="0"/>
              <w:rPr>
                <w:sz w:val="16"/>
                <w:szCs w:val="16"/>
                <w:color w:val="auto"/>
              </w:rPr>
            </w:pPr>
          </w:p>
        </w:tc>
        <w:tc>
          <w:tcPr>
            <w:tcW w:w="3620" w:type="dxa"/>
            <w:vAlign w:val="bottom"/>
            <w:tcBorders>
              <w:top w:val="single" w:sz="8" w:color="auto"/>
            </w:tcBorders>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Three Months Ended</w:t>
            </w:r>
          </w:p>
        </w:tc>
        <w:tc>
          <w:tcPr>
            <w:tcW w:w="1900" w:type="dxa"/>
            <w:vAlign w:val="bottom"/>
            <w:tcBorders>
              <w:top w:val="single" w:sz="8" w:color="auto"/>
            </w:tcBorders>
          </w:tcPr>
          <w:p>
            <w:pPr>
              <w:jc w:val="center"/>
              <w:ind w:left="730"/>
              <w:spacing w:after="0" w:line="191" w:lineRule="exact"/>
              <w:rPr>
                <w:sz w:val="20"/>
                <w:szCs w:val="20"/>
                <w:color w:val="auto"/>
              </w:rPr>
            </w:pPr>
            <w:r>
              <w:rPr>
                <w:rFonts w:ascii="Arial" w:cs="Arial" w:eastAsia="Arial" w:hAnsi="Arial"/>
                <w:sz w:val="18"/>
                <w:szCs w:val="18"/>
                <w:b w:val="1"/>
                <w:bCs w:val="1"/>
                <w:color w:val="auto"/>
                <w:w w:val="91"/>
              </w:rPr>
              <w:t>Year to Date</w:t>
            </w:r>
          </w:p>
        </w:tc>
        <w:tc>
          <w:tcPr>
            <w:tcW w:w="9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2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June 30</w:t>
            </w:r>
          </w:p>
        </w:tc>
        <w:tc>
          <w:tcPr>
            <w:tcW w:w="1400" w:type="dxa"/>
            <w:vAlign w:val="bottom"/>
          </w:tcPr>
          <w:p>
            <w:pPr>
              <w:spacing w:after="0"/>
              <w:rPr>
                <w:sz w:val="19"/>
                <w:szCs w:val="19"/>
                <w:color w:val="auto"/>
              </w:rPr>
            </w:pPr>
          </w:p>
        </w:tc>
        <w:tc>
          <w:tcPr>
            <w:tcW w:w="190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June 30</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2023</w:t>
            </w:r>
          </w:p>
        </w:tc>
        <w:tc>
          <w:tcPr>
            <w:tcW w:w="14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19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w:t>
            </w:r>
          </w:p>
        </w:tc>
        <w:tc>
          <w:tcPr>
            <w:tcW w:w="2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21.0 %</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21.0 %</w:t>
            </w:r>
          </w:p>
        </w:tc>
        <w:tc>
          <w:tcPr>
            <w:tcW w:w="19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21.0 %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COLI policies</w:t>
            </w:r>
          </w:p>
        </w:tc>
        <w:tc>
          <w:tcPr>
            <w:tcW w:w="2220" w:type="dxa"/>
            <w:vAlign w:val="bottom"/>
          </w:tcPr>
          <w:p>
            <w:pPr>
              <w:jc w:val="right"/>
              <w:ind w:right="650"/>
              <w:spacing w:after="0"/>
              <w:rPr>
                <w:sz w:val="20"/>
                <w:szCs w:val="20"/>
                <w:color w:val="auto"/>
              </w:rPr>
            </w:pPr>
            <w:r>
              <w:rPr>
                <w:rFonts w:ascii="Arial" w:cs="Arial" w:eastAsia="Arial" w:hAnsi="Arial"/>
                <w:sz w:val="18"/>
                <w:szCs w:val="18"/>
                <w:color w:val="auto"/>
              </w:rPr>
              <w:t>(2.3)</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1900" w:type="dxa"/>
            <w:vAlign w:val="bottom"/>
          </w:tcPr>
          <w:p>
            <w:pPr>
              <w:jc w:val="right"/>
              <w:ind w:right="730"/>
              <w:spacing w:after="0"/>
              <w:rPr>
                <w:sz w:val="20"/>
                <w:szCs w:val="20"/>
                <w:color w:val="auto"/>
              </w:rPr>
            </w:pPr>
            <w:r>
              <w:rPr>
                <w:rFonts w:ascii="Arial" w:cs="Arial" w:eastAsia="Arial" w:hAnsi="Arial"/>
                <w:sz w:val="18"/>
                <w:szCs w:val="18"/>
                <w:color w:val="auto"/>
              </w:rPr>
              <w:t>(2.4)</w:t>
            </w:r>
          </w:p>
        </w:tc>
        <w:tc>
          <w:tcPr>
            <w:tcW w:w="940" w:type="dxa"/>
            <w:vAlign w:val="bottom"/>
          </w:tcPr>
          <w:p>
            <w:pPr>
              <w:ind w:left="4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22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0.7</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0.7</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2220" w:type="dxa"/>
            <w:vAlign w:val="bottom"/>
          </w:tcPr>
          <w:p>
            <w:pPr>
              <w:jc w:val="right"/>
              <w:ind w:right="650"/>
              <w:spacing w:after="0"/>
              <w:rPr>
                <w:sz w:val="20"/>
                <w:szCs w:val="20"/>
                <w:color w:val="auto"/>
              </w:rPr>
            </w:pPr>
            <w:r>
              <w:rPr>
                <w:rFonts w:ascii="Arial" w:cs="Arial" w:eastAsia="Arial" w:hAnsi="Arial"/>
                <w:sz w:val="18"/>
                <w:szCs w:val="18"/>
                <w:color w:val="auto"/>
              </w:rPr>
              <w:t>(2.6)</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1900" w:type="dxa"/>
            <w:vAlign w:val="bottom"/>
          </w:tcPr>
          <w:p>
            <w:pPr>
              <w:jc w:val="right"/>
              <w:ind w:right="730"/>
              <w:spacing w:after="0"/>
              <w:rPr>
                <w:sz w:val="20"/>
                <w:szCs w:val="20"/>
                <w:color w:val="auto"/>
              </w:rPr>
            </w:pPr>
            <w:r>
              <w:rPr>
                <w:rFonts w:ascii="Arial" w:cs="Arial" w:eastAsia="Arial" w:hAnsi="Arial"/>
                <w:sz w:val="18"/>
                <w:szCs w:val="18"/>
                <w:color w:val="auto"/>
              </w:rPr>
              <w:t>(3.4)</w:t>
            </w:r>
          </w:p>
        </w:tc>
        <w:tc>
          <w:tcPr>
            <w:tcW w:w="940" w:type="dxa"/>
            <w:vAlign w:val="bottom"/>
          </w:tcPr>
          <w:p>
            <w:pPr>
              <w:ind w:left="4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22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(12.3)</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(8.8)</w:t>
            </w:r>
          </w:p>
        </w:tc>
        <w:tc>
          <w:tcPr>
            <w:tcW w:w="19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(9.0)</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220" w:type="dxa"/>
            <w:vAlign w:val="bottom"/>
          </w:tcPr>
          <w:p>
            <w:pPr>
              <w:jc w:val="right"/>
              <w:ind w:right="650"/>
              <w:spacing w:after="0"/>
              <w:rPr>
                <w:sz w:val="20"/>
                <w:szCs w:val="20"/>
                <w:color w:val="auto"/>
              </w:rPr>
            </w:pPr>
            <w:r>
              <w:rPr>
                <w:rFonts w:ascii="Arial" w:cs="Arial" w:eastAsia="Arial" w:hAnsi="Arial"/>
                <w:sz w:val="18"/>
                <w:szCs w:val="18"/>
                <w:color w:val="auto"/>
              </w:rPr>
              <w:t>(0.5)</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(0.6)</w:t>
            </w:r>
          </w:p>
        </w:tc>
        <w:tc>
          <w:tcPr>
            <w:tcW w:w="1900" w:type="dxa"/>
            <w:vAlign w:val="bottom"/>
          </w:tcPr>
          <w:p>
            <w:pPr>
              <w:jc w:val="right"/>
              <w:ind w:right="730"/>
              <w:spacing w:after="0"/>
              <w:rPr>
                <w:sz w:val="20"/>
                <w:szCs w:val="20"/>
                <w:color w:val="auto"/>
              </w:rPr>
            </w:pPr>
            <w:r>
              <w:rPr>
                <w:rFonts w:ascii="Arial" w:cs="Arial" w:eastAsia="Arial" w:hAnsi="Arial"/>
                <w:sz w:val="18"/>
                <w:szCs w:val="18"/>
                <w:color w:val="auto"/>
              </w:rPr>
              <w:t>(0.5)</w:t>
            </w:r>
          </w:p>
        </w:tc>
        <w:tc>
          <w:tcPr>
            <w:tcW w:w="940" w:type="dxa"/>
            <w:vAlign w:val="bottom"/>
          </w:tcPr>
          <w:p>
            <w:pPr>
              <w:ind w:left="44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22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(0.4)</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19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(0.5)</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2220" w:type="dxa"/>
            <w:vAlign w:val="bottom"/>
          </w:tcPr>
          <w:p>
            <w:pPr>
              <w:jc w:val="right"/>
              <w:ind w:right="650"/>
              <w:spacing w:after="0"/>
              <w:rPr>
                <w:sz w:val="20"/>
                <w:szCs w:val="20"/>
                <w:color w:val="auto"/>
              </w:rPr>
            </w:pPr>
            <w:r>
              <w:rPr>
                <w:rFonts w:ascii="Arial" w:cs="Arial" w:eastAsia="Arial" w:hAnsi="Arial"/>
                <w:sz w:val="18"/>
                <w:szCs w:val="18"/>
                <w:color w:val="auto"/>
              </w:rPr>
              <w:t>(0.4)</w:t>
            </w: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1900" w:type="dxa"/>
            <w:vAlign w:val="bottom"/>
          </w:tcPr>
          <w:p>
            <w:pPr>
              <w:jc w:val="right"/>
              <w:ind w:right="730"/>
              <w:spacing w:after="0"/>
              <w:rPr>
                <w:sz w:val="20"/>
                <w:szCs w:val="20"/>
                <w:color w:val="auto"/>
              </w:rPr>
            </w:pPr>
            <w:r>
              <w:rPr>
                <w:rFonts w:ascii="Arial" w:cs="Arial" w:eastAsia="Arial" w:hAnsi="Arial"/>
                <w:sz w:val="18"/>
                <w:szCs w:val="18"/>
                <w:color w:val="auto"/>
              </w:rPr>
              <w:t>(0.4)</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22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0.1</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19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(0.1)</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Officer compensation limitation</w:t>
            </w:r>
          </w:p>
        </w:tc>
        <w:tc>
          <w:tcPr>
            <w:tcW w:w="222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19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2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3.4 %</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4.7 %</w:t>
            </w:r>
          </w:p>
        </w:tc>
        <w:tc>
          <w:tcPr>
            <w:tcW w:w="19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5.6 %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20" w:type="dxa"/>
            <w:vAlign w:val="bottom"/>
          </w:tcPr>
          <w:p>
            <w:pPr>
              <w:spacing w:after="0"/>
              <w:rPr>
                <w:sz w:val="20"/>
                <w:szCs w:val="20"/>
                <w:color w:val="auto"/>
              </w:rPr>
            </w:pPr>
          </w:p>
        </w:tc>
      </w:tr>
      <w:tr>
        <w:trPr>
          <w:trHeight w:val="493"/>
        </w:trPr>
        <w:tc>
          <w:tcPr>
            <w:tcW w:w="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Evergy Metro</w:t>
            </w:r>
          </w:p>
        </w:tc>
        <w:tc>
          <w:tcPr>
            <w:tcW w:w="2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6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Three Months Ended</w:t>
            </w:r>
          </w:p>
        </w:tc>
        <w:tc>
          <w:tcPr>
            <w:tcW w:w="1900" w:type="dxa"/>
            <w:vAlign w:val="bottom"/>
          </w:tcPr>
          <w:p>
            <w:pPr>
              <w:jc w:val="center"/>
              <w:ind w:left="73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20" w:type="dxa"/>
            <w:vAlign w:val="bottom"/>
          </w:tcPr>
          <w:p>
            <w:pPr>
              <w:jc w:val="center"/>
              <w:ind w:left="1230"/>
              <w:spacing w:after="0"/>
              <w:rPr>
                <w:sz w:val="20"/>
                <w:szCs w:val="20"/>
                <w:color w:val="auto"/>
              </w:rPr>
            </w:pPr>
            <w:r>
              <w:rPr>
                <w:rFonts w:ascii="Arial" w:cs="Arial" w:eastAsia="Arial" w:hAnsi="Arial"/>
                <w:sz w:val="18"/>
                <w:szCs w:val="18"/>
                <w:b w:val="1"/>
                <w:bCs w:val="1"/>
                <w:color w:val="auto"/>
                <w:w w:val="86"/>
              </w:rPr>
              <w:t>June 30</w:t>
            </w:r>
          </w:p>
        </w:tc>
        <w:tc>
          <w:tcPr>
            <w:tcW w:w="1400" w:type="dxa"/>
            <w:vAlign w:val="bottom"/>
          </w:tcPr>
          <w:p>
            <w:pPr>
              <w:spacing w:after="0"/>
              <w:rPr>
                <w:sz w:val="19"/>
                <w:szCs w:val="19"/>
                <w:color w:val="auto"/>
              </w:rPr>
            </w:pPr>
          </w:p>
        </w:tc>
        <w:tc>
          <w:tcPr>
            <w:tcW w:w="190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June 30</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2023</w:t>
            </w:r>
          </w:p>
        </w:tc>
        <w:tc>
          <w:tcPr>
            <w:tcW w:w="14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19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w:t>
            </w:r>
          </w:p>
        </w:tc>
        <w:tc>
          <w:tcPr>
            <w:tcW w:w="2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21.0 %</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21.0 %</w:t>
            </w:r>
          </w:p>
        </w:tc>
        <w:tc>
          <w:tcPr>
            <w:tcW w:w="19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21.0 %</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5"/>
              </w:rPr>
              <w:t>21.0 %</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COLI policies</w:t>
            </w:r>
          </w:p>
        </w:tc>
        <w:tc>
          <w:tcPr>
            <w:tcW w:w="2220" w:type="dxa"/>
            <w:vAlign w:val="bottom"/>
          </w:tcPr>
          <w:p>
            <w:pPr>
              <w:jc w:val="right"/>
              <w:ind w:right="630"/>
              <w:spacing w:after="0"/>
              <w:rPr>
                <w:sz w:val="20"/>
                <w:szCs w:val="20"/>
                <w:color w:val="auto"/>
              </w:rPr>
            </w:pPr>
            <w:r>
              <w:rPr>
                <w:rFonts w:ascii="Arial" w:cs="Arial" w:eastAsia="Arial" w:hAnsi="Arial"/>
                <w:sz w:val="18"/>
                <w:szCs w:val="18"/>
                <w:color w:val="auto"/>
              </w:rPr>
              <w:t>(0.1)</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1900" w:type="dxa"/>
            <w:vAlign w:val="bottom"/>
          </w:tcPr>
          <w:p>
            <w:pPr>
              <w:jc w:val="right"/>
              <w:ind w:right="73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22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1.0</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0.9</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Flow through depreciation for plant-related differences</w:t>
            </w:r>
          </w:p>
        </w:tc>
        <w:tc>
          <w:tcPr>
            <w:tcW w:w="2220" w:type="dxa"/>
            <w:vAlign w:val="bottom"/>
          </w:tcPr>
          <w:p>
            <w:pPr>
              <w:jc w:val="right"/>
              <w:ind w:right="630"/>
              <w:spacing w:after="0"/>
              <w:rPr>
                <w:sz w:val="20"/>
                <w:szCs w:val="20"/>
                <w:color w:val="auto"/>
              </w:rPr>
            </w:pPr>
            <w:r>
              <w:rPr>
                <w:rFonts w:ascii="Arial" w:cs="Arial" w:eastAsia="Arial" w:hAnsi="Arial"/>
                <w:sz w:val="18"/>
                <w:szCs w:val="18"/>
                <w:color w:val="auto"/>
              </w:rPr>
              <w:t>(8.4)</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(6.8)</w:t>
            </w:r>
          </w:p>
        </w:tc>
        <w:tc>
          <w:tcPr>
            <w:tcW w:w="1900" w:type="dxa"/>
            <w:vAlign w:val="bottom"/>
          </w:tcPr>
          <w:p>
            <w:pPr>
              <w:jc w:val="right"/>
              <w:ind w:right="730"/>
              <w:spacing w:after="0"/>
              <w:rPr>
                <w:sz w:val="20"/>
                <w:szCs w:val="20"/>
                <w:color w:val="auto"/>
              </w:rPr>
            </w:pPr>
            <w:r>
              <w:rPr>
                <w:rFonts w:ascii="Arial" w:cs="Arial" w:eastAsia="Arial" w:hAnsi="Arial"/>
                <w:sz w:val="18"/>
                <w:szCs w:val="18"/>
                <w:color w:val="auto"/>
              </w:rPr>
              <w:t>(8.3)</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22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(0.2)</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19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AFUDC equity</w:t>
            </w:r>
          </w:p>
        </w:tc>
        <w:tc>
          <w:tcPr>
            <w:tcW w:w="2220" w:type="dxa"/>
            <w:vAlign w:val="bottom"/>
          </w:tcPr>
          <w:p>
            <w:pPr>
              <w:jc w:val="right"/>
              <w:ind w:right="630"/>
              <w:spacing w:after="0"/>
              <w:rPr>
                <w:sz w:val="20"/>
                <w:szCs w:val="20"/>
                <w:color w:val="auto"/>
              </w:rPr>
            </w:pPr>
            <w:r>
              <w:rPr>
                <w:rFonts w:ascii="Arial" w:cs="Arial" w:eastAsia="Arial" w:hAnsi="Arial"/>
                <w:sz w:val="18"/>
                <w:szCs w:val="18"/>
                <w:color w:val="auto"/>
              </w:rPr>
              <w:t>(0.9)</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(0.4)</w:t>
            </w:r>
          </w:p>
        </w:tc>
        <w:tc>
          <w:tcPr>
            <w:tcW w:w="1900" w:type="dxa"/>
            <w:vAlign w:val="bottom"/>
          </w:tcPr>
          <w:p>
            <w:pPr>
              <w:jc w:val="right"/>
              <w:ind w:right="730"/>
              <w:spacing w:after="0"/>
              <w:rPr>
                <w:sz w:val="20"/>
                <w:szCs w:val="20"/>
                <w:color w:val="auto"/>
              </w:rPr>
            </w:pPr>
            <w:r>
              <w:rPr>
                <w:rFonts w:ascii="Arial" w:cs="Arial" w:eastAsia="Arial" w:hAnsi="Arial"/>
                <w:sz w:val="18"/>
                <w:szCs w:val="18"/>
                <w:color w:val="auto"/>
              </w:rPr>
              <w:t>(0.9)</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federal investment tax credits</w:t>
            </w:r>
          </w:p>
        </w:tc>
        <w:tc>
          <w:tcPr>
            <w:tcW w:w="22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(0.8)</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(0.6)</w:t>
            </w:r>
          </w:p>
        </w:tc>
        <w:tc>
          <w:tcPr>
            <w:tcW w:w="19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Stock compensation</w:t>
            </w:r>
          </w:p>
        </w:tc>
        <w:tc>
          <w:tcPr>
            <w:tcW w:w="222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0.4</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Officer compensation limitation</w:t>
            </w:r>
          </w:p>
        </w:tc>
        <w:tc>
          <w:tcPr>
            <w:tcW w:w="22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0.6</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0.6</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21"/>
                <w:szCs w:val="2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(0.1)</w:t>
            </w:r>
          </w:p>
        </w:tc>
        <w:tc>
          <w:tcPr>
            <w:tcW w:w="19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47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Effective income tax rate</w:t>
            </w:r>
          </w:p>
        </w:tc>
        <w:tc>
          <w:tcPr>
            <w:tcW w:w="22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12.1 %</w:t>
            </w:r>
          </w:p>
        </w:tc>
        <w:tc>
          <w:tcPr>
            <w:tcW w:w="1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13.8 %</w:t>
            </w:r>
          </w:p>
        </w:tc>
        <w:tc>
          <w:tcPr>
            <w:tcW w:w="19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12.4 %</w:t>
            </w:r>
          </w:p>
        </w:tc>
        <w:tc>
          <w:tcPr>
            <w:tcW w:w="9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5"/>
              </w:rPr>
              <w:t>13.3 %</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right="140"/>
        <w:spacing w:after="0" w:line="255"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2022 Form 10-K. None of the registrants make any representation as to information related solely to Evergy, Evergy Kansas Central or Evergy Metro other than itself.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EVERGY,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22" w:lineRule="exact"/>
        <w:rPr>
          <w:sz w:val="20"/>
          <w:szCs w:val="20"/>
          <w:color w:val="auto"/>
        </w:rPr>
      </w:pPr>
    </w:p>
    <w:p>
      <w:pPr>
        <w:ind w:right="440"/>
        <w:spacing w:after="0" w:line="274"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63" w:lineRule="exact"/>
        <w:rPr>
          <w:sz w:val="20"/>
          <w:szCs w:val="20"/>
          <w:color w:val="auto"/>
        </w:rPr>
      </w:pPr>
    </w:p>
    <w:p>
      <w:pPr>
        <w:ind w:left="660" w:right="100" w:hanging="328"/>
        <w:spacing w:after="0" w:line="301"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45" w:lineRule="exact"/>
        <w:rPr>
          <w:rFonts w:ascii="Arial" w:cs="Arial" w:eastAsia="Arial" w:hAnsi="Arial"/>
          <w:sz w:val="19"/>
          <w:szCs w:val="19"/>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132" w:lineRule="exact"/>
        <w:rPr>
          <w:rFonts w:ascii="Arial" w:cs="Arial" w:eastAsia="Arial" w:hAnsi="Arial"/>
          <w:sz w:val="19"/>
          <w:szCs w:val="19"/>
          <w:color w:val="auto"/>
        </w:rPr>
      </w:pPr>
    </w:p>
    <w:p>
      <w:pPr>
        <w:ind w:left="660" w:hanging="328"/>
        <w:spacing w:after="0" w:line="277"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5"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44"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15,600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and Evergy Metro 2023 Rate Case Proceeding</w:t>
      </w:r>
    </w:p>
    <w:p>
      <w:pPr>
        <w:spacing w:after="0" w:line="26"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In April 2023, Evergy Kansas Central and Evergy Metro filed an application with the KCC to request an increase to their retail revenues. See Note 4 to the consolidated financial statements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Generation Investment</w:t>
      </w:r>
    </w:p>
    <w:p>
      <w:pPr>
        <w:spacing w:after="0" w:line="26" w:lineRule="exact"/>
        <w:rPr>
          <w:sz w:val="20"/>
          <w:szCs w:val="20"/>
          <w:color w:val="auto"/>
        </w:rPr>
      </w:pPr>
    </w:p>
    <w:p>
      <w:pPr>
        <w:jc w:val="both"/>
        <w:ind w:right="220"/>
        <w:spacing w:after="0" w:line="248" w:lineRule="auto"/>
        <w:rPr>
          <w:sz w:val="20"/>
          <w:szCs w:val="20"/>
          <w:color w:val="auto"/>
        </w:rPr>
      </w:pPr>
      <w:r>
        <w:rPr>
          <w:rFonts w:ascii="Arial" w:cs="Arial" w:eastAsia="Arial" w:hAnsi="Arial"/>
          <w:sz w:val="20"/>
          <w:szCs w:val="20"/>
          <w:color w:val="auto"/>
        </w:rPr>
        <w:t>In August 2022, Evergy Missouri West entered into an agreement with a renewable energy development company to purchase Persimmon Creek, an operational wind farm located in the state of Oklahoma with a generating capacity of approximately 199 MW, for approximately $250 million. Pursuant to the agreement, Evergy Missouri West was permitted to assign its right to purchase Persimmon Creek to another entity, including to other Evergy affiliated companies.</w:t>
      </w:r>
    </w:p>
    <w:p>
      <w:pPr>
        <w:spacing w:after="0" w:line="2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Evergy Missouri West's purchase was subject to regulatory approvals and closing conditions, including the granting of a CCN by the MPSC. In April 2023, the MPSC issued a final order granting the CCN pursuant to certain conditions related to the sharing of operational costs between ratepayers and shareholders. In May 2023, Evergy Missouri West assigned its right to purchase Persimmon Creek to Evergy Kansas Central and Evergy Kansas Central closed on the purchase of Persimmon Creek for $220.9 million, including costs incidental to the purchase of the plant. Evergy Kansas Central included the purchase of Persimmon Creek in its rate case application to the KCC which was filed in April 2023. The addition of Persimmon Creek is consistent with the preferred plan identified through Evergy Kansas Central’s integrated resource plan filed with the KCC in June 2023, which identified it as part of the lowest-cost resource plan to serve customers. See Note 4 to the consolidated financial statements for additional information on Evergy Kansas Central's rate case proceeding.</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6" w:name="page57"/>
    <w:bookmarkEnd w:id="5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Proceedings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See Note 4 to the consolidated financial statements for information regarding regulatory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Wolf Creek Refueling Outage</w:t>
      </w:r>
    </w:p>
    <w:p>
      <w:pPr>
        <w:spacing w:after="0" w:line="26" w:lineRule="exact"/>
        <w:rPr>
          <w:sz w:val="20"/>
          <w:szCs w:val="20"/>
          <w:color w:val="auto"/>
        </w:rPr>
      </w:pPr>
    </w:p>
    <w:p>
      <w:pPr>
        <w:ind w:right="480"/>
        <w:spacing w:after="0" w:line="253" w:lineRule="auto"/>
        <w:rPr>
          <w:sz w:val="20"/>
          <w:szCs w:val="20"/>
          <w:color w:val="auto"/>
        </w:rPr>
      </w:pPr>
      <w:r>
        <w:rPr>
          <w:rFonts w:ascii="Arial" w:cs="Arial" w:eastAsia="Arial" w:hAnsi="Arial"/>
          <w:sz w:val="20"/>
          <w:szCs w:val="20"/>
          <w:color w:val="auto"/>
        </w:rPr>
        <w:t>Wolf Creek's most recent refueling outage began in October 2022 and the unit returned to service in November 2022. Wolf Creek's next refueling outage is planned to begin in the first quarter of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3"/>
              </w:rPr>
              <w:t>Three Months Ended</w:t>
            </w:r>
          </w:p>
        </w:tc>
        <w:tc>
          <w:tcPr>
            <w:tcW w:w="8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Year to Date</w:t>
            </w: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34"/>
        </w:trPr>
        <w:tc>
          <w:tcPr>
            <w:tcW w:w="3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June 30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3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2022</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07"/>
        </w:trPr>
        <w:tc>
          <w:tcPr>
            <w:tcW w:w="3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gridSpan w:val="4"/>
          </w:tcPr>
          <w:p>
            <w:pPr>
              <w:jc w:val="right"/>
              <w:ind w:right="10"/>
              <w:spacing w:after="0"/>
              <w:rPr>
                <w:sz w:val="20"/>
                <w:szCs w:val="20"/>
                <w:color w:val="auto"/>
              </w:rPr>
            </w:pPr>
            <w:r>
              <w:rPr>
                <w:rFonts w:ascii="Arial" w:cs="Arial" w:eastAsia="Arial" w:hAnsi="Arial"/>
                <w:sz w:val="16"/>
                <w:szCs w:val="16"/>
                <w:color w:val="auto"/>
                <w:w w:val="94"/>
              </w:rPr>
              <w:t>(millions, except per share amounts)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194.5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r>
      <w:tr>
        <w:trPr>
          <w:trHeight w:val="25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7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0.84</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0.02</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bl>
    <w:p>
      <w:pPr>
        <w:spacing w:after="0" w:line="280"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Net income attributable to Evergy, Inc. decreased for the three months ended June 30, 2023, compared to the same period in 2022, primarily due to higher depreciation expense, higher interest expense and lower retail sales in the second quarter of 2023 driven by unfavorable weather; partially offset by lower operating and maintenance expenses, new Evergy Metro and Evergy Missouri West retail rates effective in January 2023 and lower income tax expense.</w:t>
      </w:r>
    </w:p>
    <w:p>
      <w:pPr>
        <w:spacing w:after="0" w:line="19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Diluted EPS decreased for the three months ended June 30, 2023, compared to the same period in 2022, primarily due to the decrease in net income attributable to Evergy, Inc. discussed above.</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Net income attributable to Evergy, Inc. increased year to date June 30, 2023, compared to the same period in 2022, primarily due to lower operating and maintenance expenses, new Evergy Metro and Evergy Missouri West retail rates effective in January 2023, a realized loss in 2022 from an equity investment, higher interest income and lower income tax expense; partially offset by higher depreciation expense, higher interest expense and lower retail sales in 2023 driven by unfavorable weather.</w:t>
      </w:r>
    </w:p>
    <w:p>
      <w:pPr>
        <w:spacing w:after="0" w:line="167" w:lineRule="exact"/>
        <w:rPr>
          <w:sz w:val="20"/>
          <w:szCs w:val="20"/>
          <w:color w:val="auto"/>
        </w:rPr>
      </w:pPr>
    </w:p>
    <w:p>
      <w:pPr>
        <w:ind w:right="780"/>
        <w:spacing w:after="0" w:line="274" w:lineRule="auto"/>
        <w:rPr>
          <w:sz w:val="20"/>
          <w:szCs w:val="20"/>
          <w:color w:val="auto"/>
        </w:rPr>
      </w:pPr>
      <w:r>
        <w:rPr>
          <w:rFonts w:ascii="Arial" w:cs="Arial" w:eastAsia="Arial" w:hAnsi="Arial"/>
          <w:sz w:val="20"/>
          <w:szCs w:val="20"/>
          <w:color w:val="auto"/>
        </w:rPr>
        <w:t>Diluted EPS increased year to date June 30, 2023, compared to the same period in 2022, primarily due to the increase in net income attributable to Evergy, Inc.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Utility Gross Margin (non-GAAP)</w:t>
      </w:r>
    </w:p>
    <w:p>
      <w:pPr>
        <w:spacing w:after="0" w:line="8"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74" w:lineRule="exact"/>
        <w:rPr>
          <w:sz w:val="20"/>
          <w:szCs w:val="20"/>
          <w:color w:val="auto"/>
        </w:rPr>
      </w:pPr>
    </w:p>
    <w:p>
      <w:pPr>
        <w:ind w:right="380"/>
        <w:spacing w:after="0" w:line="274" w:lineRule="auto"/>
        <w:rPr>
          <w:sz w:val="20"/>
          <w:szCs w:val="20"/>
          <w:color w:val="auto"/>
        </w:rPr>
      </w:pPr>
      <w:r>
        <w:rPr>
          <w:rFonts w:ascii="Arial" w:cs="Arial" w:eastAsia="Arial" w:hAnsi="Arial"/>
          <w:sz w:val="20"/>
          <w:szCs w:val="20"/>
          <w:color w:val="auto"/>
        </w:rPr>
        <w:t>Utility gross margin (non-GAAP) is intended to aid an investor's overall understanding of results. Management believes that utility gross margin (non-GAAP) provides a meaningful basis for evaluating the Evergy Companies'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operations across periods because utility gross margin (non-GAAP) excludes the revenue effect of fluctuations in fuel and purchased power costs and SPP network transmission costs. Utility gross margin (non-GAAP) is used internally to measure performance against budget and in reports for management and the Evergy Board. Utility gross margin (non-GAAP) should be viewed as a supplement to, and not a substitute for, gross margin, which is the most directly comparable financial measure prepared in accordance with GAAP. Gross margin under GAAP is defined as the excess of sales over cost of goods sold.</w:t>
      </w:r>
    </w:p>
    <w:p>
      <w:pPr>
        <w:spacing w:after="0" w:line="201" w:lineRule="exact"/>
        <w:rPr>
          <w:sz w:val="20"/>
          <w:szCs w:val="20"/>
          <w:color w:val="auto"/>
        </w:rPr>
      </w:pPr>
    </w:p>
    <w:p>
      <w:pPr>
        <w:ind w:right="280"/>
        <w:spacing w:after="0" w:line="255" w:lineRule="auto"/>
        <w:rPr>
          <w:sz w:val="20"/>
          <w:szCs w:val="20"/>
          <w:color w:val="auto"/>
        </w:rPr>
      </w:pPr>
      <w:r>
        <w:rPr>
          <w:rFonts w:ascii="Arial" w:cs="Arial" w:eastAsia="Arial" w:hAnsi="Arial"/>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Earnings (non-GAAP) and Adjusted EPS (non-GAAP)</w:t>
      </w:r>
    </w:p>
    <w:p>
      <w:pPr>
        <w:spacing w:after="0" w:line="20"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Management believes that adjusted earnings (non-GAAP) and adjusted EPS (non-GAAP) are representative measures of Evergy's recurring earnings, assists in the comparability of results and is consistent with how management reviews performance. Evergy's adjusted earnings (non-GAAP) and adjusted EPS (non-GAAP) for the three months ended and year to date June 30, 2022 have been recast, as applicable, to conform to the current year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Evergy's adjusted earnings (non-GAAP) and adjusted EPS (non-GAAP) for the three months ended and year to date June 30, 2023 were</w:t>
      </w:r>
    </w:p>
    <w:p>
      <w:pPr>
        <w:spacing w:after="0" w:line="43" w:lineRule="exact"/>
        <w:rPr>
          <w:sz w:val="20"/>
          <w:szCs w:val="20"/>
          <w:color w:val="auto"/>
        </w:rPr>
      </w:pPr>
    </w:p>
    <w:p>
      <w:pPr>
        <w:jc w:val="both"/>
        <w:ind w:right="120"/>
        <w:spacing w:after="0" w:line="253" w:lineRule="auto"/>
        <w:rPr>
          <w:sz w:val="20"/>
          <w:szCs w:val="20"/>
          <w:color w:val="auto"/>
        </w:rPr>
      </w:pPr>
      <w:r>
        <w:rPr>
          <w:rFonts w:ascii="Arial" w:cs="Arial" w:eastAsia="Arial" w:hAnsi="Arial"/>
          <w:sz w:val="20"/>
          <w:szCs w:val="20"/>
          <w:color w:val="auto"/>
        </w:rPr>
        <w:t>$186.1 million or $0.81 per share and $322.2 million or $1.40 per share, respectively. For the three months ended and year to date June 30, 2022, Evergy's adjusted earnings (non-GAAP) and adjusted EPS (non-GAAP) were $194.5 million or $0.84 per share and $324.4 million or $1.41 per share, respectively.</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In addition to net income attributable to Evergy, Inc. and diluted EPS, Evergy's management uses adjusted earnings (non-GAAP) and adjusted EPS (non-GAAP) to evaluate earnings and EPS without i.) the costs resulting from non-regulated energy marketing margins from the February 2021 winter weather event; ii.) gains or losses related to equity investments subject to a restriction on sale; iii.) the revenues collected from customers for the return on investment of the retired Sibley Station in 2022 for future refunds to customers; iv.) the mark-to-market impacts of economic hedges related to Evergy Kansas Central's non-regulated 8% ownership share of JEC; v.) costs resulting from advisor expenses; and vi.) the transmission revenues collected from customers in 2022 through Evergy Kansas Central's FERC TFR to be refunded to customers in accordance with a December 2022 FERC order and vii.) the second quarter 2023 deferral of the cumulative amount of prior year revenues collected since October 2019 for costs related to an electric subdivision rebate program to be refunded to customers in accordance with a June 2020 KCC order.</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60"/>
        <w:spacing w:after="0" w:line="274" w:lineRule="auto"/>
        <w:rPr>
          <w:sz w:val="20"/>
          <w:szCs w:val="20"/>
          <w:color w:val="auto"/>
        </w:rPr>
      </w:pPr>
      <w:r>
        <w:rPr>
          <w:rFonts w:ascii="Arial" w:cs="Arial" w:eastAsia="Arial" w:hAnsi="Arial"/>
          <w:sz w:val="20"/>
          <w:szCs w:val="20"/>
          <w:color w:val="auto"/>
        </w:rPr>
        <w:t>The following tables provide a reconciliation between net income attributable to Evergy, Inc. and diluted EPS as determined in accordance with GAAP and adjusted earnings (non-GAAP) and adjusted EPS (non-GAAP),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80"/>
        </w:trPr>
        <w:tc>
          <w:tcPr>
            <w:tcW w:w="5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5"/>
                <w:szCs w:val="15"/>
                <w:color w:val="auto"/>
              </w:rPr>
            </w:pPr>
          </w:p>
        </w:tc>
        <w:tc>
          <w:tcPr>
            <w:tcW w:w="104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5"/>
                <w:szCs w:val="15"/>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3"/>
              </w:rPr>
              <w:t>Earnings</w:t>
            </w:r>
          </w:p>
        </w:tc>
        <w:tc>
          <w:tcPr>
            <w:tcW w:w="200" w:type="dxa"/>
            <w:vAlign w:val="bottom"/>
          </w:tcPr>
          <w:p>
            <w:pPr>
              <w:spacing w:after="0"/>
              <w:rPr>
                <w:sz w:val="15"/>
                <w:szCs w:val="15"/>
                <w:color w:val="auto"/>
              </w:rPr>
            </w:pPr>
          </w:p>
        </w:tc>
        <w:tc>
          <w:tcPr>
            <w:tcW w:w="9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9"/>
        </w:trPr>
        <w:tc>
          <w:tcPr>
            <w:tcW w:w="5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(Loss)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7"/>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ind w:left="360"/>
              <w:spacing w:after="0" w:line="243" w:lineRule="exact"/>
              <w:rPr>
                <w:sz w:val="20"/>
                <w:szCs w:val="20"/>
                <w:color w:val="auto"/>
              </w:rPr>
            </w:pPr>
            <w:r>
              <w:rPr>
                <w:rFonts w:ascii="Arial" w:cs="Arial" w:eastAsia="Arial" w:hAnsi="Arial"/>
                <w:sz w:val="18"/>
                <w:szCs w:val="18"/>
                <w:color w:val="auto"/>
              </w:rPr>
              <w:t>Sibley Station return on investment, pre-tax</w:t>
            </w:r>
            <w:r>
              <w:rPr>
                <w:rFonts w:ascii="Arial" w:cs="Arial" w:eastAsia="Arial" w:hAnsi="Arial"/>
                <w:sz w:val="23"/>
                <w:szCs w:val="23"/>
                <w:color w:val="auto"/>
                <w:vertAlign w:val="superscript"/>
              </w:rPr>
              <w:t>(a)</w:t>
            </w:r>
          </w:p>
        </w:tc>
        <w:tc>
          <w:tcPr>
            <w:tcW w:w="8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line="230" w:lineRule="exact"/>
              <w:rPr>
                <w:sz w:val="20"/>
                <w:szCs w:val="20"/>
                <w:color w:val="auto"/>
              </w:rPr>
            </w:pPr>
            <w:r>
              <w:rPr>
                <w:rFonts w:ascii="Arial" w:cs="Arial" w:eastAsia="Arial" w:hAnsi="Arial"/>
                <w:sz w:val="18"/>
                <w:szCs w:val="18"/>
                <w:color w:val="auto"/>
              </w:rPr>
              <w:t>Mark-to-market impact of JEC economic hedges, pre-tax</w:t>
            </w:r>
            <w:r>
              <w:rPr>
                <w:rFonts w:ascii="Arial" w:cs="Arial" w:eastAsia="Arial" w:hAnsi="Arial"/>
                <w:sz w:val="23"/>
                <w:szCs w:val="23"/>
                <w:color w:val="auto"/>
                <w:vertAlign w:val="superscript"/>
              </w:rPr>
              <w:t>(b)</w:t>
            </w:r>
          </w:p>
        </w:tc>
        <w:tc>
          <w:tcPr>
            <w:tcW w:w="8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6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ind w:left="480"/>
              <w:spacing w:after="0" w:line="243"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(c)</w:t>
            </w:r>
          </w:p>
        </w:tc>
        <w:tc>
          <w:tcPr>
            <w:tcW w:w="8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(d)</w:t>
            </w:r>
          </w:p>
        </w:tc>
        <w:tc>
          <w:tcPr>
            <w:tcW w:w="8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Restricted equity investment losses, pre-tax</w:t>
            </w:r>
            <w:r>
              <w:rPr>
                <w:rFonts w:ascii="Arial" w:cs="Arial" w:eastAsia="Arial" w:hAnsi="Arial"/>
                <w:sz w:val="23"/>
                <w:szCs w:val="23"/>
                <w:color w:val="auto"/>
                <w:vertAlign w:val="superscript"/>
              </w:rPr>
              <w:t>(e)</w:t>
            </w: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5680" w:type="dxa"/>
            <w:vAlign w:val="bottom"/>
          </w:tcPr>
          <w:p>
            <w:pPr>
              <w:ind w:left="360"/>
              <w:spacing w:after="0" w:line="243" w:lineRule="exact"/>
              <w:rPr>
                <w:sz w:val="20"/>
                <w:szCs w:val="20"/>
                <w:color w:val="auto"/>
              </w:rPr>
            </w:pPr>
            <w:r>
              <w:rPr>
                <w:rFonts w:ascii="Arial" w:cs="Arial" w:eastAsia="Arial" w:hAnsi="Arial"/>
                <w:sz w:val="18"/>
                <w:szCs w:val="18"/>
                <w:color w:val="auto"/>
              </w:rPr>
              <w:t>TFR refund, pre-tax</w:t>
            </w:r>
            <w:r>
              <w:rPr>
                <w:rFonts w:ascii="Arial" w:cs="Arial" w:eastAsia="Arial" w:hAnsi="Arial"/>
                <w:sz w:val="23"/>
                <w:szCs w:val="23"/>
                <w:color w:val="auto"/>
                <w:vertAlign w:val="superscript"/>
              </w:rPr>
              <w:t>(f)</w:t>
            </w:r>
          </w:p>
        </w:tc>
        <w:tc>
          <w:tcPr>
            <w:tcW w:w="8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Electric subdivision rebate program costs refund, pre-tax</w:t>
            </w:r>
            <w:r>
              <w:rPr>
                <w:rFonts w:ascii="Arial" w:cs="Arial" w:eastAsia="Arial" w:hAnsi="Arial"/>
                <w:sz w:val="23"/>
                <w:szCs w:val="23"/>
                <w:color w:val="auto"/>
                <w:vertAlign w:val="superscript"/>
              </w:rPr>
              <w:t>(g)</w:t>
            </w: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(h)</w:t>
            </w:r>
          </w:p>
        </w:tc>
        <w:tc>
          <w:tcPr>
            <w:tcW w:w="8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earnings (non-GAAP)</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3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84"/>
        </w:trPr>
        <w:tc>
          <w:tcPr>
            <w:tcW w:w="6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0"/>
              <w:spacing w:after="0" w:line="184"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80"/>
        </w:trPr>
        <w:tc>
          <w:tcPr>
            <w:tcW w:w="6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70"/>
              <w:spacing w:after="0" w:line="181" w:lineRule="exact"/>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5"/>
                <w:szCs w:val="15"/>
                <w:color w:val="auto"/>
              </w:rPr>
            </w:pPr>
          </w:p>
        </w:tc>
        <w:tc>
          <w:tcPr>
            <w:tcW w:w="104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1"/>
              </w:rPr>
              <w:t>Diluted</w:t>
            </w:r>
          </w:p>
        </w:tc>
        <w:tc>
          <w:tcPr>
            <w:tcW w:w="24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Arial" w:cs="Arial" w:eastAsia="Arial" w:hAnsi="Arial"/>
                <w:sz w:val="18"/>
                <w:szCs w:val="18"/>
                <w:b w:val="1"/>
                <w:bCs w:val="1"/>
                <w:color w:val="auto"/>
                <w:w w:val="93"/>
              </w:rPr>
              <w:t>Earnings</w:t>
            </w:r>
          </w:p>
        </w:tc>
        <w:tc>
          <w:tcPr>
            <w:tcW w:w="200" w:type="dxa"/>
            <w:vAlign w:val="bottom"/>
          </w:tcPr>
          <w:p>
            <w:pPr>
              <w:spacing w:after="0"/>
              <w:rPr>
                <w:sz w:val="15"/>
                <w:szCs w:val="15"/>
                <w:color w:val="auto"/>
              </w:rPr>
            </w:pPr>
          </w:p>
        </w:tc>
        <w:tc>
          <w:tcPr>
            <w:tcW w:w="9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32"/>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360"/>
              <w:spacing w:after="0" w:line="243" w:lineRule="exact"/>
              <w:rPr>
                <w:sz w:val="20"/>
                <w:szCs w:val="20"/>
                <w:color w:val="auto"/>
              </w:rPr>
            </w:pPr>
            <w:r>
              <w:rPr>
                <w:rFonts w:ascii="Arial" w:cs="Arial" w:eastAsia="Arial" w:hAnsi="Arial"/>
                <w:sz w:val="18"/>
                <w:szCs w:val="18"/>
                <w:color w:val="auto"/>
              </w:rPr>
              <w:t>Sibley Station return on investment, pre-tax</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line="230" w:lineRule="exact"/>
              <w:rPr>
                <w:sz w:val="20"/>
                <w:szCs w:val="20"/>
                <w:color w:val="auto"/>
              </w:rPr>
            </w:pPr>
            <w:r>
              <w:rPr>
                <w:rFonts w:ascii="Arial" w:cs="Arial" w:eastAsia="Arial" w:hAnsi="Arial"/>
                <w:sz w:val="18"/>
                <w:szCs w:val="18"/>
                <w:color w:val="auto"/>
              </w:rPr>
              <w:t>Mark-to-market impact of JEC economic hedges, pre-tax</w:t>
            </w:r>
            <w:r>
              <w:rPr>
                <w:rFonts w:ascii="Arial" w:cs="Arial" w:eastAsia="Arial" w:hAnsi="Arial"/>
                <w:sz w:val="23"/>
                <w:szCs w:val="23"/>
                <w:color w:val="auto"/>
                <w:vertAlign w:val="superscript"/>
              </w:rPr>
              <w:t>(b)</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Non-regulated energy marketing costs related to February 2021 winter weather</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360"/>
              <w:spacing w:after="0" w:line="243" w:lineRule="exact"/>
              <w:rPr>
                <w:sz w:val="20"/>
                <w:szCs w:val="20"/>
                <w:color w:val="auto"/>
              </w:rPr>
            </w:pPr>
            <w:r>
              <w:rPr>
                <w:rFonts w:ascii="Arial" w:cs="Arial" w:eastAsia="Arial" w:hAnsi="Arial"/>
                <w:sz w:val="18"/>
                <w:szCs w:val="18"/>
                <w:color w:val="auto"/>
              </w:rPr>
              <w:t>event, pre-tax</w:t>
            </w:r>
            <w:r>
              <w:rPr>
                <w:rFonts w:ascii="Arial" w:cs="Arial" w:eastAsia="Arial" w:hAnsi="Arial"/>
                <w:sz w:val="23"/>
                <w:szCs w:val="23"/>
                <w:color w:val="auto"/>
                <w:vertAlign w:val="superscript"/>
              </w:rPr>
              <w:t>(c)</w:t>
            </w:r>
          </w:p>
        </w:tc>
        <w:tc>
          <w:tcPr>
            <w:tcW w:w="3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(d)</w:t>
            </w:r>
          </w:p>
        </w:tc>
        <w:tc>
          <w:tcPr>
            <w:tcW w:w="3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Restricted equity investment losses, pre-tax</w:t>
            </w:r>
            <w:r>
              <w:rPr>
                <w:rFonts w:ascii="Arial" w:cs="Arial" w:eastAsia="Arial" w:hAnsi="Arial"/>
                <w:sz w:val="23"/>
                <w:szCs w:val="23"/>
                <w:color w:val="auto"/>
                <w:vertAlign w:val="superscript"/>
              </w:rPr>
              <w:t>(e)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6240" w:type="dxa"/>
            <w:vAlign w:val="bottom"/>
          </w:tcPr>
          <w:p>
            <w:pPr>
              <w:ind w:left="360"/>
              <w:spacing w:after="0" w:line="243" w:lineRule="exact"/>
              <w:rPr>
                <w:sz w:val="20"/>
                <w:szCs w:val="20"/>
                <w:color w:val="auto"/>
              </w:rPr>
            </w:pPr>
            <w:r>
              <w:rPr>
                <w:rFonts w:ascii="Arial" w:cs="Arial" w:eastAsia="Arial" w:hAnsi="Arial"/>
                <w:sz w:val="18"/>
                <w:szCs w:val="18"/>
                <w:color w:val="auto"/>
              </w:rPr>
              <w:t>TFR refund, pre-tax</w:t>
            </w:r>
            <w:r>
              <w:rPr>
                <w:rFonts w:ascii="Arial" w:cs="Arial" w:eastAsia="Arial" w:hAnsi="Arial"/>
                <w:sz w:val="23"/>
                <w:szCs w:val="23"/>
                <w:color w:val="auto"/>
                <w:vertAlign w:val="superscript"/>
              </w:rPr>
              <w:t>(f)</w:t>
            </w:r>
          </w:p>
        </w:tc>
        <w:tc>
          <w:tcPr>
            <w:tcW w:w="3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Electric subdivision rebate program costs refund, pre-tax</w:t>
            </w:r>
            <w:r>
              <w:rPr>
                <w:rFonts w:ascii="Arial" w:cs="Arial" w:eastAsia="Arial" w:hAnsi="Arial"/>
                <w:sz w:val="23"/>
                <w:szCs w:val="23"/>
                <w:color w:val="auto"/>
                <w:vertAlign w:val="superscript"/>
              </w:rPr>
              <w:t>(g)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23"/>
                <w:szCs w:val="23"/>
                <w:color w:val="auto"/>
                <w:vertAlign w:val="superscript"/>
              </w:rPr>
              <w:t>(h)</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earnings (non-GAAP)</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180" w:hanging="172"/>
        <w:spacing w:after="0" w:line="223"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revenues collected from customers for the return on investment of the retired Sibley Station in 2022 that are included in operating revenues on the consolidated statements of comprehensive income.</w:t>
      </w:r>
    </w:p>
    <w:p>
      <w:pPr>
        <w:ind w:left="180" w:right="160" w:hanging="172"/>
        <w:spacing w:after="0" w:line="253" w:lineRule="auto"/>
        <w:tabs>
          <w:tab w:leader="none" w:pos="1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Reflects mark-to-market gains or losses related to forward contracts for natural gas and electricity entered into as economic hedges against fuel price volatility related to Evergy Kansas Central's non-regulated 8% ownership share of JEC that are included in operating revenues on the consolidated statements of comprehensive income.</w:t>
      </w:r>
    </w:p>
    <w:p>
      <w:pPr>
        <w:ind w:left="180" w:right="140" w:hanging="172"/>
        <w:spacing w:after="0" w:line="220"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non-regulated energy marketing incentive compensation costs related to the February 2021 winter weather event that are included in operating and maintenance expense on the consolidated statements of comprehensive income.</w:t>
      </w:r>
    </w:p>
    <w:p>
      <w:pPr>
        <w:spacing w:after="0" w:line="1" w:lineRule="exact"/>
        <w:rPr>
          <w:rFonts w:ascii="Arial" w:cs="Arial" w:eastAsia="Arial" w:hAnsi="Arial"/>
          <w:sz w:val="21"/>
          <w:szCs w:val="21"/>
          <w:color w:val="auto"/>
          <w:vertAlign w:val="superscript"/>
        </w:rPr>
      </w:pPr>
    </w:p>
    <w:p>
      <w:pPr>
        <w:ind w:left="180" w:right="780" w:hanging="172"/>
        <w:spacing w:after="0" w:line="234" w:lineRule="auto"/>
        <w:tabs>
          <w:tab w:leader="none" w:pos="167"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Reflects advisor expenses incurred associated with strategic planning and are included in operating and maintenance expense on the consolidated statements of comprehensive income.</w:t>
      </w:r>
    </w:p>
    <w:p>
      <w:pPr>
        <w:ind w:left="180" w:right="620" w:hanging="172"/>
        <w:spacing w:after="0" w:line="220"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losses related to equity investments which were subject to a restriction on sale that are included in investment earnings on the consolidated statements of comprehensive income.</w:t>
      </w:r>
    </w:p>
    <w:p>
      <w:pPr>
        <w:spacing w:after="0" w:line="1" w:lineRule="exact"/>
        <w:rPr>
          <w:rFonts w:ascii="Arial" w:cs="Arial" w:eastAsia="Arial" w:hAnsi="Arial"/>
          <w:sz w:val="21"/>
          <w:szCs w:val="21"/>
          <w:color w:val="auto"/>
          <w:vertAlign w:val="superscript"/>
        </w:rPr>
      </w:pPr>
    </w:p>
    <w:p>
      <w:pPr>
        <w:ind w:left="180" w:right="680" w:hanging="172"/>
        <w:spacing w:after="0" w:line="218"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transmission revenues collected from customers in 2022 through Evergy Kansas Central's FERC TFR to be refunded to customers in accordance with a December 2022 FERC order that are included in operating revenues on the consolidated statements of comprehensive income.</w:t>
      </w:r>
    </w:p>
    <w:p>
      <w:pPr>
        <w:spacing w:after="0" w:line="1" w:lineRule="exact"/>
        <w:rPr>
          <w:rFonts w:ascii="Arial" w:cs="Arial" w:eastAsia="Arial" w:hAnsi="Arial"/>
          <w:sz w:val="21"/>
          <w:szCs w:val="21"/>
          <w:color w:val="auto"/>
          <w:vertAlign w:val="superscript"/>
        </w:rPr>
      </w:pPr>
    </w:p>
    <w:p>
      <w:pPr>
        <w:ind w:left="180" w:right="60" w:hanging="172"/>
        <w:spacing w:after="0" w:line="229"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the second quarter 2023 deferral of the cumulative amount of prior year revenues collected since October 2019 for costs related to an electric subdivision rebate program to be refunded to customers in accordance with a June 2020 KCC order that are included in operating revenues on the consolidated statements of comprehensive income.</w:t>
      </w:r>
    </w:p>
    <w:p>
      <w:pPr>
        <w:spacing w:after="0" w:line="2" w:lineRule="exact"/>
        <w:rPr>
          <w:rFonts w:ascii="Arial" w:cs="Arial" w:eastAsia="Arial" w:hAnsi="Arial"/>
          <w:sz w:val="21"/>
          <w:szCs w:val="21"/>
          <w:color w:val="auto"/>
          <w:vertAlign w:val="superscript"/>
        </w:rPr>
      </w:pPr>
    </w:p>
    <w:p>
      <w:pPr>
        <w:ind w:left="180" w:hanging="172"/>
        <w:spacing w:after="0" w:line="201"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an income tax effect calculated at a statutory rate of approximately 22%.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Note 11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Note 12 to the consolidated financial statements for information regarding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Year to Date</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June 30</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3"/>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1,446.5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2,651.0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344.8</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3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414.3</w:t>
            </w:r>
          </w:p>
        </w:tc>
        <w:tc>
          <w:tcPr>
            <w:tcW w:w="3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699.0</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81.5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156.6</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227.6</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32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282.8</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443.9</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269.4</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37.3</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232.1</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532.8</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71.7</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100.3</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202.8</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336.6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335.5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615.9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133.7</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99.3</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256.8</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65.7</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Equity in earnings of equity method investees, net of</w:t>
            </w: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182.2</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197.6</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327.9</w:t>
            </w:r>
          </w:p>
        </w:tc>
        <w:tc>
          <w:tcPr>
            <w:tcW w:w="2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182"/>
        </w:trPr>
        <w:tc>
          <w:tcPr>
            <w:tcW w:w="4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Less: Net income attributable to noncontrolling</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179.1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194.5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Gross Margin (GAAP) and Utility Gross Margin (non-GAAP)</w:t>
      </w:r>
    </w:p>
    <w:p>
      <w:pPr>
        <w:spacing w:after="0" w:line="26" w:lineRule="exact"/>
        <w:rPr>
          <w:sz w:val="20"/>
          <w:szCs w:val="20"/>
          <w:color w:val="auto"/>
        </w:rPr>
      </w:pPr>
    </w:p>
    <w:p>
      <w:pPr>
        <w:ind w:left="1" w:right="140"/>
        <w:spacing w:after="0" w:line="253" w:lineRule="auto"/>
        <w:rPr>
          <w:sz w:val="20"/>
          <w:szCs w:val="20"/>
          <w:color w:val="auto"/>
        </w:rPr>
      </w:pPr>
      <w:r>
        <w:rPr>
          <w:rFonts w:ascii="Arial" w:cs="Arial" w:eastAsia="Arial" w:hAnsi="Arial"/>
          <w:sz w:val="20"/>
          <w:szCs w:val="20"/>
          <w:color w:val="auto"/>
        </w:rPr>
        <w:t>The following table summarizes Evergy's gross margin (GAAP) and MWhs sold and reconciles Evergy's gross margin (GAAP) to Evergy's utility gross margin (non-GAAP). See "Executive Summary - Non-GAAP Measures", above for additional information regarding gross margin (GAAP) and utility gross margin (non-GAAP).</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261"/>
        </w:trPr>
        <w:tc>
          <w:tcPr>
            <w:tcW w:w="5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82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2"/>
                <w:szCs w:val="22"/>
                <w:color w:val="auto"/>
              </w:rPr>
            </w:pPr>
          </w:p>
        </w:tc>
      </w:tr>
      <w:tr>
        <w:trPr>
          <w:trHeight w:val="23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0"/>
              </w:rPr>
              <w:t>Change</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center"/>
              <w:ind w:right="70"/>
              <w:spacing w:after="0"/>
              <w:rPr>
                <w:sz w:val="20"/>
                <w:szCs w:val="20"/>
                <w:color w:val="auto"/>
              </w:rPr>
            </w:pPr>
            <w:r>
              <w:rPr>
                <w:rFonts w:ascii="Arial" w:cs="Arial" w:eastAsia="Arial" w:hAnsi="Arial"/>
                <w:sz w:val="16"/>
                <w:szCs w:val="16"/>
                <w:color w:val="auto"/>
                <w:w w:val="99"/>
              </w:rPr>
              <w:t>(millions)</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4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3,616</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460.7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465.5</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4,438</w:t>
            </w:r>
          </w:p>
        </w:tc>
        <w:tc>
          <w:tcPr>
            <w:tcW w:w="1160" w:type="dxa"/>
            <w:vAlign w:val="bottom"/>
          </w:tcPr>
          <w:p>
            <w:pPr>
              <w:jc w:val="center"/>
              <w:ind w:left="371"/>
              <w:spacing w:after="0"/>
              <w:rPr>
                <w:sz w:val="20"/>
                <w:szCs w:val="20"/>
                <w:color w:val="auto"/>
              </w:rPr>
            </w:pPr>
            <w:r>
              <w:rPr>
                <w:rFonts w:ascii="Arial" w:cs="Arial" w:eastAsia="Arial" w:hAnsi="Arial"/>
                <w:sz w:val="18"/>
                <w:szCs w:val="18"/>
                <w:color w:val="auto"/>
                <w:w w:val="89"/>
              </w:rPr>
              <w:t>50</w:t>
            </w:r>
          </w:p>
        </w:tc>
        <w:tc>
          <w:tcPr>
            <w:tcW w:w="84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2,118</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r>
      <w:tr>
        <w:trPr>
          <w:trHeight w:val="243"/>
        </w:trPr>
        <w:tc>
          <w:tcPr>
            <w:tcW w:w="510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1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31</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1,119.6</w:t>
            </w: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10,203</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10,382</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83.1</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3,498</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(874)</w:t>
            </w:r>
          </w:p>
        </w:tc>
        <w:tc>
          <w:tcPr>
            <w:tcW w:w="840" w:type="dxa"/>
            <w:vAlign w:val="bottom"/>
          </w:tcPr>
          <w:p>
            <w:pPr>
              <w:jc w:val="right"/>
              <w:spacing w:after="0"/>
              <w:rPr>
                <w:sz w:val="20"/>
                <w:szCs w:val="20"/>
                <w:color w:val="auto"/>
              </w:rPr>
            </w:pPr>
            <w:r>
              <w:rPr>
                <w:rFonts w:ascii="Arial" w:cs="Arial" w:eastAsia="Arial" w:hAnsi="Arial"/>
                <w:sz w:val="18"/>
                <w:szCs w:val="18"/>
                <w:color w:val="auto"/>
              </w:rPr>
              <w:t>4,372</w:t>
            </w: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1,354.2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13,701</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(344.8)</w:t>
            </w:r>
          </w:p>
        </w:tc>
        <w:tc>
          <w:tcPr>
            <w:tcW w:w="2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10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443.1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5100" w:type="dxa"/>
            <w:vAlign w:val="bottom"/>
          </w:tcPr>
          <w:p>
            <w:pPr>
              <w:ind w:left="20"/>
              <w:spacing w:after="0" w:line="243"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1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950.7</w:t>
            </w: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r>
    </w:tbl>
    <w:p>
      <w:pPr>
        <w:spacing w:after="0" w:line="4" w:lineRule="exact"/>
        <w:rPr>
          <w:sz w:val="20"/>
          <w:szCs w:val="20"/>
          <w:color w:val="auto"/>
        </w:rPr>
      </w:pPr>
    </w:p>
    <w:p>
      <w:pPr>
        <w:ind w:left="161" w:right="140" w:hanging="161"/>
        <w:spacing w:after="0" w:line="225" w:lineRule="auto"/>
        <w:tabs>
          <w:tab w:leader="none" w:pos="156"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$106.5 million and $141.8 million for the three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62" w:name="page63"/>
    <w:bookmarkEnd w:id="62"/>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2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2"/>
              </w:rPr>
              <w:t>MWhs Sold</w:t>
            </w:r>
          </w:p>
        </w:tc>
        <w:tc>
          <w:tcPr>
            <w:tcW w:w="820" w:type="dxa"/>
            <w:vAlign w:val="bottom"/>
            <w:tcBorders>
              <w:top w:val="single" w:sz="8" w:color="auto"/>
            </w:tcBorders>
          </w:tcPr>
          <w:p>
            <w:pPr>
              <w:spacing w:after="0"/>
              <w:rPr>
                <w:sz w:val="21"/>
                <w:szCs w:val="21"/>
                <w:color w:val="auto"/>
              </w:rPr>
            </w:pPr>
          </w:p>
        </w:tc>
      </w:tr>
      <w:tr>
        <w:trPr>
          <w:trHeight w:val="23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0"/>
              </w:rPr>
              <w:t>Change</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r>
      <w:tr>
        <w:trPr>
          <w:trHeight w:val="233"/>
        </w:trPr>
        <w:tc>
          <w:tcPr>
            <w:tcW w:w="510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center"/>
              <w:ind w:right="70"/>
              <w:spacing w:after="0"/>
              <w:rPr>
                <w:sz w:val="20"/>
                <w:szCs w:val="20"/>
                <w:color w:val="auto"/>
              </w:rPr>
            </w:pPr>
            <w:r>
              <w:rPr>
                <w:rFonts w:ascii="Arial" w:cs="Arial" w:eastAsia="Arial" w:hAnsi="Arial"/>
                <w:sz w:val="16"/>
                <w:szCs w:val="16"/>
                <w:color w:val="auto"/>
                <w:w w:val="99"/>
              </w:rPr>
              <w:t>(millions)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jc w:val="center"/>
              <w:ind w:right="51"/>
              <w:spacing w:after="0"/>
              <w:rPr>
                <w:sz w:val="20"/>
                <w:szCs w:val="20"/>
                <w:color w:val="auto"/>
              </w:rPr>
            </w:pPr>
            <w:r>
              <w:rPr>
                <w:rFonts w:ascii="Arial" w:cs="Arial" w:eastAsia="Arial" w:hAnsi="Arial"/>
                <w:sz w:val="16"/>
                <w:szCs w:val="16"/>
                <w:color w:val="auto"/>
                <w:w w:val="89"/>
              </w:rPr>
              <w:t>(thousands)</w:t>
            </w:r>
          </w:p>
        </w:tc>
        <w:tc>
          <w:tcPr>
            <w:tcW w:w="820" w:type="dxa"/>
            <w:vAlign w:val="bottom"/>
          </w:tcPr>
          <w:p>
            <w:pPr>
              <w:spacing w:after="0"/>
              <w:rPr>
                <w:sz w:val="20"/>
                <w:szCs w:val="20"/>
                <w:color w:val="auto"/>
              </w:rPr>
            </w:pPr>
          </w:p>
        </w:tc>
      </w:tr>
      <w:tr>
        <w:trPr>
          <w:trHeight w:val="23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7,357</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890.7</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868.6</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8,749</w:t>
            </w:r>
          </w:p>
        </w:tc>
        <w:tc>
          <w:tcPr>
            <w:tcW w:w="1180" w:type="dxa"/>
            <w:vAlign w:val="bottom"/>
          </w:tcPr>
          <w:p>
            <w:pPr>
              <w:ind w:left="640"/>
              <w:spacing w:after="0"/>
              <w:rPr>
                <w:sz w:val="20"/>
                <w:szCs w:val="20"/>
                <w:color w:val="auto"/>
              </w:rPr>
            </w:pPr>
            <w:r>
              <w:rPr>
                <w:rFonts w:ascii="Arial" w:cs="Arial" w:eastAsia="Arial" w:hAnsi="Arial"/>
                <w:sz w:val="18"/>
                <w:szCs w:val="18"/>
                <w:color w:val="auto"/>
              </w:rPr>
              <w:t>105</w:t>
            </w:r>
          </w:p>
        </w:tc>
        <w:tc>
          <w:tcPr>
            <w:tcW w:w="820" w:type="dxa"/>
            <w:vAlign w:val="bottom"/>
          </w:tcPr>
          <w:p>
            <w:pPr>
              <w:jc w:val="right"/>
              <w:spacing w:after="0"/>
              <w:rPr>
                <w:sz w:val="20"/>
                <w:szCs w:val="20"/>
                <w:color w:val="auto"/>
              </w:rPr>
            </w:pPr>
            <w:r>
              <w:rPr>
                <w:rFonts w:ascii="Arial" w:cs="Arial" w:eastAsia="Arial" w:hAnsi="Arial"/>
                <w:sz w:val="18"/>
                <w:szCs w:val="18"/>
                <w:color w:val="auto"/>
              </w:rPr>
              <w:t>8,644</w:t>
            </w:r>
          </w:p>
        </w:tc>
      </w:tr>
      <w:tr>
        <w:trPr>
          <w:trHeight w:val="24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316.4</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4,182</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5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2,178.6</w:t>
            </w: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20,350</w:t>
            </w:r>
          </w:p>
        </w:tc>
        <w:tc>
          <w:tcPr>
            <w:tcW w:w="11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(368)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20,718</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1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153.5</w:t>
            </w:r>
          </w:p>
        </w:tc>
        <w:tc>
          <w:tcPr>
            <w:tcW w:w="2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7,046</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(1,226)</w:t>
            </w:r>
          </w:p>
        </w:tc>
        <w:tc>
          <w:tcPr>
            <w:tcW w:w="820" w:type="dxa"/>
            <w:vAlign w:val="bottom"/>
          </w:tcPr>
          <w:p>
            <w:pPr>
              <w:jc w:val="right"/>
              <w:spacing w:after="0"/>
              <w:rPr>
                <w:sz w:val="20"/>
                <w:szCs w:val="20"/>
                <w:color w:val="auto"/>
              </w:rPr>
            </w:pPr>
            <w:r>
              <w:rPr>
                <w:rFonts w:ascii="Arial" w:cs="Arial" w:eastAsia="Arial" w:hAnsi="Arial"/>
                <w:sz w:val="18"/>
                <w:szCs w:val="18"/>
                <w:color w:val="auto"/>
              </w:rPr>
              <w:t>8,272</w:t>
            </w:r>
          </w:p>
        </w:tc>
      </w:tr>
      <w:tr>
        <w:trPr>
          <w:trHeight w:val="23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206.3</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112.6</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2,651.0</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27,396</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(1,594)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28,990</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(699.0)</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3"/>
        </w:trPr>
        <w:tc>
          <w:tcPr>
            <w:tcW w:w="5100" w:type="dxa"/>
            <w:vAlign w:val="bottom"/>
          </w:tcPr>
          <w:p>
            <w:pPr>
              <w:ind w:left="20"/>
              <w:spacing w:after="0" w:line="243"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(239.3)</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820.5</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851.2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510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239.3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532.8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202.8</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r>
      <w:tr>
        <w:trPr>
          <w:trHeight w:val="23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1,786.9</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r>
    </w:tbl>
    <w:p>
      <w:pPr>
        <w:spacing w:after="0" w:line="4" w:lineRule="exact"/>
        <w:rPr>
          <w:sz w:val="20"/>
          <w:szCs w:val="20"/>
          <w:color w:val="auto"/>
        </w:rPr>
      </w:pPr>
    </w:p>
    <w:p>
      <w:pPr>
        <w:ind w:left="161" w:right="180" w:hanging="161"/>
        <w:spacing w:after="0" w:line="225" w:lineRule="auto"/>
        <w:tabs>
          <w:tab w:leader="none" w:pos="156"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$204.6 million and $262.6 million year to date June 30, 2023 and 2022, respectively.</w:t>
      </w:r>
    </w:p>
    <w:p>
      <w:pPr>
        <w:spacing w:after="0" w:line="302" w:lineRule="exact"/>
        <w:rPr>
          <w:sz w:val="20"/>
          <w:szCs w:val="20"/>
          <w:color w:val="auto"/>
        </w:rPr>
      </w:pPr>
    </w:p>
    <w:p>
      <w:pPr>
        <w:ind w:left="1"/>
        <w:spacing w:after="0" w:line="257" w:lineRule="auto"/>
        <w:rPr>
          <w:sz w:val="20"/>
          <w:szCs w:val="20"/>
          <w:color w:val="auto"/>
        </w:rPr>
      </w:pPr>
      <w:r>
        <w:rPr>
          <w:rFonts w:ascii="Arial" w:cs="Arial" w:eastAsia="Arial" w:hAnsi="Arial"/>
          <w:sz w:val="20"/>
          <w:szCs w:val="20"/>
          <w:color w:val="auto"/>
        </w:rPr>
        <w:t>Evergy's gross margin (GAAP) decreased $34.2 million for the three months ended June 30, 2023, compared to the same period in 2022 and Evergy's utility gross margin (non-GAAP) decreased $16.7 million for the three months ended June 30, 2023, compared to the same period in 2022, both measures were driven by:</w:t>
      </w:r>
    </w:p>
    <w:p>
      <w:pPr>
        <w:spacing w:after="0" w:line="71" w:lineRule="exact"/>
        <w:rPr>
          <w:sz w:val="20"/>
          <w:szCs w:val="20"/>
          <w:color w:val="auto"/>
        </w:rPr>
      </w:pPr>
    </w:p>
    <w:p>
      <w:pPr>
        <w:ind w:left="661" w:right="40" w:hanging="328"/>
        <w:spacing w:after="0" w:line="274" w:lineRule="auto"/>
        <w:tabs>
          <w:tab w:leader="none" w:pos="661"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 $18.8 million decrease primarily due to lower retail sales driven by unfavorable weather (cooling degree days decreased by 13%); partially offset by higher weather-normalized residential and commercial demand;</w:t>
      </w:r>
    </w:p>
    <w:p>
      <w:pPr>
        <w:spacing w:after="0" w:line="68" w:lineRule="exact"/>
        <w:rPr>
          <w:rFonts w:ascii="Arial" w:cs="Arial" w:eastAsia="Arial" w:hAnsi="Arial"/>
          <w:sz w:val="20"/>
          <w:szCs w:val="20"/>
          <w:color w:val="auto"/>
        </w:rPr>
      </w:pPr>
    </w:p>
    <w:p>
      <w:pPr>
        <w:ind w:left="661" w:right="460" w:hanging="328"/>
        <w:spacing w:after="0" w:line="378" w:lineRule="auto"/>
        <w:tabs>
          <w:tab w:leader="none" w:pos="661"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$6.4 million decrease due to mark-to-market losses related to forward contracts for natural gas and electricity entered into as economic hedges against fuel price volatility related to Evergy Kansas Central's non-regulated 8% ownership share of JEC; and</w:t>
      </w:r>
    </w:p>
    <w:p>
      <w:pPr>
        <w:ind w:left="661" w:right="200" w:hanging="328"/>
        <w:spacing w:after="0" w:line="260" w:lineRule="auto"/>
        <w:tabs>
          <w:tab w:leader="none" w:pos="661"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$5.1 million decrease in operating revenue related to non-regulated energy marketing activity at Evergy Kansas Central; partially offset by</w:t>
      </w:r>
    </w:p>
    <w:p>
      <w:pPr>
        <w:spacing w:after="0" w:line="82" w:lineRule="exact"/>
        <w:rPr>
          <w:rFonts w:ascii="Arial" w:cs="Arial" w:eastAsia="Arial" w:hAnsi="Arial"/>
          <w:sz w:val="20"/>
          <w:szCs w:val="20"/>
          <w:color w:val="auto"/>
        </w:rPr>
      </w:pPr>
    </w:p>
    <w:p>
      <w:pPr>
        <w:ind w:left="661" w:hanging="328"/>
        <w:spacing w:after="0"/>
        <w:tabs>
          <w:tab w:leader="none" w:pos="661"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$13.6 million increase from new Evergy Metro and Evergy Missouri West retail rates effective in January 2023.</w:t>
      </w:r>
    </w:p>
    <w:p>
      <w:pPr>
        <w:spacing w:after="0" w:line="108" w:lineRule="exact"/>
        <w:rPr>
          <w:sz w:val="20"/>
          <w:szCs w:val="20"/>
          <w:color w:val="auto"/>
        </w:rPr>
      </w:pPr>
    </w:p>
    <w:p>
      <w:pPr>
        <w:ind w:left="1"/>
        <w:spacing w:after="0"/>
        <w:rPr>
          <w:sz w:val="20"/>
          <w:szCs w:val="20"/>
          <w:color w:val="auto"/>
        </w:rPr>
      </w:pPr>
      <w:r>
        <w:rPr>
          <w:rFonts w:ascii="Arial" w:cs="Arial" w:eastAsia="Arial" w:hAnsi="Arial"/>
          <w:sz w:val="20"/>
          <w:szCs w:val="20"/>
          <w:color w:val="auto"/>
        </w:rPr>
        <w:t>Additionally, the decrease in Evergy's gross margin (GAAP) was also driven by:</w:t>
      </w:r>
    </w:p>
    <w:p>
      <w:pPr>
        <w:spacing w:after="0" w:line="121" w:lineRule="exact"/>
        <w:rPr>
          <w:sz w:val="20"/>
          <w:szCs w:val="20"/>
          <w:color w:val="auto"/>
        </w:rPr>
      </w:pPr>
    </w:p>
    <w:p>
      <w:pPr>
        <w:ind w:left="661" w:hanging="328"/>
        <w:spacing w:after="0"/>
        <w:tabs>
          <w:tab w:leader="none" w:pos="661"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$37.3 million increase in depreciation and amortization as further described below; partially offset by</w:t>
      </w:r>
    </w:p>
    <w:p>
      <w:pPr>
        <w:spacing w:after="0" w:line="121" w:lineRule="exact"/>
        <w:rPr>
          <w:rFonts w:ascii="Arial" w:cs="Arial" w:eastAsia="Arial" w:hAnsi="Arial"/>
          <w:sz w:val="20"/>
          <w:szCs w:val="20"/>
          <w:color w:val="auto"/>
        </w:rPr>
      </w:pPr>
    </w:p>
    <w:p>
      <w:pPr>
        <w:ind w:left="661" w:right="80" w:hanging="328"/>
        <w:spacing w:after="0" w:line="299" w:lineRule="auto"/>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$19.9 million decrease in operating and maintenance expenses which are determined to be directly attributable to revenue producing activities primarily driven by a $8.5 million decrease in plant operating and maintenance expense at fossil-fuel generating units and a $6.9 million decrease in transmission and distribution operating and maintenance expenses as further described below.</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1"/>
          </w:cols>
          <w:pgMar w:left="319" w:top="122" w:right="359" w:bottom="1440" w:gutter="0" w:footer="0" w:header="0"/>
        </w:sectPr>
      </w:pPr>
    </w:p>
    <w:bookmarkStart w:id="63" w:name="page64"/>
    <w:bookmarkEnd w:id="6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Evergy's gross margin (GAAP) decreased $30.7 million year to date June 30, 2023, compared to the same period in 2022 and Evergy's utility gross margin (non-GAAP) increased $8.5 million year to date June 30, 2023, compared to the same period in 2022, both measures were driven by:</w:t>
      </w:r>
    </w:p>
    <w:p>
      <w:pPr>
        <w:spacing w:after="0" w:line="85" w:lineRule="exact"/>
        <w:rPr>
          <w:sz w:val="20"/>
          <w:szCs w:val="20"/>
          <w:color w:val="auto"/>
        </w:rPr>
      </w:pPr>
    </w:p>
    <w:p>
      <w:pPr>
        <w:ind w:left="660" w:right="280" w:hanging="328"/>
        <w:spacing w:after="0" w:line="257"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$27.5 million decrease primarily due to lower retail sales driven by unfavorable weather (cooling degree days decreased by 13% and heating degree days decreased by 13%), partially offset by higher weather-normalized residential and commercial demand; partially offset by</w:t>
      </w:r>
    </w:p>
    <w:p>
      <w:pPr>
        <w:spacing w:after="0" w:line="84"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$25.4 million increase from new Evergy Metro and Evergy Missouri West retail rates effective in January 2023;</w:t>
      </w:r>
    </w:p>
    <w:p>
      <w:pPr>
        <w:spacing w:after="0" w:line="107" w:lineRule="exact"/>
        <w:rPr>
          <w:rFonts w:ascii="Arial" w:cs="Arial" w:eastAsia="Arial" w:hAnsi="Arial"/>
          <w:sz w:val="20"/>
          <w:szCs w:val="20"/>
          <w:color w:val="auto"/>
        </w:rPr>
      </w:pPr>
    </w:p>
    <w:p>
      <w:pPr>
        <w:ind w:left="660" w:right="440" w:hanging="328"/>
        <w:spacing w:after="0" w:line="274"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$7.3 million increase in transmission revenue primarily due to updated transmission costs reflected in Evergy Kansas Central's FERC TFR effective in January 2023 and revised in March 2023;</w:t>
      </w:r>
    </w:p>
    <w:p>
      <w:pPr>
        <w:spacing w:after="0" w:line="55" w:lineRule="exact"/>
        <w:rPr>
          <w:rFonts w:ascii="Arial" w:cs="Arial" w:eastAsia="Arial" w:hAnsi="Arial"/>
          <w:sz w:val="20"/>
          <w:szCs w:val="20"/>
          <w:color w:val="auto"/>
        </w:rPr>
      </w:pPr>
    </w:p>
    <w:p>
      <w:pPr>
        <w:ind w:left="660" w:right="480" w:hanging="328"/>
        <w:spacing w:after="0" w:line="38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$2.0 million increase due to mark-to-market gains related to forward contracts for natural gas and electricity entered into as economic hedges against fuel price volatility related to Evergy Kansas Central's non-regulated 8% ownership share of JEC; and</w:t>
      </w:r>
    </w:p>
    <w:p>
      <w:pPr>
        <w:ind w:right="980" w:firstLine="332"/>
        <w:spacing w:after="0" w:line="359"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$1.3 million increase in operating revenue related to non-regulated energy marketing activity at Evergy Kansas Central. Additionally, the decrease in Evergy's gross margin (GAAP) was also driven by:</w:t>
      </w: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$71.7 million increase in depreciation and amortization as further described below; partially offset by</w:t>
      </w:r>
    </w:p>
    <w:p>
      <w:pPr>
        <w:spacing w:after="0" w:line="107" w:lineRule="exact"/>
        <w:rPr>
          <w:rFonts w:ascii="Arial" w:cs="Arial" w:eastAsia="Arial" w:hAnsi="Arial"/>
          <w:sz w:val="20"/>
          <w:szCs w:val="20"/>
          <w:color w:val="auto"/>
        </w:rPr>
      </w:pPr>
    </w:p>
    <w:p>
      <w:pPr>
        <w:ind w:left="660" w:right="400" w:hanging="328"/>
        <w:spacing w:after="0" w:line="29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$33.1 million decrease in operating and maintenance expenses which are determined to be directly attributable to revenue producing activities primarily driven by a $13.7 million decrease in plant and operating and maintenance expense at fossil-fuel generating units, a $9.4 million decrease in transmission and distribution operating and maintenance expenses and a $6.9 million decrease in plant operating and maintenance expense at Wolf Creek as further described below.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2"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Evergy's operating and maintenance expense decreased $55.2 million for the three months ended June 30, 2023, compared to the same period in 2022, primarily driven by:</w:t>
      </w:r>
    </w:p>
    <w:p>
      <w:pPr>
        <w:spacing w:after="0" w:line="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$19.5 million decrease in administrative labor and employee benefits expenses primarily due to lower employee headcount in 2023;</w:t>
      </w:r>
    </w:p>
    <w:p>
      <w:pPr>
        <w:spacing w:after="0" w:line="167" w:lineRule="exact"/>
        <w:rPr>
          <w:rFonts w:ascii="Arial" w:cs="Arial" w:eastAsia="Arial" w:hAnsi="Arial"/>
          <w:sz w:val="16"/>
          <w:szCs w:val="16"/>
          <w:color w:val="auto"/>
        </w:rPr>
      </w:pPr>
    </w:p>
    <w:p>
      <w:pPr>
        <w:ind w:left="660" w:right="300" w:hanging="328"/>
        <w:spacing w:after="0" w:line="255"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 $8.5 million decrease in plant operating and maintenance expense at fossil-fuel generating units primarily due to a $4.9 million decrease at Evergy Kansas Central driven by a major maintenance outage at JEC in 2022 and a $2.7 million decrease at Evergy Metro driven by a major maintenance outage at Iatan Station Unit 1 in 2022; partially offset by a major maintenance outage at Hawthorn Station in 2023;</w:t>
      </w:r>
    </w:p>
    <w:p>
      <w:pPr>
        <w:spacing w:after="0" w:line="75" w:lineRule="exact"/>
        <w:rPr>
          <w:rFonts w:ascii="Arial" w:cs="Arial" w:eastAsia="Arial" w:hAnsi="Arial"/>
          <w:sz w:val="20"/>
          <w:szCs w:val="20"/>
          <w:color w:val="auto"/>
        </w:rPr>
      </w:pPr>
    </w:p>
    <w:p>
      <w:pPr>
        <w:ind w:left="660" w:right="80" w:hanging="328"/>
        <w:spacing w:after="0" w:line="33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$6.9 million decrease in transmission and distribution operating and maintenance expenses primarily at Evergy Kansas Central and Evergy Metro driven by lower labor expense primarily due to an increase in labor capitalization and lower employee headcount;</w:t>
      </w:r>
    </w:p>
    <w:p>
      <w:pPr>
        <w:spacing w:after="0" w:line="21" w:lineRule="exact"/>
        <w:rPr>
          <w:rFonts w:ascii="Arial" w:cs="Arial" w:eastAsia="Arial" w:hAnsi="Arial"/>
          <w:sz w:val="18"/>
          <w:szCs w:val="18"/>
          <w:color w:val="auto"/>
        </w:rPr>
      </w:pPr>
    </w:p>
    <w:p>
      <w:pPr>
        <w:ind w:left="660" w:right="14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$4.2 million decrease in various administrative and general operating and maintenance expenses primarily due to lower regulatory amortizations at Evergy Metro and Evergy Missouri West as a result of their 2022 rate cases; and</w:t>
      </w:r>
    </w:p>
    <w:p>
      <w:pPr>
        <w:spacing w:after="0" w:line="82" w:lineRule="exact"/>
        <w:rPr>
          <w:rFonts w:ascii="Arial" w:cs="Arial" w:eastAsia="Arial" w:hAnsi="Arial"/>
          <w:sz w:val="20"/>
          <w:szCs w:val="20"/>
          <w:color w:val="auto"/>
        </w:rPr>
      </w:pPr>
    </w:p>
    <w:p>
      <w:pPr>
        <w:ind w:left="660" w:hanging="328"/>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$2.5 million of advisor expenses incurred in the second quarter of 2022 associated with strategic planning.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520"/>
        <w:spacing w:after="0" w:line="274" w:lineRule="auto"/>
        <w:rPr>
          <w:sz w:val="20"/>
          <w:szCs w:val="20"/>
          <w:color w:val="auto"/>
        </w:rPr>
      </w:pPr>
      <w:r>
        <w:rPr>
          <w:rFonts w:ascii="Arial" w:cs="Arial" w:eastAsia="Arial" w:hAnsi="Arial"/>
          <w:sz w:val="20"/>
          <w:szCs w:val="20"/>
          <w:color w:val="auto"/>
        </w:rPr>
        <w:t>Evergy's operating and maintenance expense decreased $91.1 million year to date June 30, 2023, compared to the same period in 2022, primarily driven by:</w:t>
      </w:r>
    </w:p>
    <w:p>
      <w:pPr>
        <w:spacing w:after="0" w:line="5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$32.8 million decrease in administrative labor and employee benefits expenses primarily due to lower employee headcount in 2023;</w:t>
      </w:r>
    </w:p>
    <w:p>
      <w:pPr>
        <w:spacing w:after="0" w:line="167" w:lineRule="exact"/>
        <w:rPr>
          <w:rFonts w:ascii="Arial" w:cs="Arial" w:eastAsia="Arial" w:hAnsi="Arial"/>
          <w:sz w:val="16"/>
          <w:szCs w:val="16"/>
          <w:color w:val="auto"/>
        </w:rPr>
      </w:pPr>
    </w:p>
    <w:p>
      <w:pPr>
        <w:ind w:left="660" w:right="40" w:hanging="328"/>
        <w:spacing w:after="0" w:line="255"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$13.7 million decrease in plant operating and maintenance expense at fossil-fuel generating units primarily due to an $8.6 million decrease at Evergy Kansas Central driven by major maintenance outages at JEC in 2022 and a $3.0 million decrease at Evergy Metro driven by major maintenance outages at Iatan Station Unit 1 and LaCygne Unit 2 in 2022; partially offset by a major maintenance outage at Hawthorn Station in 2023;</w:t>
      </w:r>
    </w:p>
    <w:p>
      <w:pPr>
        <w:spacing w:after="0" w:line="75" w:lineRule="exact"/>
        <w:rPr>
          <w:rFonts w:ascii="Arial" w:cs="Arial" w:eastAsia="Arial" w:hAnsi="Arial"/>
          <w:sz w:val="20"/>
          <w:szCs w:val="20"/>
          <w:color w:val="auto"/>
        </w:rPr>
      </w:pPr>
    </w:p>
    <w:p>
      <w:pPr>
        <w:ind w:left="660" w:right="40" w:hanging="328"/>
        <w:spacing w:after="0" w:line="274"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$10.1 million decrease in various administrative and general operating and maintenance expenses primarily due to lower regulatory amortizations at Evergy Metro and Evergy Missouri West as a result of their 2022 rate cases;</w:t>
      </w:r>
    </w:p>
    <w:p>
      <w:pPr>
        <w:spacing w:after="0" w:line="55" w:lineRule="exact"/>
        <w:rPr>
          <w:rFonts w:ascii="Arial" w:cs="Arial" w:eastAsia="Arial" w:hAnsi="Arial"/>
          <w:sz w:val="20"/>
          <w:szCs w:val="20"/>
          <w:color w:val="auto"/>
        </w:rPr>
      </w:pPr>
    </w:p>
    <w:p>
      <w:pPr>
        <w:ind w:left="660" w:right="80" w:hanging="328"/>
        <w:spacing w:after="0" w:line="264"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$9.4 million decrease in transmission and distribution operating and maintenance expenses primarily at Evergy Kansas Central and Evergy Metro driven by lower labor expense primarily due to an increase in labor capitalization and lower employee headcount; partially offset by a $5.3 million increase in vegetation management costs;</w:t>
      </w:r>
    </w:p>
    <w:p>
      <w:pPr>
        <w:spacing w:after="0" w:line="64" w:lineRule="exact"/>
        <w:rPr>
          <w:rFonts w:ascii="Arial" w:cs="Arial" w:eastAsia="Arial" w:hAnsi="Arial"/>
          <w:sz w:val="20"/>
          <w:szCs w:val="20"/>
          <w:color w:val="auto"/>
        </w:rPr>
      </w:pPr>
    </w:p>
    <w:p>
      <w:pPr>
        <w:ind w:left="660" w:right="540" w:hanging="328"/>
        <w:spacing w:after="0" w:line="257"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$6.9 million decrease in plant operating and maintenance expense at Wolf Creek at Evergy Kansas Central and Evergy Metro primarily due to lower refueling outage amortization in 2023 and lower labor expense in 2023 driven by an increase in labor capitalization and lower employee headcount; and</w:t>
      </w:r>
    </w:p>
    <w:p>
      <w:pPr>
        <w:spacing w:after="0" w:line="84"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$2.5 million of advisor expenses incurred in 2022 associated with strategic planning; partially offset by</w:t>
      </w:r>
    </w:p>
    <w:p>
      <w:pPr>
        <w:spacing w:after="0" w:line="121" w:lineRule="exact"/>
        <w:rPr>
          <w:rFonts w:ascii="Arial" w:cs="Arial" w:eastAsia="Arial" w:hAnsi="Arial"/>
          <w:sz w:val="20"/>
          <w:szCs w:val="20"/>
          <w:color w:val="auto"/>
        </w:rPr>
      </w:pPr>
    </w:p>
    <w:p>
      <w:pPr>
        <w:ind w:left="660" w:right="580" w:hanging="328"/>
        <w:spacing w:after="0" w:line="287" w:lineRule="auto"/>
        <w:tabs>
          <w:tab w:leader="none" w:pos="6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 $3.7 million increase in property insurance expense due to a lower annual refund of nuclear insurance premiums received by Evergy Kansas Central and Evergy Metro in 2023 related to their ownership interest in Wolf Creek.</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2" w:lineRule="exact"/>
        <w:rPr>
          <w:sz w:val="20"/>
          <w:szCs w:val="20"/>
          <w:color w:val="auto"/>
        </w:rPr>
      </w:pPr>
    </w:p>
    <w:p>
      <w:pPr>
        <w:ind w:right="320"/>
        <w:spacing w:after="0" w:line="258" w:lineRule="auto"/>
        <w:rPr>
          <w:sz w:val="20"/>
          <w:szCs w:val="20"/>
          <w:color w:val="auto"/>
        </w:rPr>
      </w:pPr>
      <w:r>
        <w:rPr>
          <w:rFonts w:ascii="Arial" w:cs="Arial" w:eastAsia="Arial" w:hAnsi="Arial"/>
          <w:sz w:val="20"/>
          <w:szCs w:val="20"/>
          <w:color w:val="auto"/>
        </w:rPr>
        <w:t>Evergy's depreciation and amortization increased $37.3 million for the three months ended June 30, 2023, compared to the same period in 2022, primarily driven by:</w:t>
      </w:r>
    </w:p>
    <w:p>
      <w:pPr>
        <w:spacing w:after="0" w:line="70" w:lineRule="exact"/>
        <w:rPr>
          <w:sz w:val="20"/>
          <w:szCs w:val="20"/>
          <w:color w:val="auto"/>
        </w:rPr>
      </w:pPr>
    </w:p>
    <w:p>
      <w:pPr>
        <w:jc w:val="both"/>
        <w:ind w:left="660" w:right="560" w:hanging="328"/>
        <w:spacing w:after="0" w:line="38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$19.1 million increase primarily due to a change in depreciation rates and the rebasing of plant-in-service-accounting (PISA) depreciation deferrals as a result of Evergy Metro's and Evergy Missouri West's 2022 rate cases effective in January 2023; and</w:t>
      </w: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$18.2 million increase primarily due to capital additions.</w:t>
      </w:r>
    </w:p>
    <w:p>
      <w:pPr>
        <w:spacing w:after="0" w:line="108"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Evergy's depreciation and amortization increased $71.7 million year to date June 30, 2023, compared to the same periods in 2022, primarily driven by:</w:t>
      </w:r>
    </w:p>
    <w:p>
      <w:pPr>
        <w:spacing w:after="0" w:line="55" w:lineRule="exact"/>
        <w:rPr>
          <w:sz w:val="20"/>
          <w:szCs w:val="20"/>
          <w:color w:val="auto"/>
        </w:rPr>
      </w:pPr>
    </w:p>
    <w:p>
      <w:pPr>
        <w:ind w:left="660" w:right="100" w:hanging="328"/>
        <w:spacing w:after="0" w:line="274"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$37.7 million increase primarily due to a change in depreciation rates and the rebasing of PISA depreciation deferrals as a result of Evergy Metro's and Evergy Missouri West's 2022 rate cases effective in January 2023;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$34.0 million increase primarily due to capital additions.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 Net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Evergy's other expense, net decreased $6.2 million for the three months ended June 30, 2023, primarily driven by:</w:t>
      </w:r>
    </w:p>
    <w:p>
      <w:pPr>
        <w:spacing w:after="0" w:line="100" w:lineRule="exact"/>
        <w:rPr>
          <w:sz w:val="20"/>
          <w:szCs w:val="20"/>
          <w:color w:val="auto"/>
        </w:rPr>
      </w:pPr>
    </w:p>
    <w:p>
      <w:pPr>
        <w:ind w:left="660" w:right="260" w:hanging="328"/>
        <w:spacing w:after="0" w:line="33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$4.5 million increase in interest and dividend income primarily due to an increase in carrying charges related to Evergy Missouri West's costs associated with the February 2021 winter weather event expected to be recovered through securitization financing.</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Evergy's other expense, net decreased $32.5 million year to date June 30, 2023, compared to the same period in 2022, primarily driven by:</w:t>
      </w:r>
    </w:p>
    <w:p>
      <w:pPr>
        <w:spacing w:after="0" w:line="144" w:lineRule="exact"/>
        <w:rPr>
          <w:sz w:val="20"/>
          <w:szCs w:val="20"/>
          <w:color w:val="auto"/>
        </w:rPr>
      </w:pPr>
    </w:p>
    <w:p>
      <w:pPr>
        <w:ind w:left="660" w:right="240" w:hanging="328"/>
        <w:spacing w:after="0" w:line="265" w:lineRule="auto"/>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$26.3 million decrease due to higher investment earnings primarily driven by a $16.3 million loss related to Evergy's equity investment in an early-stage energy solutions company that was sold in March 2022 through a share forward agreement which was completed in June 2022, a $10.3 million increase in interest and dividend income primarily due to an increase in carrying charges related to Evergy Missouri West's costs associated with the February 2021 winter weather event expected to be recovered through securitization financing and a $5.7 million increase due to net unrealized losses becoming net unrealized gains in Evergy Kansas Central's rabbi trust; partially offset by a $6.4 million decrease in unrealized gains due to the change in fair value related to other equity investments; and</w:t>
      </w:r>
    </w:p>
    <w:p>
      <w:pPr>
        <w:spacing w:after="0" w:line="79" w:lineRule="exact"/>
        <w:rPr>
          <w:rFonts w:ascii="Arial" w:cs="Arial" w:eastAsia="Arial" w:hAnsi="Arial"/>
          <w:sz w:val="19"/>
          <w:szCs w:val="19"/>
          <w:color w:val="auto"/>
        </w:rPr>
      </w:pPr>
    </w:p>
    <w:p>
      <w:pPr>
        <w:ind w:left="660" w:right="340" w:hanging="328"/>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 $8.1 million decrease due to recording higher Evergy Kansas Central corporate-owned life insurance (COLI) benefits in 2023; partially offset by</w:t>
      </w:r>
    </w:p>
    <w:p>
      <w:pPr>
        <w:spacing w:after="0" w:line="82" w:lineRule="exact"/>
        <w:rPr>
          <w:rFonts w:ascii="Arial" w:cs="Arial" w:eastAsia="Arial" w:hAnsi="Arial"/>
          <w:sz w:val="20"/>
          <w:szCs w:val="20"/>
          <w:color w:val="auto"/>
        </w:rPr>
      </w:pPr>
    </w:p>
    <w:p>
      <w:pPr>
        <w:ind w:left="660" w:right="80" w:hanging="328"/>
        <w:spacing w:after="0" w:line="274"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$8.0 million of lower equity allowance for funds used during construction (AFUDC) primarily at Evergy Kansas Central and Evergy Metro primarily driven by higher short-term debt balances in 2023.</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6"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Evergy's interest expense increased $34.4 million for the three months ended June 30, 2023, compared to the same period in 2022, primarily driven by a $26.8 million increase in interest expense on short-term borrowings primarily due to higher short-term debt balances and weighted-average interest rates for Evergy Kansas Central, Evergy Metro and Evergy Missouri West in 2023.</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Evergy's interest expense increased $65.7 million year to date June 30, 2023, compared to the same period in 2022, primarily driven by a $54.3 million increase in interest expense on short-term borrowings primarily due to higher short-term debt balances and weighted-average interest rates for Evergy Kansas Central, Evergy Metro and Evergy Missouri West in 2023.</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6" w:lineRule="exact"/>
        <w:rPr>
          <w:sz w:val="20"/>
          <w:szCs w:val="20"/>
          <w:color w:val="auto"/>
        </w:rPr>
      </w:pPr>
    </w:p>
    <w:p>
      <w:pPr>
        <w:ind w:right="600"/>
        <w:spacing w:after="0" w:line="253" w:lineRule="auto"/>
        <w:rPr>
          <w:sz w:val="20"/>
          <w:szCs w:val="20"/>
          <w:color w:val="auto"/>
        </w:rPr>
      </w:pPr>
      <w:r>
        <w:rPr>
          <w:rFonts w:ascii="Arial" w:cs="Arial" w:eastAsia="Arial" w:hAnsi="Arial"/>
          <w:sz w:val="20"/>
          <w:szCs w:val="20"/>
          <w:color w:val="auto"/>
        </w:rPr>
        <w:t>Evergy's income tax expense decreased $11.3 million for the three months ended June 30, 2023, compared to the same period in 2022, primarily driven by:</w:t>
      </w:r>
    </w:p>
    <w:p>
      <w:pPr>
        <w:spacing w:after="0" w:line="88" w:lineRule="exact"/>
        <w:rPr>
          <w:sz w:val="20"/>
          <w:szCs w:val="20"/>
          <w:color w:val="auto"/>
        </w:rPr>
      </w:pPr>
    </w:p>
    <w:p>
      <w:pPr>
        <w:ind w:left="660" w:right="480" w:hanging="328"/>
        <w:spacing w:after="0" w:line="274"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$5.9 million decrease primarily due to Evergy Metro and Evergy Missouri West lower pre-tax income in the second quarter of 2023; and</w:t>
      </w:r>
    </w:p>
    <w:p>
      <w:pPr>
        <w:spacing w:after="0" w:line="55" w:lineRule="exact"/>
        <w:rPr>
          <w:rFonts w:ascii="Arial" w:cs="Arial" w:eastAsia="Arial" w:hAnsi="Arial"/>
          <w:sz w:val="20"/>
          <w:szCs w:val="20"/>
          <w:color w:val="auto"/>
        </w:rPr>
      </w:pPr>
    </w:p>
    <w:p>
      <w:pPr>
        <w:ind w:left="660" w:hanging="328"/>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$3.8 million decrease due to higher wind and other income tax credits in the second quarter of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Evergy's income tax expense decreased $10.4 million year to date June 30, 2023, compared to the same period in 2022, primarily driven by:</w:t>
      </w:r>
    </w:p>
    <w:p>
      <w:pPr>
        <w:spacing w:after="0" w:line="13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$4.3 million decrease primarily due to higher amortization of excess deferred income taxes authorized by FERC in December 2022;</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$3.0 million decrease primarily due to higher expected COLI proceeds in 2023; and</w:t>
      </w:r>
    </w:p>
    <w:p>
      <w:pPr>
        <w:spacing w:after="0" w:line="121" w:lineRule="exact"/>
        <w:rPr>
          <w:rFonts w:ascii="Arial" w:cs="Arial" w:eastAsia="Arial" w:hAnsi="Arial"/>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$1.3 million decrease primarily due to lower Evergy Metro and Evergy Missouri West pre-tax income in 2023.</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35"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Evergy relies primarily upon cash from operations, short-term borrowings, long-term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2022 Form 10-K for more information on Evergy's sources and uses of cash.</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6"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As of June 30, 2023, Evergy had $627.2 million of available borrowing capacity under its master credit facility. The available borrowing capacity under the master credit facility consisted of $162.8 million for Evergy, Inc., $185.2 million for Evergy Kansas Central, $188.5 million for Evergy Metro and $90.7 million for Evergy Missouri West. The Evergy Companies' borrowing capacity under the master credit facility also supports their issuance of commercial paper. See Note 7 to the consolidated financial statements for more information regarding the master credit facility.</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February 2022, Evergy, Inc. entered into a $500.0 million unsecured Term Loan Facility that originally expired in February 2023. In February 2023, Evergy, Inc. amended the $500.0 million Term Loan Facility to extend the expiration date to February 2024. As a result of the amendment, Evergy, Inc. demonstrated its intent and ability to refinance the Term Loan Facility and reflected this $500.0 million borrowing within long-term debt, net, on Evergy's consolidated balance sheet as of December 31, 2022. As of June 30, 2023, Evergy had borrowed $500.0 million under the Term Loan Facility that is reflected within notes payable and commercial paper on Evergy's consolidated balance sheet. Evergy's borrowings under the Term Loan Facility were used for, among other things, working capital, capital expenditures and general corporate purposes.</w:t>
      </w:r>
    </w:p>
    <w:p>
      <w:pPr>
        <w:spacing w:after="0" w:line="200"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 Evergy believes that its existing cash on hand and available borrowing capacity under its master credit facility provide sufficient liquidity for its existing capital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See Note 8 to the consolidated financial statements for information regarding significant debt issuances.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6" w:lineRule="exact"/>
        <w:rPr>
          <w:sz w:val="20"/>
          <w:szCs w:val="20"/>
          <w:color w:val="auto"/>
        </w:rPr>
      </w:pPr>
    </w:p>
    <w:p>
      <w:pPr>
        <w:ind w:right="280"/>
        <w:spacing w:after="0" w:line="253" w:lineRule="auto"/>
        <w:rPr>
          <w:sz w:val="20"/>
          <w:szCs w:val="20"/>
          <w:color w:val="auto"/>
        </w:rPr>
      </w:pPr>
      <w:r>
        <w:rPr>
          <w:rFonts w:ascii="Arial" w:cs="Arial" w:eastAsia="Arial" w:hAnsi="Arial"/>
          <w:sz w:val="20"/>
          <w:szCs w:val="20"/>
          <w:color w:val="auto"/>
        </w:rPr>
        <w:t xml:space="preserve">Year to date June 30, 2023, Evergy made pension contributions of $27.0 million. </w:t>
      </w:r>
      <w:r>
        <w:rPr>
          <w:rFonts w:ascii="Arial" w:cs="Arial" w:eastAsia="Arial" w:hAnsi="Arial"/>
          <w:sz w:val="20"/>
          <w:szCs w:val="20"/>
          <w:color w:val="202122"/>
        </w:rPr>
        <w:t>Evergy, Evergy Kansas Central and Evergy Metro do not</w:t>
      </w:r>
      <w:r>
        <w:rPr>
          <w:rFonts w:ascii="Arial" w:cs="Arial" w:eastAsia="Arial" w:hAnsi="Arial"/>
          <w:sz w:val="20"/>
          <w:szCs w:val="20"/>
          <w:color w:val="auto"/>
        </w:rPr>
        <w:t xml:space="preserve"> </w:t>
      </w:r>
      <w:r>
        <w:rPr>
          <w:rFonts w:ascii="Arial" w:cs="Arial" w:eastAsia="Arial" w:hAnsi="Arial"/>
          <w:sz w:val="20"/>
          <w:szCs w:val="20"/>
          <w:color w:val="202122"/>
        </w:rPr>
        <w:t xml:space="preserve">expect to make additional pension contributions in </w:t>
      </w:r>
      <w:r>
        <w:rPr>
          <w:rFonts w:ascii="Arial" w:cs="Arial" w:eastAsia="Arial" w:hAnsi="Arial"/>
          <w:sz w:val="20"/>
          <w:szCs w:val="20"/>
          <w:color w:val="000000"/>
        </w:rPr>
        <w:t>2023</w:t>
      </w:r>
      <w:r>
        <w:rPr>
          <w:rFonts w:ascii="Arial" w:cs="Arial" w:eastAsia="Arial" w:hAnsi="Arial"/>
          <w:sz w:val="20"/>
          <w:szCs w:val="20"/>
          <w:color w:val="202122"/>
        </w:rPr>
        <w:t xml:space="preserve">. </w:t>
      </w:r>
      <w:r>
        <w:rPr>
          <w:rFonts w:ascii="Arial" w:cs="Arial" w:eastAsia="Arial" w:hAnsi="Arial"/>
          <w:sz w:val="20"/>
          <w:szCs w:val="20"/>
          <w:color w:val="000000"/>
        </w:rPr>
        <w:t>Also in 2023, Evergy expects to make additional post-retirement benefit</w:t>
      </w:r>
      <w:r>
        <w:rPr>
          <w:rFonts w:ascii="Arial" w:cs="Arial" w:eastAsia="Arial" w:hAnsi="Arial"/>
          <w:sz w:val="20"/>
          <w:szCs w:val="20"/>
          <w:color w:val="202122"/>
        </w:rPr>
        <w:t xml:space="preserve"> </w:t>
      </w:r>
      <w:r>
        <w:rPr>
          <w:rFonts w:ascii="Arial" w:cs="Arial" w:eastAsia="Arial" w:hAnsi="Arial"/>
          <w:sz w:val="20"/>
          <w:szCs w:val="20"/>
          <w:color w:val="000000"/>
        </w:rPr>
        <w:t>contributions of $1.3 million. See Note 6 to the consolidated financial statements for additional information on Evergy's pension and post-retirement plans.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6" w:lineRule="exact"/>
        <w:rPr>
          <w:sz w:val="20"/>
          <w:szCs w:val="20"/>
          <w:color w:val="auto"/>
        </w:rPr>
      </w:pPr>
    </w:p>
    <w:p>
      <w:pPr>
        <w:ind w:right="280"/>
        <w:spacing w:after="0" w:line="253" w:lineRule="auto"/>
        <w:rPr>
          <w:sz w:val="20"/>
          <w:szCs w:val="20"/>
          <w:color w:val="auto"/>
        </w:rPr>
      </w:pPr>
      <w:r>
        <w:rPr>
          <w:rFonts w:ascii="Arial" w:cs="Arial" w:eastAsia="Arial" w:hAnsi="Arial"/>
          <w:sz w:val="20"/>
          <w:szCs w:val="20"/>
          <w:color w:val="auto"/>
        </w:rPr>
        <w:t>As of June 30, 2023, Evergy was in compliance with all debt covenants under the master credit facility, the Term Loan Facility and certain debt instruments that contain restrictions that require the maintenance of certain capitalization and leverage ratios. See Note 7 to the consolidated financial statements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3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06"/>
        </w:trPr>
        <w:tc>
          <w:tcPr>
            <w:tcW w:w="57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7"/>
                <w:szCs w:val="17"/>
                <w:color w:val="auto"/>
              </w:rPr>
            </w:pPr>
          </w:p>
        </w:tc>
      </w:tr>
      <w:tr>
        <w:trPr>
          <w:trHeight w:val="23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(1,307.4)</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(1,128.9)</w:t>
            </w:r>
          </w:p>
        </w:tc>
      </w:tr>
      <w:tr>
        <w:trPr>
          <w:trHeight w:val="24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6" w:lineRule="exact"/>
        <w:rPr>
          <w:sz w:val="20"/>
          <w:szCs w:val="20"/>
          <w:color w:val="auto"/>
        </w:rPr>
      </w:pPr>
    </w:p>
    <w:p>
      <w:pPr>
        <w:ind w:right="180"/>
        <w:spacing w:after="0" w:line="297" w:lineRule="auto"/>
        <w:rPr>
          <w:sz w:val="20"/>
          <w:szCs w:val="20"/>
          <w:color w:val="auto"/>
        </w:rPr>
      </w:pPr>
      <w:r>
        <w:rPr>
          <w:rFonts w:ascii="Arial" w:cs="Arial" w:eastAsia="Arial" w:hAnsi="Arial"/>
          <w:sz w:val="18"/>
          <w:szCs w:val="18"/>
          <w:color w:val="auto"/>
        </w:rPr>
        <w:t>Evergy's cash flows from operating activities increased $126.3 million year to date June 30, 2023, compared to the same period in 2022, primarily driven by a $98.8 million increase in cash receipts for retail electric sales in 2023, primarily due to collection of higher December 2022 receivables in January 2023 and increases from new Evergy Metro and Evergy Missouri West retail rates effective in January 2023.</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20" w:lineRule="exact"/>
        <w:rPr>
          <w:sz w:val="20"/>
          <w:szCs w:val="20"/>
          <w:color w:val="auto"/>
        </w:rPr>
      </w:pPr>
    </w:p>
    <w:p>
      <w:pPr>
        <w:ind w:right="280"/>
        <w:spacing w:after="0" w:line="253" w:lineRule="auto"/>
        <w:rPr>
          <w:sz w:val="20"/>
          <w:szCs w:val="20"/>
          <w:color w:val="auto"/>
        </w:rPr>
      </w:pPr>
      <w:r>
        <w:rPr>
          <w:rFonts w:ascii="Arial" w:cs="Arial" w:eastAsia="Arial" w:hAnsi="Arial"/>
          <w:sz w:val="20"/>
          <w:szCs w:val="20"/>
          <w:color w:val="auto"/>
        </w:rPr>
        <w:t>Evergy's cash flows used in investing activities increased $178.5 million year to date June 30, 2023, compared to the same period in 2022, primarily driven by:</w:t>
      </w:r>
    </w:p>
    <w:p>
      <w:pPr>
        <w:spacing w:after="0" w:line="8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acquisition of Persimmon Creek Wind Farm for $217.9 million, net of cash acquired, in 2023; partially offset by</w:t>
      </w:r>
    </w:p>
    <w:p>
      <w:pPr>
        <w:spacing w:after="0" w:line="94" w:lineRule="exact"/>
        <w:rPr>
          <w:rFonts w:ascii="Arial" w:cs="Arial" w:eastAsia="Arial" w:hAnsi="Arial"/>
          <w:sz w:val="20"/>
          <w:szCs w:val="20"/>
          <w:color w:val="auto"/>
        </w:rPr>
      </w:pPr>
    </w:p>
    <w:p>
      <w:pPr>
        <w:ind w:left="660" w:right="140" w:hanging="328"/>
        <w:spacing w:after="0" w:line="246"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$39.5 million increase in proceeds from COLI investments at Evergy Kansas Central due to a higher number of policy settlements in 2023.</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2" w:lineRule="exact"/>
        <w:rPr>
          <w:sz w:val="20"/>
          <w:szCs w:val="20"/>
          <w:color w:val="auto"/>
        </w:rPr>
      </w:pPr>
    </w:p>
    <w:p>
      <w:pPr>
        <w:ind w:right="540"/>
        <w:spacing w:after="0" w:line="258" w:lineRule="auto"/>
        <w:rPr>
          <w:sz w:val="20"/>
          <w:szCs w:val="20"/>
          <w:color w:val="auto"/>
        </w:rPr>
      </w:pPr>
      <w:r>
        <w:rPr>
          <w:rFonts w:ascii="Arial" w:cs="Arial" w:eastAsia="Arial" w:hAnsi="Arial"/>
          <w:sz w:val="20"/>
          <w:szCs w:val="20"/>
          <w:color w:val="auto"/>
        </w:rPr>
        <w:t>Evergy's cash flows from financing activities increased $62.2 million year to date June 30, 2023, compared to the same period in 2022, primarily driven by:</w:t>
      </w:r>
    </w:p>
    <w:p>
      <w:pPr>
        <w:spacing w:after="0" w:line="70" w:lineRule="exact"/>
        <w:rPr>
          <w:sz w:val="20"/>
          <w:szCs w:val="20"/>
          <w:color w:val="auto"/>
        </w:rPr>
      </w:pPr>
    </w:p>
    <w:p>
      <w:pPr>
        <w:ind w:left="660" w:right="340" w:hanging="328"/>
        <w:spacing w:after="0" w:line="247" w:lineRule="auto"/>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$443.6 million increase in proceeds from long-term debt due to Evergy Kansas Central's issuance of $400.0 million of 5.70% FMBs in March 2023 and Evergy Metro’s issuance of $300.0 million of 4.95% Mortgage Bonds in April 2023; partially offset by Evergy Missouri West's issuance of $250.0 million of 3.75% FMBs in March 2022; partially offset by</w:t>
      </w:r>
    </w:p>
    <w:p>
      <w:pPr>
        <w:spacing w:after="0" w:line="67" w:lineRule="exact"/>
        <w:rPr>
          <w:rFonts w:ascii="Arial" w:cs="Arial" w:eastAsia="Arial" w:hAnsi="Arial"/>
          <w:sz w:val="19"/>
          <w:szCs w:val="19"/>
          <w:color w:val="auto"/>
        </w:rPr>
      </w:pPr>
    </w:p>
    <w:p>
      <w:pPr>
        <w:ind w:left="660" w:right="260" w:hanging="328"/>
        <w:spacing w:after="0" w:line="236"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$331.7 million decrease in short-term debt borrowings primarily due to Evergy Kansas Central's repayment of commercial paper borrowings with the proceeds from its issuance of $400.0 million of 5.70% FMBs in March 2023.</w:t>
      </w:r>
    </w:p>
    <w:p>
      <w:pPr>
        <w:spacing w:after="0" w:line="190"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EVERGY KANSAS CENTRAL,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220"/>
        <w:spacing w:after="0" w:line="274"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(H)(2)(a) to Form 10-Q.</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3"/>
              </w:rPr>
              <w:t>Change</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33"/>
        </w:trPr>
        <w:tc>
          <w:tcPr>
            <w:tcW w:w="7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1"/>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1,337.9</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258.2</w:t>
            </w:r>
          </w:p>
        </w:tc>
        <w:tc>
          <w:tcPr>
            <w:tcW w:w="2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287.1</w:t>
            </w: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156.6</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223.2</w:t>
            </w:r>
          </w:p>
        </w:tc>
        <w:tc>
          <w:tcPr>
            <w:tcW w:w="2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267.2</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252.8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4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110.2</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r>
      <w:tr>
        <w:trPr>
          <w:trHeight w:val="223"/>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317.2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106.8</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194.3</w:t>
            </w:r>
          </w:p>
        </w:tc>
        <w:tc>
          <w:tcPr>
            <w:tcW w:w="28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165.7</w:t>
            </w:r>
          </w:p>
        </w:tc>
      </w:tr>
      <w:tr>
        <w:trPr>
          <w:trHeight w:val="23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Kansas Central,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188.1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28.6</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Evergy Kansas Central Gross Margin (GAAP) and Utility Gross Margin (non-GAAP)</w:t>
      </w:r>
    </w:p>
    <w:p>
      <w:pPr>
        <w:spacing w:after="0" w:line="26" w:lineRule="exact"/>
        <w:rPr>
          <w:sz w:val="20"/>
          <w:szCs w:val="20"/>
          <w:color w:val="auto"/>
        </w:rPr>
      </w:pPr>
    </w:p>
    <w:p>
      <w:pPr>
        <w:ind w:left="1" w:right="220"/>
        <w:spacing w:after="0" w:line="272" w:lineRule="auto"/>
        <w:rPr>
          <w:sz w:val="20"/>
          <w:szCs w:val="20"/>
          <w:color w:val="auto"/>
        </w:rPr>
      </w:pPr>
      <w:r>
        <w:rPr>
          <w:rFonts w:ascii="Arial" w:cs="Arial" w:eastAsia="Arial" w:hAnsi="Arial"/>
          <w:sz w:val="19"/>
          <w:szCs w:val="19"/>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84" w:lineRule="exact"/>
        <w:rPr>
          <w:sz w:val="20"/>
          <w:szCs w:val="20"/>
          <w:color w:val="auto"/>
        </w:rPr>
      </w:pPr>
    </w:p>
    <w:tbl>
      <w:tblPr>
        <w:tblLayout w:type="fixed"/>
        <w:tblInd w:w="1" w:type="dxa"/>
        <w:tblCellMar>
          <w:top w:w="0" w:type="dxa"/>
          <w:left w:w="0" w:type="dxa"/>
          <w:bottom w:w="0" w:type="dxa"/>
          <w:right w:w="0" w:type="dxa"/>
        </w:tblCellMar>
      </w:tblPr>
      <w:tr>
        <w:trPr>
          <w:trHeight w:val="261"/>
        </w:trPr>
        <w:tc>
          <w:tcPr>
            <w:tcW w:w="40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Revenues and Expenses</w:t>
            </w:r>
          </w:p>
        </w:tc>
        <w:tc>
          <w:tcPr>
            <w:tcW w:w="68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4"/>
              </w:rPr>
              <w:t>MWhs Sold</w:t>
            </w:r>
          </w:p>
        </w:tc>
        <w:tc>
          <w:tcPr>
            <w:tcW w:w="960" w:type="dxa"/>
            <w:vAlign w:val="bottom"/>
            <w:tcBorders>
              <w:top w:val="single" w:sz="8" w:color="auto"/>
            </w:tcBorders>
          </w:tcPr>
          <w:p>
            <w:pPr>
              <w:spacing w:after="0"/>
              <w:rPr>
                <w:sz w:val="22"/>
                <w:szCs w:val="22"/>
                <w:color w:val="auto"/>
              </w:rPr>
            </w:pPr>
          </w:p>
        </w:tc>
      </w:tr>
      <w:tr>
        <w:trPr>
          <w:trHeight w:val="238"/>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2022</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jc w:val="center"/>
              <w:ind w:right="9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43"/>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(34.5)</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2,967</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358.8</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358.9</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3,499</w:t>
            </w:r>
          </w:p>
        </w:tc>
        <w:tc>
          <w:tcPr>
            <w:tcW w:w="1380" w:type="dxa"/>
            <w:vAlign w:val="bottom"/>
          </w:tcPr>
          <w:p>
            <w:pPr>
              <w:jc w:val="center"/>
              <w:ind w:left="391"/>
              <w:spacing w:after="0"/>
              <w:rPr>
                <w:sz w:val="20"/>
                <w:szCs w:val="20"/>
                <w:color w:val="auto"/>
              </w:rPr>
            </w:pPr>
            <w:r>
              <w:rPr>
                <w:rFonts w:ascii="Arial" w:cs="Arial" w:eastAsia="Arial" w:hAnsi="Arial"/>
                <w:sz w:val="18"/>
                <w:szCs w:val="18"/>
                <w:color w:val="auto"/>
                <w:w w:val="89"/>
              </w:rPr>
              <w:t>99</w:t>
            </w:r>
          </w:p>
        </w:tc>
        <w:tc>
          <w:tcPr>
            <w:tcW w:w="96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3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206.7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2,658</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r>
      <w:tr>
        <w:trPr>
          <w:trHeight w:val="243"/>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956.7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9,144</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126.4</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131.5</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4,617</w:t>
            </w:r>
          </w:p>
        </w:tc>
        <w:tc>
          <w:tcPr>
            <w:tcW w:w="1380" w:type="dxa"/>
            <w:vAlign w:val="bottom"/>
          </w:tcPr>
          <w:p>
            <w:pPr>
              <w:jc w:val="right"/>
              <w:ind w:right="211"/>
              <w:spacing w:after="0"/>
              <w:rPr>
                <w:sz w:val="20"/>
                <w:szCs w:val="20"/>
                <w:color w:val="auto"/>
              </w:rPr>
            </w:pPr>
            <w:r>
              <w:rPr>
                <w:rFonts w:ascii="Arial" w:cs="Arial" w:eastAsia="Arial" w:hAnsi="Arial"/>
                <w:sz w:val="18"/>
                <w:szCs w:val="18"/>
                <w:color w:val="auto"/>
              </w:rPr>
              <w:t>(447)</w:t>
            </w:r>
          </w:p>
        </w:tc>
        <w:tc>
          <w:tcPr>
            <w:tcW w:w="960" w:type="dxa"/>
            <w:vAlign w:val="bottom"/>
          </w:tcPr>
          <w:p>
            <w:pPr>
              <w:jc w:val="right"/>
              <w:spacing w:after="0"/>
              <w:rPr>
                <w:sz w:val="20"/>
                <w:szCs w:val="20"/>
                <w:color w:val="auto"/>
              </w:rPr>
            </w:pPr>
            <w:r>
              <w:rPr>
                <w:rFonts w:ascii="Arial" w:cs="Arial" w:eastAsia="Arial" w:hAnsi="Arial"/>
                <w:sz w:val="18"/>
                <w:szCs w:val="18"/>
                <w:color w:val="auto"/>
              </w:rPr>
              <w:t>5,064</w:t>
            </w: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197.2</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w:t>
            </w: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CCEEFF"/>
          </w:tcPr>
          <w:p>
            <w:pPr>
              <w:jc w:val="center"/>
              <w:ind w:left="391"/>
              <w:spacing w:after="0"/>
              <w:rPr>
                <w:sz w:val="20"/>
                <w:szCs w:val="20"/>
                <w:color w:val="auto"/>
              </w:rPr>
            </w:pPr>
            <w:r>
              <w:rPr>
                <w:rFonts w:ascii="Arial" w:cs="Arial" w:eastAsia="Arial" w:hAnsi="Arial"/>
                <w:sz w:val="18"/>
                <w:szCs w:val="18"/>
                <w:color w:val="auto"/>
                <w:w w:val="99"/>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37.9</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9.2</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1,318.2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1,337.9</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13,761</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(658)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(258.2)</w:t>
            </w:r>
          </w:p>
        </w:tc>
        <w:tc>
          <w:tcPr>
            <w:tcW w:w="2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(287.1)</w:t>
            </w: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(156.6)</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(113.2)</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(133.5)</w:t>
            </w: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(252.8)</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3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427.2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18.8</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408.4</w:t>
            </w:r>
          </w:p>
        </w:tc>
        <w:tc>
          <w:tcPr>
            <w:tcW w:w="1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40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113.2</w:t>
            </w:r>
          </w:p>
        </w:tc>
        <w:tc>
          <w:tcPr>
            <w:tcW w:w="2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133.5</w:t>
            </w: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252.8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110.2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903.4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12.8</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890.6</w:t>
            </w:r>
          </w:p>
        </w:tc>
        <w:tc>
          <w:tcPr>
            <w:tcW w:w="1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bl>
    <w:p>
      <w:pPr>
        <w:spacing w:after="0" w:line="4" w:lineRule="exact"/>
        <w:rPr>
          <w:sz w:val="20"/>
          <w:szCs w:val="20"/>
          <w:color w:val="auto"/>
        </w:rPr>
      </w:pPr>
    </w:p>
    <w:p>
      <w:pPr>
        <w:ind w:left="161" w:right="200" w:hanging="161"/>
        <w:spacing w:after="0" w:line="257" w:lineRule="auto"/>
        <w:tabs>
          <w:tab w:leader="none" w:pos="142" w:val="left"/>
        </w:tabs>
        <w:numPr>
          <w:ilvl w:val="0"/>
          <w:numId w:val="27"/>
        </w:numPr>
        <w:rPr>
          <w:rFonts w:ascii="Arial" w:cs="Arial" w:eastAsia="Arial" w:hAnsi="Arial"/>
          <w:sz w:val="17"/>
          <w:szCs w:val="17"/>
          <w:color w:val="auto"/>
          <w:vertAlign w:val="superscript"/>
        </w:rPr>
      </w:pPr>
      <w:r>
        <w:rPr>
          <w:rFonts w:ascii="Arial" w:cs="Arial" w:eastAsia="Arial" w:hAnsi="Arial"/>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$110.0 million and $133.7 million year to date June 30, 2023 and 2022, respectively.</w:t>
      </w:r>
    </w:p>
    <w:p>
      <w:pPr>
        <w:spacing w:after="0" w:line="341" w:lineRule="exact"/>
        <w:rPr>
          <w:sz w:val="20"/>
          <w:szCs w:val="20"/>
          <w:color w:val="auto"/>
        </w:rPr>
      </w:pPr>
    </w:p>
    <w:p>
      <w:pPr>
        <w:ind w:left="1" w:right="40"/>
        <w:spacing w:after="0" w:line="257" w:lineRule="auto"/>
        <w:rPr>
          <w:sz w:val="20"/>
          <w:szCs w:val="20"/>
          <w:color w:val="auto"/>
        </w:rPr>
      </w:pPr>
      <w:r>
        <w:rPr>
          <w:rFonts w:ascii="Arial" w:cs="Arial" w:eastAsia="Arial" w:hAnsi="Arial"/>
          <w:sz w:val="20"/>
          <w:szCs w:val="20"/>
          <w:color w:val="auto"/>
        </w:rPr>
        <w:t>Evergy Kansas Central's gross margin (GAAP) increased $18.8 million year to date June 30, 2023, compared to the same period in 2022, and Evergy Kansas Central's utility gross margin (non-GAAP) increased $12.8 million year to date June 30, 2023, compared to the same period in 2022, both measures were driven by:</w:t>
      </w:r>
    </w:p>
    <w:p>
      <w:pPr>
        <w:spacing w:after="0" w:line="85" w:lineRule="exact"/>
        <w:rPr>
          <w:sz w:val="20"/>
          <w:szCs w:val="20"/>
          <w:color w:val="auto"/>
        </w:rPr>
      </w:pPr>
    </w:p>
    <w:p>
      <w:pPr>
        <w:ind w:left="661" w:right="240" w:hanging="328"/>
        <w:spacing w:after="0" w:line="274" w:lineRule="auto"/>
        <w:tabs>
          <w:tab w:leader="none" w:pos="661"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 $18.6 million increase in transmission revenue primarily due to updated transmission costs reflected in Evergy Kansas Central's FERC TFR effective in January 2023 and revised in March 2023; and</w:t>
      </w:r>
    </w:p>
    <w:p>
      <w:pPr>
        <w:spacing w:after="0" w:line="55" w:lineRule="exact"/>
        <w:rPr>
          <w:rFonts w:ascii="Arial" w:cs="Arial" w:eastAsia="Arial" w:hAnsi="Arial"/>
          <w:sz w:val="20"/>
          <w:szCs w:val="20"/>
          <w:color w:val="auto"/>
        </w:rPr>
      </w:pPr>
    </w:p>
    <w:p>
      <w:pPr>
        <w:ind w:left="661" w:right="100" w:hanging="328"/>
        <w:spacing w:after="0" w:line="257" w:lineRule="auto"/>
        <w:tabs>
          <w:tab w:leader="none" w:pos="661"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$2.0 million increase due to mark-to-market gains related to forward contracts for natural gas and electricity entered into as economic hedges against fuel price volatility related to Evergy Kansas Central's non-regulated 8% ownership share of JEC; partially offset by</w:t>
      </w:r>
    </w:p>
    <w:p>
      <w:pPr>
        <w:spacing w:after="0" w:line="84" w:lineRule="exact"/>
        <w:rPr>
          <w:rFonts w:ascii="Arial" w:cs="Arial" w:eastAsia="Arial" w:hAnsi="Arial"/>
          <w:sz w:val="20"/>
          <w:szCs w:val="20"/>
          <w:color w:val="auto"/>
        </w:rPr>
      </w:pPr>
    </w:p>
    <w:p>
      <w:pPr>
        <w:ind w:left="661" w:right="40" w:hanging="328"/>
        <w:spacing w:after="0" w:line="332" w:lineRule="auto"/>
        <w:tabs>
          <w:tab w:leader="none" w:pos="6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$7.8 million decrease primarily due to lower retail sales driven by unfavorable weather (cooling degree days decreased by 12% and heating degree days decreased by 13%); partially offset by higher weather-normalized residential and commercial demand.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22" w:right="339" w:bottom="1440" w:gutter="0" w:footer="0" w:header="0"/>
        </w:sectPr>
      </w:pPr>
    </w:p>
    <w:bookmarkStart w:id="69" w:name="page70"/>
    <w:bookmarkEnd w:id="6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Additionally, the increase in Evergy Kansas Central's gross margin (GAAP) was also driven by:</w:t>
      </w:r>
    </w:p>
    <w:p>
      <w:pPr>
        <w:spacing w:after="0" w:line="121" w:lineRule="exact"/>
        <w:rPr>
          <w:sz w:val="20"/>
          <w:szCs w:val="20"/>
          <w:color w:val="auto"/>
        </w:rPr>
      </w:pPr>
    </w:p>
    <w:p>
      <w:pPr>
        <w:ind w:left="660" w:right="240" w:hanging="328"/>
        <w:spacing w:after="0" w:line="28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$20.3 million decrease in operating and maintenance expenses which are determined to be directly attributable to revenue producing activities primarily driven by an $8.6 million decrease in operating and maintenance expense at fossil-fuel generating units, a $3.3 million decrease in operating and maintenance expense at Wolf Creek and a $4.5 million decrease in transmission and distribution operating and maintenance expenses as described further below; partially offset by</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$12.5 million increase in depreciation and amortization expense as described further below.</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2" w:lineRule="exact"/>
        <w:rPr>
          <w:sz w:val="20"/>
          <w:szCs w:val="20"/>
          <w:color w:val="auto"/>
        </w:rPr>
      </w:pPr>
    </w:p>
    <w:p>
      <w:pPr>
        <w:ind w:right="520"/>
        <w:spacing w:after="0" w:line="258" w:lineRule="auto"/>
        <w:rPr>
          <w:sz w:val="20"/>
          <w:szCs w:val="20"/>
          <w:color w:val="auto"/>
        </w:rPr>
      </w:pPr>
      <w:r>
        <w:rPr>
          <w:rFonts w:ascii="Arial" w:cs="Arial" w:eastAsia="Arial" w:hAnsi="Arial"/>
          <w:sz w:val="20"/>
          <w:szCs w:val="20"/>
          <w:color w:val="auto"/>
        </w:rPr>
        <w:t>Evergy Kansas Central's operating and maintenance expense decreased $44.0 million year to date June 30, 2023, compared to the same period in 2022, primarily driven by:</w:t>
      </w:r>
    </w:p>
    <w:p>
      <w:pPr>
        <w:spacing w:after="0" w:line="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$13.6 million decrease in administrative labor and employee benefits expenses primarily due to lower employee headcount in 2023;</w:t>
      </w:r>
    </w:p>
    <w:p>
      <w:pPr>
        <w:spacing w:after="0" w:line="167" w:lineRule="exact"/>
        <w:rPr>
          <w:rFonts w:ascii="Arial" w:cs="Arial" w:eastAsia="Arial" w:hAnsi="Arial"/>
          <w:sz w:val="16"/>
          <w:szCs w:val="16"/>
          <w:color w:val="auto"/>
        </w:rPr>
      </w:pPr>
    </w:p>
    <w:p>
      <w:pPr>
        <w:ind w:left="660" w:right="540" w:hanging="328"/>
        <w:spacing w:after="0" w:line="274"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 $8.6 million decrease in plant operating and maintenance expense at fossil-fuel generating units primarily driven by a major maintenance outage at JEC in 2022;</w:t>
      </w:r>
    </w:p>
    <w:p>
      <w:pPr>
        <w:spacing w:after="0" w:line="55" w:lineRule="exact"/>
        <w:rPr>
          <w:rFonts w:ascii="Arial" w:cs="Arial" w:eastAsia="Arial" w:hAnsi="Arial"/>
          <w:sz w:val="20"/>
          <w:szCs w:val="20"/>
          <w:color w:val="auto"/>
        </w:rPr>
      </w:pPr>
    </w:p>
    <w:p>
      <w:pPr>
        <w:ind w:left="660" w:right="340" w:hanging="328"/>
        <w:spacing w:after="0" w:line="257"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$4.5 million decrease in various transmission and distribution operating and maintenance expenses primarily due to lower labor costs driven by an increase in labor capitalization and lower employee headcount, partially offset by a $3.4 million increase in vegetation management costs;</w:t>
      </w:r>
    </w:p>
    <w:p>
      <w:pPr>
        <w:spacing w:after="0" w:line="84"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$3.3 million decrease in injuries and damages expense primarily due to settled litigation in 2023; and</w:t>
      </w:r>
    </w:p>
    <w:p>
      <w:pPr>
        <w:spacing w:after="0" w:line="121" w:lineRule="exact"/>
        <w:rPr>
          <w:rFonts w:ascii="Arial" w:cs="Arial" w:eastAsia="Arial" w:hAnsi="Arial"/>
          <w:sz w:val="20"/>
          <w:szCs w:val="20"/>
          <w:color w:val="auto"/>
        </w:rPr>
      </w:pPr>
    </w:p>
    <w:p>
      <w:pPr>
        <w:ind w:left="660" w:right="460" w:hanging="328"/>
        <w:spacing w:after="0" w:line="257"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$3.3 million decrease in plant operating and maintenance expense at Wolf Creek primarily due to lower refueling outage amortization in 2023 and lower labor costs in 2023 driven by an increase in labor capitalization and lower employee headcount; partially offset by</w:t>
      </w:r>
    </w:p>
    <w:p>
      <w:pPr>
        <w:spacing w:after="0" w:line="71" w:lineRule="exact"/>
        <w:rPr>
          <w:rFonts w:ascii="Arial" w:cs="Arial" w:eastAsia="Arial" w:hAnsi="Arial"/>
          <w:sz w:val="20"/>
          <w:szCs w:val="20"/>
          <w:color w:val="auto"/>
        </w:rPr>
      </w:pPr>
    </w:p>
    <w:p>
      <w:pPr>
        <w:ind w:left="660" w:right="180" w:hanging="328"/>
        <w:spacing w:after="0" w:line="274"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$1.9 million increase in property insurance expense due to a lower annual refund of nuclear insurance premiums received in 2023 related to Evergy Kansas Central's ownership interest in Wolf Creek.</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Depreciation and Amortization</w:t>
      </w:r>
    </w:p>
    <w:p>
      <w:pPr>
        <w:spacing w:after="0" w:line="26"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color w:val="auto"/>
        </w:rPr>
        <w:t>Evergy Kansas Central's depreciation and amortization expense increased $12.5 million year to date June 30, 2023, compared to the same period in 2022, primarily driven by capital additions.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Expense, Net</w:t>
      </w:r>
    </w:p>
    <w:p>
      <w:pPr>
        <w:spacing w:after="0" w:line="26" w:lineRule="exact"/>
        <w:rPr>
          <w:sz w:val="20"/>
          <w:szCs w:val="20"/>
          <w:color w:val="auto"/>
        </w:rPr>
      </w:pPr>
    </w:p>
    <w:p>
      <w:pPr>
        <w:ind w:right="660"/>
        <w:spacing w:after="0" w:line="253" w:lineRule="auto"/>
        <w:rPr>
          <w:sz w:val="20"/>
          <w:szCs w:val="20"/>
          <w:color w:val="auto"/>
        </w:rPr>
      </w:pPr>
      <w:r>
        <w:rPr>
          <w:rFonts w:ascii="Arial" w:cs="Arial" w:eastAsia="Arial" w:hAnsi="Arial"/>
          <w:sz w:val="20"/>
          <w:szCs w:val="20"/>
          <w:color w:val="auto"/>
        </w:rPr>
        <w:t>Evergy Kansas Central's other expense, net decreased $10.8 million year to date June 30, 2023, compared to the same period in 2022, primarily driven by:</w:t>
      </w:r>
    </w:p>
    <w:p>
      <w:pPr>
        <w:spacing w:after="0" w:line="8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 $8.1 million decrease due to recording higher COLI benefits in 2023; and</w:t>
      </w:r>
    </w:p>
    <w:p>
      <w:pPr>
        <w:spacing w:after="0" w:line="121" w:lineRule="exact"/>
        <w:rPr>
          <w:rFonts w:ascii="Arial" w:cs="Arial" w:eastAsia="Arial" w:hAnsi="Arial"/>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$5.7 million increase in net unrealized gains in Evergy Kansas Central's rabbi trust; partially offset by</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$3.7 million of lower equity AFUDC driven by higher short-term debt balances in 2023.</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Interest Expense</w:t>
      </w:r>
    </w:p>
    <w:p>
      <w:pPr>
        <w:spacing w:after="0" w:line="22"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Evergy Kansas Central's interest expense increased $21.2 million year to date June 30, 2023, compared to the same period in 2022, primarily driven by an $18.1 million increase in interest expense on short-term borrowings primarily due to higher short-term debt balances and weighted-average interest rates in 2023.</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6" w:lineRule="exact"/>
        <w:rPr>
          <w:sz w:val="20"/>
          <w:szCs w:val="20"/>
          <w:color w:val="auto"/>
        </w:rPr>
      </w:pPr>
    </w:p>
    <w:p>
      <w:pPr>
        <w:ind w:right="660"/>
        <w:spacing w:after="0" w:line="253" w:lineRule="auto"/>
        <w:rPr>
          <w:sz w:val="20"/>
          <w:szCs w:val="20"/>
          <w:color w:val="auto"/>
        </w:rPr>
      </w:pPr>
      <w:r>
        <w:rPr>
          <w:rFonts w:ascii="Arial" w:cs="Arial" w:eastAsia="Arial" w:hAnsi="Arial"/>
          <w:sz w:val="20"/>
          <w:szCs w:val="20"/>
          <w:color w:val="auto"/>
        </w:rPr>
        <w:t>Evergy Kansas Central's income tax expense increased $3.5 million year to date June 30, 2023, compared to the same period in 2022, primarily driven by:</w:t>
      </w:r>
    </w:p>
    <w:p>
      <w:pPr>
        <w:spacing w:after="0" w:line="8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$7.1 million increase due to higher pre-tax income in 2023; partially offset by</w:t>
      </w:r>
    </w:p>
    <w:p>
      <w:pPr>
        <w:spacing w:after="0" w:line="121" w:lineRule="exact"/>
        <w:rPr>
          <w:rFonts w:ascii="Arial" w:cs="Arial" w:eastAsia="Arial" w:hAnsi="Arial"/>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$3.3 million decrease primarily due to higher expected COLI proceeds in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EVERGY METRO,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540"/>
        <w:spacing w:after="0" w:line="274"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(H)(2)(a) to Form 10-Q.</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34"/>
        </w:trPr>
        <w:tc>
          <w:tcPr>
            <w:tcW w:w="7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891.7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257.4</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291.4</w:t>
            </w: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132.1</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207.8</w:t>
            </w:r>
          </w:p>
        </w:tc>
        <w:tc>
          <w:tcPr>
            <w:tcW w:w="26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65.7</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3"/>
        </w:trPr>
        <w:tc>
          <w:tcPr>
            <w:tcW w:w="776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228.7</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231.9</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6"/>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18.6</w:t>
            </w: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7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Evergy Metro Gross Margin (GAAP) and Utility Gross Margin (non-GAAP)</w:t>
      </w:r>
    </w:p>
    <w:p>
      <w:pPr>
        <w:spacing w:after="0" w:line="26" w:lineRule="exact"/>
        <w:rPr>
          <w:sz w:val="20"/>
          <w:szCs w:val="20"/>
          <w:color w:val="auto"/>
        </w:rPr>
      </w:pPr>
    </w:p>
    <w:p>
      <w:pPr>
        <w:jc w:val="both"/>
        <w:ind w:left="1" w:right="80"/>
        <w:spacing w:after="0" w:line="253" w:lineRule="auto"/>
        <w:rPr>
          <w:sz w:val="20"/>
          <w:szCs w:val="20"/>
          <w:color w:val="auto"/>
        </w:rPr>
      </w:pPr>
      <w:r>
        <w:rPr>
          <w:rFonts w:ascii="Arial" w:cs="Arial" w:eastAsia="Arial" w:hAnsi="Arial"/>
          <w:sz w:val="20"/>
          <w:szCs w:val="20"/>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13"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39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980" w:type="dxa"/>
            <w:vAlign w:val="bottom"/>
            <w:tcBorders>
              <w:top w:val="single" w:sz="8" w:color="auto"/>
            </w:tcBorders>
          </w:tcPr>
          <w:p>
            <w:pPr>
              <w:spacing w:after="0"/>
              <w:rPr>
                <w:sz w:val="21"/>
                <w:szCs w:val="21"/>
                <w:color w:val="auto"/>
              </w:rPr>
            </w:pPr>
          </w:p>
        </w:tc>
      </w:tr>
      <w:tr>
        <w:trPr>
          <w:trHeight w:val="234"/>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33"/>
        </w:trPr>
        <w:tc>
          <w:tcPr>
            <w:tcW w:w="396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80" w:type="dxa"/>
            <w:vAlign w:val="bottom"/>
          </w:tcPr>
          <w:p>
            <w:pPr>
              <w:spacing w:after="0"/>
              <w:rPr>
                <w:sz w:val="20"/>
                <w:szCs w:val="20"/>
                <w:color w:val="auto"/>
              </w:rPr>
            </w:pPr>
          </w:p>
        </w:tc>
      </w:tr>
      <w:tr>
        <w:trPr>
          <w:trHeight w:val="233"/>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344.0</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2,621</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373.2</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367.7</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3,592</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(17)</w:t>
            </w:r>
          </w:p>
        </w:tc>
        <w:tc>
          <w:tcPr>
            <w:tcW w:w="980" w:type="dxa"/>
            <w:vAlign w:val="bottom"/>
          </w:tcPr>
          <w:p>
            <w:pPr>
              <w:jc w:val="right"/>
              <w:spacing w:after="0"/>
              <w:rPr>
                <w:sz w:val="20"/>
                <w:szCs w:val="20"/>
                <w:color w:val="auto"/>
              </w:rPr>
            </w:pPr>
            <w:r>
              <w:rPr>
                <w:rFonts w:ascii="Arial" w:cs="Arial" w:eastAsia="Arial" w:hAnsi="Arial"/>
                <w:sz w:val="18"/>
                <w:szCs w:val="18"/>
                <w:color w:val="auto"/>
              </w:rPr>
              <w:t>3,609</w:t>
            </w:r>
          </w:p>
        </w:tc>
      </w:tr>
      <w:tr>
        <w:trPr>
          <w:trHeight w:val="243"/>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63.4</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837</w:t>
            </w:r>
          </w:p>
        </w:tc>
        <w:tc>
          <w:tcPr>
            <w:tcW w:w="136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89"/>
              </w:rPr>
              <w:t>13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w:t>
            </w:r>
          </w:p>
        </w:tc>
        <w:tc>
          <w:tcPr>
            <w:tcW w:w="13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786.7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7,083</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2,381</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(665)</w:t>
            </w:r>
          </w:p>
        </w:tc>
        <w:tc>
          <w:tcPr>
            <w:tcW w:w="980" w:type="dxa"/>
            <w:vAlign w:val="bottom"/>
          </w:tcPr>
          <w:p>
            <w:pPr>
              <w:jc w:val="right"/>
              <w:spacing w:after="0"/>
              <w:rPr>
                <w:sz w:val="20"/>
                <w:szCs w:val="20"/>
                <w:color w:val="auto"/>
              </w:rPr>
            </w:pPr>
            <w:r>
              <w:rPr>
                <w:rFonts w:ascii="Arial" w:cs="Arial" w:eastAsia="Arial" w:hAnsi="Arial"/>
                <w:sz w:val="18"/>
                <w:szCs w:val="18"/>
                <w:color w:val="auto"/>
              </w:rPr>
              <w:t>3,046</w:t>
            </w:r>
          </w:p>
        </w:tc>
      </w:tr>
      <w:tr>
        <w:trPr>
          <w:trHeight w:val="23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99"/>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60.6</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(66.7)</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auto"/>
            </w:tcBorders>
          </w:tcPr>
          <w:p>
            <w:pPr>
              <w:jc w:val="center"/>
              <w:ind w:left="411"/>
              <w:spacing w:after="0"/>
              <w:rPr>
                <w:sz w:val="20"/>
                <w:szCs w:val="20"/>
                <w:color w:val="auto"/>
              </w:rPr>
            </w:pPr>
            <w:r>
              <w:rPr>
                <w:rFonts w:ascii="Arial" w:cs="Arial" w:eastAsia="Arial" w:hAnsi="Arial"/>
                <w:sz w:val="18"/>
                <w:szCs w:val="18"/>
                <w:color w:val="auto"/>
                <w:w w:val="99"/>
              </w:rPr>
              <w:t>N/A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891.7</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9,464</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(754)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(257.4)</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34.0</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(207.8)</w:t>
            </w:r>
          </w:p>
        </w:tc>
        <w:tc>
          <w:tcPr>
            <w:tcW w:w="2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(65.7)</w:t>
            </w: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Gross margin (GAAP)</w:t>
            </w:r>
          </w:p>
        </w:tc>
        <w:tc>
          <w:tcPr>
            <w:tcW w:w="2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268.7</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(24.6)</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293.3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39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207.8</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65.7</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8"/>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634.3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3.1</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631.2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708088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19" w:lineRule="exact"/>
        <w:rPr>
          <w:sz w:val="20"/>
          <w:szCs w:val="20"/>
          <w:color w:val="auto"/>
        </w:rPr>
      </w:pPr>
    </w:p>
    <w:p>
      <w:pPr>
        <w:ind w:left="161" w:right="200" w:hanging="161"/>
        <w:spacing w:after="0" w:line="257" w:lineRule="auto"/>
        <w:tabs>
          <w:tab w:leader="none" w:pos="142"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$39.9 million and $61.4 million year to date June 30, 2023 and 2022, respectively.</w:t>
      </w:r>
    </w:p>
    <w:p>
      <w:pPr>
        <w:spacing w:after="0" w:line="341" w:lineRule="exact"/>
        <w:rPr>
          <w:sz w:val="20"/>
          <w:szCs w:val="20"/>
          <w:color w:val="auto"/>
        </w:rPr>
      </w:pPr>
    </w:p>
    <w:p>
      <w:pPr>
        <w:ind w:left="1" w:right="160"/>
        <w:spacing w:after="0" w:line="257" w:lineRule="auto"/>
        <w:rPr>
          <w:sz w:val="20"/>
          <w:szCs w:val="20"/>
          <w:color w:val="auto"/>
        </w:rPr>
      </w:pPr>
      <w:r>
        <w:rPr>
          <w:rFonts w:ascii="Arial" w:cs="Arial" w:eastAsia="Arial" w:hAnsi="Arial"/>
          <w:sz w:val="20"/>
          <w:szCs w:val="20"/>
          <w:color w:val="auto"/>
        </w:rPr>
        <w:t>Evergy Metro's gross margin (GAAP) decreased $24.6 million year to date June 30, 2023, compared to the same period in 2022 and Evergy Metro's utility gross margin (non-GAAP) increased $3.1 million year to date June 30, 2023, compared to the same period in 2022, both measures were driven by:</w:t>
      </w:r>
    </w:p>
    <w:p>
      <w:pPr>
        <w:spacing w:after="0" w:line="85" w:lineRule="exact"/>
        <w:rPr>
          <w:sz w:val="20"/>
          <w:szCs w:val="20"/>
          <w:color w:val="auto"/>
        </w:rPr>
      </w:pPr>
    </w:p>
    <w:p>
      <w:pPr>
        <w:ind w:left="661" w:right="280" w:hanging="328"/>
        <w:spacing w:after="0" w:line="332" w:lineRule="auto"/>
        <w:tabs>
          <w:tab w:leader="none" w:pos="6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$8.5 million decrease primarily due to lower retail sales driven by unfavorable weather (cooling degree days decreased by 15% and heating degree days decreased by 13%), partially offset by higher weather-normalized demand; partially offset by</w:t>
      </w:r>
    </w:p>
    <w:p>
      <w:pPr>
        <w:spacing w:after="0" w:line="7" w:lineRule="exact"/>
        <w:rPr>
          <w:rFonts w:ascii="Arial" w:cs="Arial" w:eastAsia="Arial" w:hAnsi="Arial"/>
          <w:sz w:val="18"/>
          <w:szCs w:val="18"/>
          <w:color w:val="auto"/>
        </w:rPr>
      </w:pPr>
    </w:p>
    <w:p>
      <w:pPr>
        <w:ind w:left="661" w:hanging="328"/>
        <w:spacing w:after="0"/>
        <w:tabs>
          <w:tab w:leader="none" w:pos="661"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$10.1 million increase from new Evergy Metro retail rates effective in January 2023; and</w:t>
      </w:r>
    </w:p>
    <w:p>
      <w:pPr>
        <w:spacing w:after="0" w:line="121" w:lineRule="exact"/>
        <w:rPr>
          <w:rFonts w:ascii="Arial" w:cs="Arial" w:eastAsia="Arial" w:hAnsi="Arial"/>
          <w:sz w:val="20"/>
          <w:szCs w:val="20"/>
          <w:color w:val="auto"/>
        </w:rPr>
      </w:pPr>
    </w:p>
    <w:p>
      <w:pPr>
        <w:ind w:left="661" w:hanging="328"/>
        <w:spacing w:after="0"/>
        <w:tabs>
          <w:tab w:leader="none" w:pos="661"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$1.5 million increase related to Evergy Metro's TDC rider in 2023.</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Additionally, the decrease in Evergy Metro's gross margin (GAAP) was also driven by:</w:t>
      </w:r>
    </w:p>
    <w:p>
      <w:pPr>
        <w:spacing w:after="0" w:line="121" w:lineRule="exact"/>
        <w:rPr>
          <w:sz w:val="20"/>
          <w:szCs w:val="20"/>
          <w:color w:val="auto"/>
        </w:rPr>
      </w:pPr>
    </w:p>
    <w:p>
      <w:pPr>
        <w:ind w:left="661" w:hanging="328"/>
        <w:spacing w:after="0"/>
        <w:tabs>
          <w:tab w:leader="none" w:pos="66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$40.4 million increase in depreciation and amortization expense as described further below; partially offset by</w:t>
      </w:r>
    </w:p>
    <w:p>
      <w:pPr>
        <w:spacing w:after="0" w:line="121" w:lineRule="exact"/>
        <w:rPr>
          <w:rFonts w:ascii="Arial" w:cs="Arial" w:eastAsia="Arial" w:hAnsi="Arial"/>
          <w:sz w:val="20"/>
          <w:szCs w:val="20"/>
          <w:color w:val="auto"/>
        </w:rPr>
      </w:pPr>
    </w:p>
    <w:p>
      <w:pPr>
        <w:ind w:left="661" w:hanging="328"/>
        <w:spacing w:after="0" w:line="251" w:lineRule="auto"/>
        <w:tabs>
          <w:tab w:leader="none" w:pos="66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 $11.3 million decrease in operating and maintenance expenses which are determined to be directly attributable to revenue producing activities primarily driven by a $3.8 million decrease in transmission and distribution operating and maintenance expenses, a $3.6 million decrease in plant operating and maintenance expense at Wolf Creek and a $3.0 million decrease in operating and maintenance expense at fossil-fuel generating units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22"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6" w:lineRule="exact"/>
        <w:rPr>
          <w:sz w:val="20"/>
          <w:szCs w:val="20"/>
          <w:color w:val="auto"/>
        </w:rPr>
      </w:pPr>
    </w:p>
    <w:p>
      <w:pPr>
        <w:ind w:right="500"/>
        <w:spacing w:after="0" w:line="253" w:lineRule="auto"/>
        <w:rPr>
          <w:sz w:val="20"/>
          <w:szCs w:val="20"/>
          <w:color w:val="auto"/>
        </w:rPr>
      </w:pPr>
      <w:r>
        <w:rPr>
          <w:rFonts w:ascii="Arial" w:cs="Arial" w:eastAsia="Arial" w:hAnsi="Arial"/>
          <w:sz w:val="20"/>
          <w:szCs w:val="20"/>
          <w:color w:val="auto"/>
        </w:rPr>
        <w:t>Evergy Metro's operating and maintenance expense decreased $32.7 million year to date June 30, 2023, compared to the same period in 2022, primarily driven by:</w:t>
      </w:r>
    </w:p>
    <w:p>
      <w:pPr>
        <w:spacing w:after="0" w:line="8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$14.7 million decrease in administrative labor and employee benefits expenses primarily due to lower employee headcount in 2023;</w:t>
      </w:r>
    </w:p>
    <w:p>
      <w:pPr>
        <w:spacing w:after="0" w:line="153" w:lineRule="exact"/>
        <w:rPr>
          <w:rFonts w:ascii="Arial" w:cs="Arial" w:eastAsia="Arial" w:hAnsi="Arial"/>
          <w:sz w:val="16"/>
          <w:szCs w:val="16"/>
          <w:color w:val="auto"/>
        </w:rPr>
      </w:pPr>
    </w:p>
    <w:p>
      <w:pPr>
        <w:ind w:left="660" w:right="740" w:hanging="328"/>
        <w:spacing w:after="0" w:line="274"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$6.8 million decrease in various administrative and general operating and maintenance expenses primarily driven by lower regulatory amortizations as a result of Evergy Metro's 2022 rate case;</w:t>
      </w:r>
    </w:p>
    <w:p>
      <w:pPr>
        <w:spacing w:after="0" w:line="68" w:lineRule="exact"/>
        <w:rPr>
          <w:rFonts w:ascii="Arial" w:cs="Arial" w:eastAsia="Arial" w:hAnsi="Arial"/>
          <w:sz w:val="20"/>
          <w:szCs w:val="20"/>
          <w:color w:val="auto"/>
        </w:rPr>
      </w:pPr>
    </w:p>
    <w:p>
      <w:pPr>
        <w:ind w:left="660" w:right="340" w:hanging="328"/>
        <w:spacing w:after="0" w:line="287"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$3.8 million decrease in various transmission and distribution operating and maintenance expenses primarily due to lower labor costs driven by an increase in labor capitalization, lower employee headcount and lower contractor costs;</w:t>
      </w:r>
    </w:p>
    <w:p>
      <w:pPr>
        <w:spacing w:after="0" w:line="57" w:lineRule="exact"/>
        <w:rPr>
          <w:rFonts w:ascii="Arial" w:cs="Arial" w:eastAsia="Arial" w:hAnsi="Arial"/>
          <w:sz w:val="19"/>
          <w:szCs w:val="19"/>
          <w:color w:val="auto"/>
        </w:rPr>
      </w:pPr>
    </w:p>
    <w:p>
      <w:pPr>
        <w:ind w:left="660" w:right="700" w:hanging="328"/>
        <w:spacing w:after="0" w:line="378"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$3.6 million decrease in plant operating and maintenance expense at Wolf Creek primarily due to lower refueling outage amortizations in 2023 and lower labor costs driven by an increase in labor capitalization and lower employee headcount; and</w:t>
      </w:r>
    </w:p>
    <w:p>
      <w:pPr>
        <w:ind w:left="660" w:right="20" w:hanging="328"/>
        <w:spacing w:after="0" w:line="257"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$3.0 million decrease in plant operating and maintenance expense at fossil-fuel generating units primarily driven by major maintenance outages at Iatan Station Unit 1 and LaCygne Unit 2 in 2022; partially offset by a major maintenance outage at Hawthorn Station in 2023; partially offset by</w:t>
      </w:r>
    </w:p>
    <w:p>
      <w:pPr>
        <w:spacing w:after="0" w:line="84" w:lineRule="exact"/>
        <w:rPr>
          <w:rFonts w:ascii="Arial" w:cs="Arial" w:eastAsia="Arial" w:hAnsi="Arial"/>
          <w:sz w:val="20"/>
          <w:szCs w:val="20"/>
          <w:color w:val="auto"/>
        </w:rPr>
      </w:pPr>
    </w:p>
    <w:p>
      <w:pPr>
        <w:ind w:left="660" w:right="180" w:hanging="328"/>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$1.8 million increase in property insurance expense due to a lower annual refund of nuclear insurance premiums received in 2023 related to Evergy Metro's ownership interest in Wolf Creek.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Depreciation Expense</w:t>
      </w:r>
    </w:p>
    <w:p>
      <w:pPr>
        <w:spacing w:after="0" w:line="26"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color w:val="auto"/>
        </w:rPr>
        <w:t>Evergy Metro's depreciation and amortization expense increased $40.4 million year to date June 30, 2023, compared to the same period in 2022, primarily driven by:</w:t>
      </w:r>
    </w:p>
    <w:p>
      <w:pPr>
        <w:spacing w:after="0" w:line="88" w:lineRule="exact"/>
        <w:rPr>
          <w:sz w:val="20"/>
          <w:szCs w:val="20"/>
          <w:color w:val="auto"/>
        </w:rPr>
      </w:pPr>
    </w:p>
    <w:p>
      <w:pPr>
        <w:ind w:left="660" w:right="100" w:hanging="328"/>
        <w:spacing w:after="0" w:line="260" w:lineRule="auto"/>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$25.2 million increase primarily due to a change in depreciation rates and the rebasing of PISA depreciation deferrals as a result of Evergy Metro's 2022 rate case effective in January 2023; and</w:t>
      </w:r>
    </w:p>
    <w:p>
      <w:pPr>
        <w:spacing w:after="0" w:line="82" w:lineRule="exact"/>
        <w:rPr>
          <w:rFonts w:ascii="Arial" w:cs="Arial" w:eastAsia="Arial" w:hAnsi="Arial"/>
          <w:sz w:val="20"/>
          <w:szCs w:val="20"/>
          <w:color w:val="auto"/>
        </w:rPr>
      </w:pPr>
    </w:p>
    <w:p>
      <w:pPr>
        <w:ind w:left="660" w:hanging="328"/>
        <w:spacing w:after="0"/>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$15.4 million increase primarily due to capital additions.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Interest Expense</w:t>
      </w:r>
    </w:p>
    <w:p>
      <w:pPr>
        <w:spacing w:after="0" w:line="26"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color w:val="auto"/>
        </w:rPr>
        <w:t>Evergy Metro's interest expense increased $11.8 million year to date June 30, 2023, compared to the same period in 2022, primarily driven by an $8.9 million increase in interest expense on short-term borrowings primarily due to higher short-term debt balances and weighted-average interest rates in 2023.</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Income Tax Expense</w:t>
      </w:r>
    </w:p>
    <w:p>
      <w:pPr>
        <w:spacing w:after="0" w:line="22"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Evergy Metro's income tax expense decreased $3.4 million year to date June 30, 2023, compared to the same period in 2022, primarily driven by lower pre-tax income in 2023.</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2022 Form 10-K and therefore are not represented here.</w:t>
      </w:r>
    </w:p>
    <w:p>
      <w:pPr>
        <w:spacing w:after="0" w:line="193"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2022 Form 10-K. Evergy's exposure to market risk has not changed materially since December 31, 2022.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6"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Effective in the second quarter of 2023, the Evergy Companies implemented the first phase of a Generation Enterprise Asset Management program at select generation facilities which is expected to be a strategic and holistic approach to physical asset management across the Evergy fleet once fully deployed. The Evergy Companies expect that this program will create efficiency by coordinating and standardizing asset management processes across the enterprise, including business processes, data and IT systems. In connection with this implementation, Evergy updated its internal controls over financial reporting, as necessary, to accommodate modifications to its business processes.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Effective in the second quarter of 2023, the Evergy Companies implemented the first phase of a Generation Enterprise Asset Management program at select generation facilities which is expected to be a strategic and holistic approach to physical asset management across the Evergy fleet once fully deployed. The Evergy Companies expect that this program will create efficiency by coordinating and standardizing asset management processes across the enterprise, including business processes, data and IT systems. In connection with this implementation, Evergy Kansas Central updated its internal controls over financial reporting, as necessary, to accommodate modifications to its business processes.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Effective in the second quarter of 2023, the Evergy Companies implemented the first phase of a Generation Enterprise Asset Management program at select generation facilities which is expected to be a strategic and holistic approach to physical asset management across the Evergy fleet once fully deployed. The Evergy Companies expect that this program will create efficiency by coordinating and standardizing asset management processes across the enterprise, including business processes, data and IT systems. In connection with this implementation, Evergy Metro updated its internal controls over financial reporting, as necessary, to accommodate modifications to its business processes.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6" w:lineRule="exact"/>
        <w:rPr>
          <w:sz w:val="20"/>
          <w:szCs w:val="20"/>
          <w:color w:val="auto"/>
        </w:rPr>
      </w:pPr>
    </w:p>
    <w:p>
      <w:pPr>
        <w:jc w:val="both"/>
        <w:ind w:right="200"/>
        <w:spacing w:after="0" w:line="253" w:lineRule="auto"/>
        <w:rPr>
          <w:sz w:val="20"/>
          <w:szCs w:val="20"/>
          <w:color w:val="auto"/>
        </w:rPr>
      </w:pPr>
      <w:r>
        <w:rPr>
          <w:rFonts w:ascii="Arial" w:cs="Arial" w:eastAsia="Arial" w:hAnsi="Arial"/>
          <w:sz w:val="20"/>
          <w:szCs w:val="20"/>
          <w:color w:val="auto"/>
        </w:rPr>
        <w:t>The Evergy Companies are parties to various lawsuits and regulatory proceedings in the ordinary course of their respective businesses. For information regarding material lawsuits and proceedings, see Notes 4 and 10 to the consolidated financial statements. Such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2022 Form 10-K for each of Evergy, Evergy Kansas Central and Evergy Metro, as well as Quarterly Reports on Form 10-Q and from time to time in Current Reports on Form 8-K filed by Evergy, Evergy Kansas Central and Evergy Metro. There have been no material changes with regards to those risk factors since the filing of the 2022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6"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The following table provides information regarding purchases by Evergy of its equity securities that are registered pursuant to Section 12 of the Exchange Act during the 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left="350"/>
              <w:spacing w:after="0" w:line="177" w:lineRule="exact"/>
              <w:rPr>
                <w:sz w:val="20"/>
                <w:szCs w:val="20"/>
                <w:color w:val="auto"/>
              </w:rPr>
            </w:pPr>
            <w:r>
              <w:rPr>
                <w:rFonts w:ascii="Arial" w:cs="Arial" w:eastAsia="Arial" w:hAnsi="Arial"/>
                <w:sz w:val="18"/>
                <w:szCs w:val="18"/>
                <w:b w:val="1"/>
                <w:bCs w:val="1"/>
                <w:color w:val="auto"/>
                <w:w w:val="92"/>
              </w:rPr>
              <w:t>Total Number of</w:t>
            </w:r>
          </w:p>
        </w:tc>
        <w:tc>
          <w:tcPr>
            <w:tcW w:w="34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60" w:type="dxa"/>
            <w:vAlign w:val="bottom"/>
          </w:tcPr>
          <w:p>
            <w:pPr>
              <w:jc w:val="center"/>
              <w:ind w:left="330"/>
              <w:spacing w:after="0" w:line="181" w:lineRule="exact"/>
              <w:rPr>
                <w:sz w:val="20"/>
                <w:szCs w:val="20"/>
                <w:color w:val="auto"/>
              </w:rPr>
            </w:pPr>
            <w:r>
              <w:rPr>
                <w:rFonts w:ascii="Arial" w:cs="Arial" w:eastAsia="Arial" w:hAnsi="Arial"/>
                <w:sz w:val="18"/>
                <w:szCs w:val="18"/>
                <w:b w:val="1"/>
                <w:bCs w:val="1"/>
                <w:color w:val="auto"/>
                <w:w w:val="89"/>
              </w:rPr>
              <w:t>Shares (or Units)</w:t>
            </w:r>
          </w:p>
        </w:tc>
        <w:tc>
          <w:tcPr>
            <w:tcW w:w="340" w:type="dxa"/>
            <w:vAlign w:val="bottom"/>
          </w:tcPr>
          <w:p>
            <w:pPr>
              <w:spacing w:after="0"/>
              <w:rPr>
                <w:sz w:val="15"/>
                <w:szCs w:val="15"/>
                <w:color w:val="auto"/>
              </w:rPr>
            </w:pPr>
          </w:p>
        </w:tc>
        <w:tc>
          <w:tcPr>
            <w:tcW w:w="2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292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1"/>
              </w:rPr>
              <w:t>Total Number of</w:t>
            </w:r>
          </w:p>
        </w:tc>
        <w:tc>
          <w:tcPr>
            <w:tcW w:w="2000" w:type="dxa"/>
            <w:vAlign w:val="bottom"/>
            <w:gridSpan w:val="2"/>
            <w:vMerge w:val="restart"/>
          </w:tcPr>
          <w:p>
            <w:pPr>
              <w:jc w:val="right"/>
              <w:ind w:right="450"/>
              <w:spacing w:after="0"/>
              <w:rPr>
                <w:sz w:val="20"/>
                <w:szCs w:val="20"/>
                <w:color w:val="auto"/>
              </w:rPr>
            </w:pPr>
            <w:r>
              <w:rPr>
                <w:rFonts w:ascii="Arial" w:cs="Arial" w:eastAsia="Arial" w:hAnsi="Arial"/>
                <w:sz w:val="18"/>
                <w:szCs w:val="18"/>
                <w:b w:val="1"/>
                <w:bCs w:val="1"/>
                <w:color w:val="auto"/>
              </w:rPr>
              <w:t>Average Price</w:t>
            </w:r>
          </w:p>
        </w:tc>
        <w:tc>
          <w:tcPr>
            <w:tcW w:w="1960" w:type="dxa"/>
            <w:vAlign w:val="bottom"/>
          </w:tcPr>
          <w:p>
            <w:pPr>
              <w:jc w:val="center"/>
              <w:ind w:left="330"/>
              <w:spacing w:after="0" w:line="176" w:lineRule="exact"/>
              <w:rPr>
                <w:sz w:val="20"/>
                <w:szCs w:val="20"/>
                <w:color w:val="auto"/>
              </w:rPr>
            </w:pPr>
            <w:r>
              <w:rPr>
                <w:rFonts w:ascii="Arial" w:cs="Arial" w:eastAsia="Arial" w:hAnsi="Arial"/>
                <w:sz w:val="18"/>
                <w:szCs w:val="18"/>
                <w:b w:val="1"/>
                <w:bCs w:val="1"/>
                <w:color w:val="auto"/>
                <w:w w:val="87"/>
              </w:rPr>
              <w:t>Purchased as</w:t>
            </w:r>
          </w:p>
        </w:tc>
        <w:tc>
          <w:tcPr>
            <w:tcW w:w="34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92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960" w:type="dxa"/>
            <w:vAlign w:val="bottom"/>
          </w:tcPr>
          <w:p>
            <w:pPr>
              <w:jc w:val="center"/>
              <w:ind w:left="350"/>
              <w:spacing w:after="0" w:line="184" w:lineRule="exact"/>
              <w:rPr>
                <w:sz w:val="20"/>
                <w:szCs w:val="20"/>
                <w:color w:val="auto"/>
              </w:rPr>
            </w:pPr>
            <w:r>
              <w:rPr>
                <w:rFonts w:ascii="Arial" w:cs="Arial" w:eastAsia="Arial" w:hAnsi="Arial"/>
                <w:sz w:val="18"/>
                <w:szCs w:val="18"/>
                <w:b w:val="1"/>
                <w:bCs w:val="1"/>
                <w:color w:val="auto"/>
                <w:w w:val="91"/>
              </w:rPr>
              <w:t>Part of Publicly</w:t>
            </w:r>
          </w:p>
        </w:tc>
        <w:tc>
          <w:tcPr>
            <w:tcW w:w="34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2"/>
              </w:rPr>
              <w:t>that May Yet Be</w:t>
            </w:r>
          </w:p>
        </w:tc>
        <w:tc>
          <w:tcPr>
            <w:tcW w:w="0" w:type="dxa"/>
            <w:vAlign w:val="bottom"/>
          </w:tcPr>
          <w:p>
            <w:pPr>
              <w:spacing w:after="0"/>
              <w:rPr>
                <w:sz w:val="1"/>
                <w:szCs w:val="1"/>
                <w:color w:val="auto"/>
              </w:rPr>
            </w:pPr>
          </w:p>
        </w:tc>
      </w:tr>
      <w:tr>
        <w:trPr>
          <w:trHeight w:val="180"/>
        </w:trPr>
        <w:tc>
          <w:tcPr>
            <w:tcW w:w="1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Month</w:t>
            </w:r>
          </w:p>
        </w:tc>
        <w:tc>
          <w:tcPr>
            <w:tcW w:w="2920" w:type="dxa"/>
            <w:vAlign w:val="bottom"/>
          </w:tcPr>
          <w:p>
            <w:pPr>
              <w:jc w:val="center"/>
              <w:ind w:left="130"/>
              <w:spacing w:after="0" w:line="181" w:lineRule="exact"/>
              <w:rPr>
                <w:sz w:val="20"/>
                <w:szCs w:val="20"/>
                <w:color w:val="auto"/>
              </w:rPr>
            </w:pPr>
            <w:r>
              <w:rPr>
                <w:rFonts w:ascii="Arial" w:cs="Arial" w:eastAsia="Arial" w:hAnsi="Arial"/>
                <w:sz w:val="18"/>
                <w:szCs w:val="18"/>
                <w:b w:val="1"/>
                <w:bCs w:val="1"/>
                <w:color w:val="auto"/>
                <w:w w:val="89"/>
              </w:rPr>
              <w:t>Shares (or Units)</w:t>
            </w:r>
          </w:p>
        </w:tc>
        <w:tc>
          <w:tcPr>
            <w:tcW w:w="200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Paid per Share</w:t>
            </w:r>
          </w:p>
        </w:tc>
        <w:tc>
          <w:tcPr>
            <w:tcW w:w="1960" w:type="dxa"/>
            <w:vAlign w:val="bottom"/>
          </w:tcPr>
          <w:p>
            <w:pPr>
              <w:jc w:val="center"/>
              <w:ind w:left="330"/>
              <w:spacing w:after="0" w:line="181" w:lineRule="exact"/>
              <w:rPr>
                <w:sz w:val="20"/>
                <w:szCs w:val="20"/>
                <w:color w:val="auto"/>
              </w:rPr>
            </w:pPr>
            <w:r>
              <w:rPr>
                <w:rFonts w:ascii="Arial" w:cs="Arial" w:eastAsia="Arial" w:hAnsi="Arial"/>
                <w:sz w:val="18"/>
                <w:szCs w:val="18"/>
                <w:b w:val="1"/>
                <w:bCs w:val="1"/>
                <w:color w:val="auto"/>
                <w:w w:val="88"/>
              </w:rPr>
              <w:t>Announced Plans</w:t>
            </w:r>
          </w:p>
        </w:tc>
        <w:tc>
          <w:tcPr>
            <w:tcW w:w="340" w:type="dxa"/>
            <w:vAlign w:val="bottom"/>
          </w:tcPr>
          <w:p>
            <w:pPr>
              <w:spacing w:after="0"/>
              <w:rPr>
                <w:sz w:val="15"/>
                <w:szCs w:val="15"/>
                <w:color w:val="auto"/>
              </w:rPr>
            </w:pPr>
          </w:p>
        </w:tc>
        <w:tc>
          <w:tcPr>
            <w:tcW w:w="2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Purchased Under the Plans</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auto"/>
            </w:tcBorders>
            <w:vMerge w:val="continue"/>
          </w:tcPr>
          <w:p>
            <w:pPr>
              <w:spacing w:after="0"/>
              <w:rPr>
                <w:sz w:val="19"/>
                <w:szCs w:val="19"/>
                <w:color w:val="auto"/>
              </w:rPr>
            </w:pPr>
          </w:p>
        </w:tc>
        <w:tc>
          <w:tcPr>
            <w:tcW w:w="2920" w:type="dxa"/>
            <w:vAlign w:val="bottom"/>
            <w:tcBorders>
              <w:bottom w:val="single" w:sz="8" w:color="auto"/>
            </w:tcBorders>
          </w:tcPr>
          <w:p>
            <w:pPr>
              <w:jc w:val="center"/>
              <w:ind w:left="130"/>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(a)</w:t>
            </w: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(or Unit)</w:t>
            </w:r>
          </w:p>
        </w:tc>
        <w:tc>
          <w:tcPr>
            <w:tcW w:w="19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or Programs</w:t>
            </w:r>
          </w:p>
        </w:tc>
        <w:tc>
          <w:tcPr>
            <w:tcW w:w="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237"/>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2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spacing w:after="0"/>
              <w:rPr>
                <w:sz w:val="20"/>
                <w:szCs w:val="2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May 1 - 31</w:t>
            </w:r>
          </w:p>
        </w:tc>
        <w:tc>
          <w:tcPr>
            <w:tcW w:w="2920" w:type="dxa"/>
            <w:vAlign w:val="bottom"/>
          </w:tcPr>
          <w:p>
            <w:pPr>
              <w:jc w:val="right"/>
              <w:ind w:right="230"/>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19"/>
                <w:szCs w:val="19"/>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61.44</w:t>
            </w:r>
          </w:p>
        </w:tc>
        <w:tc>
          <w:tcPr>
            <w:tcW w:w="19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224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1 - 30</w:t>
            </w:r>
          </w:p>
        </w:tc>
        <w:tc>
          <w:tcPr>
            <w:tcW w:w="29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1,326</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57.41</w:t>
            </w:r>
          </w:p>
        </w:tc>
        <w:tc>
          <w:tcPr>
            <w:tcW w:w="19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1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1,483</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57.84</w:t>
            </w:r>
          </w:p>
        </w:tc>
        <w:tc>
          <w:tcPr>
            <w:tcW w:w="1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Represents shares Evergy purchased for withholding taxes related to the vesting of RSUs.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61"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20"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2" w:lineRule="exact"/>
        <w:rPr>
          <w:sz w:val="20"/>
          <w:szCs w:val="20"/>
          <w:color w:val="auto"/>
        </w:rPr>
      </w:pPr>
    </w:p>
    <w:p>
      <w:pPr>
        <w:ind w:right="480"/>
        <w:spacing w:after="0" w:line="288"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Trading Plans of Directors and Executive Officers</w:t>
      </w:r>
    </w:p>
    <w:p>
      <w:pPr>
        <w:spacing w:after="0" w:line="20"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For the three months ended June 30, 2023, no director or officer has adopted, terminated or modified a Rule 10b5-1 plan or non-Rule 10b5-1 trading arrangement required to be disclosed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8"/>
              </w:rPr>
              <w:t>Table of Contents</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1860" w:type="dxa"/>
            <w:vAlign w:val="bottom"/>
            <w:gridSpan w:val="4"/>
          </w:tcPr>
          <w:p>
            <w:pPr>
              <w:spacing w:after="0"/>
              <w:rPr>
                <w:sz w:val="20"/>
                <w:szCs w:val="20"/>
                <w:color w:val="auto"/>
              </w:rPr>
            </w:pPr>
            <w:r>
              <w:rPr>
                <w:rFonts w:ascii="Arial" w:cs="Arial" w:eastAsia="Arial" w:hAnsi="Arial"/>
                <w:sz w:val="20"/>
                <w:szCs w:val="20"/>
                <w:b w:val="1"/>
                <w:bCs w:val="1"/>
                <w:color w:val="auto"/>
              </w:rPr>
              <w:t>ITEM 6. EXHIBITS</w:t>
            </w: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20"/>
                <w:szCs w:val="20"/>
                <w:color w:val="auto"/>
                <w:w w:val="96"/>
              </w:rPr>
              <w:t>Exhibit</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20" w:type="dxa"/>
            <w:vAlign w:val="bottom"/>
            <w:vMerge w:val="restart"/>
          </w:tcPr>
          <w:p>
            <w:pPr>
              <w:spacing w:after="0"/>
              <w:rPr>
                <w:sz w:val="20"/>
                <w:szCs w:val="20"/>
                <w:color w:val="auto"/>
              </w:rPr>
            </w:pPr>
            <w:r>
              <w:rPr>
                <w:rFonts w:ascii="Arial" w:cs="Arial" w:eastAsia="Arial" w:hAnsi="Arial"/>
                <w:sz w:val="20"/>
                <w:szCs w:val="20"/>
                <w:color w:val="auto"/>
                <w:w w:val="91"/>
              </w:rPr>
              <w:t>Description of Document</w:t>
            </w:r>
          </w:p>
        </w:tc>
        <w:tc>
          <w:tcPr>
            <w:tcW w:w="2220" w:type="dxa"/>
            <w:vAlign w:val="bottom"/>
            <w:gridSpan w:val="6"/>
            <w:vMerge w:val="restart"/>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gridSpan w:val="2"/>
            <w:vMerge w:val="restart"/>
          </w:tcPr>
          <w:p>
            <w:pPr>
              <w:spacing w:after="0"/>
              <w:rPr>
                <w:sz w:val="20"/>
                <w:szCs w:val="20"/>
                <w:color w:val="auto"/>
              </w:rPr>
            </w:pPr>
            <w:r>
              <w:rPr>
                <w:rFonts w:ascii="Arial" w:cs="Arial" w:eastAsia="Arial" w:hAnsi="Arial"/>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60" w:type="dxa"/>
            <w:vAlign w:val="bottom"/>
          </w:tcPr>
          <w:p>
            <w:pPr>
              <w:spacing w:after="0" w:line="203" w:lineRule="exact"/>
              <w:rPr>
                <w:sz w:val="20"/>
                <w:szCs w:val="20"/>
                <w:color w:val="auto"/>
              </w:rPr>
            </w:pPr>
            <w:r>
              <w:rPr>
                <w:rFonts w:ascii="Arial" w:cs="Arial" w:eastAsia="Arial" w:hAnsi="Arial"/>
                <w:sz w:val="20"/>
                <w:szCs w:val="20"/>
                <w:color w:val="auto"/>
                <w:w w:val="89"/>
              </w:rPr>
              <w:t>Number</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2220" w:type="dxa"/>
            <w:vAlign w:val="bottom"/>
            <w:gridSpan w:val="6"/>
            <w:vMerge w:val="continue"/>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10.1</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rFonts w:ascii="Arial" w:cs="Arial" w:eastAsia="Arial" w:hAnsi="Arial"/>
                <w:sz w:val="20"/>
                <w:szCs w:val="20"/>
                <w:color w:val="0000FF"/>
                <w:w w:val="90"/>
              </w:rPr>
            </w:pPr>
            <w:hyperlink r:id="rId92">
              <w:r>
                <w:rPr>
                  <w:rFonts w:ascii="Arial" w:cs="Arial" w:eastAsia="Arial" w:hAnsi="Arial"/>
                  <w:sz w:val="20"/>
                  <w:szCs w:val="20"/>
                  <w:color w:val="0000FF"/>
                  <w:w w:val="90"/>
                </w:rPr>
                <w:t>First Amendment to Amended and restated Credit Agreement, dated as of June 2,</w:t>
              </w:r>
            </w:hyperlink>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700" w:type="dxa"/>
            <w:vAlign w:val="bottom"/>
            <w:shd w:val="clear" w:color="auto" w:fill="0000FF"/>
          </w:tcPr>
          <w:p>
            <w:pPr>
              <w:spacing w:after="0"/>
              <w:rPr>
                <w:sz w:val="2"/>
                <w:szCs w:val="2"/>
                <w:color w:val="auto"/>
              </w:rPr>
            </w:pPr>
          </w:p>
        </w:tc>
        <w:tc>
          <w:tcPr>
            <w:tcW w:w="2700" w:type="dxa"/>
            <w:vAlign w:val="bottom"/>
            <w:gridSpan w:val="3"/>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gridSpan w:val="3"/>
            <w:vMerge w:val="restart"/>
          </w:tcPr>
          <w:p>
            <w:pPr>
              <w:ind w:left="420"/>
              <w:spacing w:after="0" w:line="203"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line="20" w:lineRule="exact"/>
              <w:rPr>
                <w:sz w:val="1"/>
                <w:szCs w:val="1"/>
                <w:color w:val="auto"/>
              </w:rPr>
            </w:pPr>
          </w:p>
        </w:tc>
      </w:tr>
      <w:tr>
        <w:trPr>
          <w:trHeight w:val="176"/>
        </w:trPr>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60" w:type="dxa"/>
            <w:vAlign w:val="bottom"/>
            <w:gridSpan w:val="10"/>
          </w:tcPr>
          <w:p>
            <w:pPr>
              <w:spacing w:after="0" w:line="176" w:lineRule="exact"/>
              <w:rPr>
                <w:rFonts w:ascii="Arial" w:cs="Arial" w:eastAsia="Arial" w:hAnsi="Arial"/>
                <w:sz w:val="20"/>
                <w:szCs w:val="20"/>
                <w:color w:val="0000FF"/>
                <w:w w:val="90"/>
              </w:rPr>
            </w:pPr>
            <w:hyperlink r:id="rId92">
              <w:r>
                <w:rPr>
                  <w:rFonts w:ascii="Arial" w:cs="Arial" w:eastAsia="Arial" w:hAnsi="Arial"/>
                  <w:sz w:val="20"/>
                  <w:szCs w:val="20"/>
                  <w:color w:val="0000FF"/>
                  <w:w w:val="90"/>
                </w:rPr>
                <w:t>2023, by and among Evergy, Inc., Evergy Metro, Inc., Evergy Missouri West, Inc.,</w:t>
              </w:r>
            </w:hyperlink>
          </w:p>
        </w:tc>
        <w:tc>
          <w:tcPr>
            <w:tcW w:w="2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40" w:type="dxa"/>
            <w:vAlign w:val="bottom"/>
            <w:tcBorders>
              <w:top w:val="single" w:sz="8" w:color="0000FF"/>
            </w:tcBorders>
            <w:gridSpan w:val="9"/>
          </w:tcPr>
          <w:p>
            <w:pPr>
              <w:spacing w:after="0" w:line="183" w:lineRule="exact"/>
              <w:rPr>
                <w:rFonts w:ascii="Arial" w:cs="Arial" w:eastAsia="Arial" w:hAnsi="Arial"/>
                <w:sz w:val="20"/>
                <w:szCs w:val="20"/>
                <w:color w:val="0000FF"/>
                <w:w w:val="97"/>
              </w:rPr>
            </w:pPr>
            <w:hyperlink r:id="rId92">
              <w:r>
                <w:rPr>
                  <w:rFonts w:ascii="Arial" w:cs="Arial" w:eastAsia="Arial" w:hAnsi="Arial"/>
                  <w:sz w:val="20"/>
                  <w:szCs w:val="20"/>
                  <w:color w:val="0000FF"/>
                  <w:w w:val="97"/>
                </w:rPr>
                <w:t>and Evergy Kansas Central, Inc., as Borrowers, Wells Fargo Bank, National</w:t>
              </w:r>
            </w:hyperlink>
          </w:p>
        </w:tc>
        <w:tc>
          <w:tcPr>
            <w:tcW w:w="20" w:type="dxa"/>
            <w:vAlign w:val="bottom"/>
          </w:tcPr>
          <w:p>
            <w:pPr>
              <w:spacing w:after="0"/>
              <w:rPr>
                <w:sz w:val="15"/>
                <w:szCs w:val="15"/>
                <w:color w:val="auto"/>
              </w:rPr>
            </w:pPr>
          </w:p>
        </w:tc>
        <w:tc>
          <w:tcPr>
            <w:tcW w:w="2240" w:type="dxa"/>
            <w:vAlign w:val="bottom"/>
            <w:gridSpan w:val="3"/>
          </w:tcPr>
          <w:p>
            <w:pPr>
              <w:ind w:left="420"/>
              <w:spacing w:after="0" w:line="183" w:lineRule="exact"/>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0" w:type="dxa"/>
            <w:vAlign w:val="bottom"/>
            <w:tcBorders>
              <w:top w:val="single" w:sz="8" w:color="0000FF"/>
              <w:bottom w:val="single" w:sz="8" w:color="0000FF"/>
            </w:tcBorders>
            <w:gridSpan w:val="7"/>
          </w:tcPr>
          <w:p>
            <w:pPr>
              <w:spacing w:after="0" w:line="183" w:lineRule="exact"/>
              <w:rPr>
                <w:rFonts w:ascii="Arial" w:cs="Arial" w:eastAsia="Arial" w:hAnsi="Arial"/>
                <w:sz w:val="20"/>
                <w:szCs w:val="20"/>
                <w:color w:val="0000FF"/>
                <w:w w:val="90"/>
              </w:rPr>
            </w:pPr>
            <w:hyperlink r:id="rId92">
              <w:r>
                <w:rPr>
                  <w:rFonts w:ascii="Arial" w:cs="Arial" w:eastAsia="Arial" w:hAnsi="Arial"/>
                  <w:sz w:val="20"/>
                  <w:szCs w:val="20"/>
                  <w:color w:val="0000FF"/>
                  <w:w w:val="90"/>
                </w:rPr>
                <w:t>Association, as administrative agent, and the lenders party thereto. (Exhibit</w:t>
              </w:r>
            </w:hyperlink>
          </w:p>
        </w:tc>
        <w:tc>
          <w:tcPr>
            <w:tcW w:w="560" w:type="dxa"/>
            <w:vAlign w:val="bottom"/>
            <w:tcBorders>
              <w:bottom w:val="single" w:sz="8" w:color="0000FF"/>
            </w:tcBorders>
            <w:gridSpan w:val="3"/>
          </w:tcPr>
          <w:p>
            <w:pPr>
              <w:ind w:left="20"/>
              <w:spacing w:after="0" w:line="183" w:lineRule="exact"/>
              <w:rPr>
                <w:rFonts w:ascii="Arial" w:cs="Arial" w:eastAsia="Arial" w:hAnsi="Arial"/>
                <w:sz w:val="20"/>
                <w:szCs w:val="20"/>
                <w:color w:val="0000FF"/>
                <w:w w:val="84"/>
              </w:rPr>
            </w:pPr>
            <w:hyperlink r:id="rId92">
              <w:r>
                <w:rPr>
                  <w:rFonts w:ascii="Arial" w:cs="Arial" w:eastAsia="Arial" w:hAnsi="Arial"/>
                  <w:sz w:val="20"/>
                  <w:szCs w:val="20"/>
                  <w:color w:val="0000FF"/>
                  <w:w w:val="84"/>
                </w:rPr>
                <w:t>10.1 to</w:t>
              </w:r>
            </w:hyperlink>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60" w:type="dxa"/>
            <w:vAlign w:val="bottom"/>
            <w:gridSpan w:val="10"/>
          </w:tcPr>
          <w:p>
            <w:pPr>
              <w:spacing w:after="0" w:line="169" w:lineRule="exact"/>
              <w:rPr>
                <w:rFonts w:ascii="Arial" w:cs="Arial" w:eastAsia="Arial" w:hAnsi="Arial"/>
                <w:sz w:val="19"/>
                <w:szCs w:val="19"/>
                <w:color w:val="0000FF"/>
                <w:w w:val="96"/>
              </w:rPr>
            </w:pPr>
            <w:hyperlink r:id="rId92">
              <w:r>
                <w:rPr>
                  <w:rFonts w:ascii="Arial" w:cs="Arial" w:eastAsia="Arial" w:hAnsi="Arial"/>
                  <w:sz w:val="19"/>
                  <w:szCs w:val="19"/>
                  <w:color w:val="0000FF"/>
                  <w:w w:val="96"/>
                </w:rPr>
                <w:t>Evergy's, Evergy Metro's and Evergy Kansas Central's Form 8-K filed on June 2,</w:t>
              </w:r>
            </w:hyperlink>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88"/>
              </w:rPr>
            </w:pPr>
            <w:hyperlink r:id="rId92">
              <w:r>
                <w:rPr>
                  <w:rFonts w:ascii="Arial" w:cs="Arial" w:eastAsia="Arial" w:hAnsi="Arial"/>
                  <w:sz w:val="20"/>
                  <w:szCs w:val="20"/>
                  <w:color w:val="0000FF"/>
                  <w:w w:val="88"/>
                </w:rPr>
                <w:t>2023).</w:t>
              </w:r>
            </w:hyperlink>
          </w:p>
        </w:tc>
        <w:tc>
          <w:tcPr>
            <w:tcW w:w="17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31.1</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0000FF"/>
              </w:rPr>
              <w:t>Rule 13a-14(a)/15d-14(a) Certification of David A. Campbell.</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31.2</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31.3</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tcBorders>
              <w:top w:val="single" w:sz="8" w:color="0000FF"/>
            </w:tcBorders>
            <w:gridSpan w:val="6"/>
          </w:tcPr>
          <w:p>
            <w:pPr>
              <w:spacing w:after="0"/>
              <w:rPr>
                <w:sz w:val="20"/>
                <w:szCs w:val="20"/>
                <w:color w:val="auto"/>
              </w:rPr>
            </w:pPr>
            <w:r>
              <w:rPr>
                <w:rFonts w:ascii="Arial" w:cs="Arial" w:eastAsia="Arial" w:hAnsi="Arial"/>
                <w:sz w:val="20"/>
                <w:szCs w:val="20"/>
                <w:color w:val="0000FF"/>
                <w:w w:val="94"/>
              </w:rPr>
              <w:t>Rule 13a-14(a)/15d-14(a) Certification of David A. Campbell.</w:t>
            </w:r>
          </w:p>
        </w:tc>
        <w:tc>
          <w:tcPr>
            <w:tcW w:w="1480" w:type="dxa"/>
            <w:vAlign w:val="bottom"/>
            <w:gridSpan w:val="4"/>
          </w:tcPr>
          <w:p>
            <w:pPr>
              <w:spacing w:after="0"/>
              <w:rPr>
                <w:sz w:val="24"/>
                <w:szCs w:val="24"/>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31.4</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31.5</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tcBorders>
              <w:top w:val="single" w:sz="8" w:color="0000FF"/>
            </w:tcBorders>
            <w:gridSpan w:val="6"/>
          </w:tcPr>
          <w:p>
            <w:pPr>
              <w:spacing w:after="0"/>
              <w:rPr>
                <w:sz w:val="20"/>
                <w:szCs w:val="20"/>
                <w:color w:val="auto"/>
              </w:rPr>
            </w:pPr>
            <w:r>
              <w:rPr>
                <w:rFonts w:ascii="Arial" w:cs="Arial" w:eastAsia="Arial" w:hAnsi="Arial"/>
                <w:sz w:val="20"/>
                <w:szCs w:val="20"/>
                <w:color w:val="0000FF"/>
                <w:w w:val="94"/>
              </w:rPr>
              <w:t>Rule 13a-14(a)/15d-14(a) Certification of David A. Campbell.</w:t>
            </w:r>
          </w:p>
        </w:tc>
        <w:tc>
          <w:tcPr>
            <w:tcW w:w="1480" w:type="dxa"/>
            <w:vAlign w:val="bottom"/>
            <w:gridSpan w:val="4"/>
          </w:tcPr>
          <w:p>
            <w:pPr>
              <w:spacing w:after="0"/>
              <w:rPr>
                <w:sz w:val="24"/>
                <w:szCs w:val="24"/>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31.6</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32.1</w:t>
            </w:r>
          </w:p>
        </w:tc>
        <w:tc>
          <w:tcPr>
            <w:tcW w:w="940" w:type="dxa"/>
            <w:vAlign w:val="bottom"/>
            <w:gridSpan w:val="2"/>
          </w:tcPr>
          <w:p>
            <w:pPr>
              <w:jc w:val="center"/>
              <w:ind w:left="201"/>
              <w:spacing w:after="0"/>
              <w:rPr>
                <w:sz w:val="20"/>
                <w:szCs w:val="20"/>
                <w:color w:val="auto"/>
              </w:rPr>
            </w:pPr>
            <w:r>
              <w:rPr>
                <w:rFonts w:ascii="Arial" w:cs="Arial" w:eastAsia="Arial" w:hAnsi="Arial"/>
                <w:sz w:val="20"/>
                <w:szCs w:val="20"/>
                <w:color w:val="auto"/>
              </w:rPr>
              <w:t>**</w:t>
            </w:r>
          </w:p>
        </w:tc>
        <w:tc>
          <w:tcPr>
            <w:tcW w:w="22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w w:val="90"/>
              </w:rPr>
              <w:t>Section 1350 Certifications.</w:t>
            </w:r>
          </w:p>
        </w:tc>
        <w:tc>
          <w:tcPr>
            <w:tcW w:w="2860" w:type="dxa"/>
            <w:vAlign w:val="bottom"/>
            <w:tcBorders>
              <w:top w:val="single" w:sz="8" w:color="0000FF"/>
            </w:tcBorders>
            <w:gridSpan w:val="4"/>
          </w:tcPr>
          <w:p>
            <w:pPr>
              <w:spacing w:after="0"/>
              <w:rPr>
                <w:sz w:val="24"/>
                <w:szCs w:val="24"/>
                <w:color w:val="auto"/>
              </w:rPr>
            </w:pPr>
          </w:p>
        </w:tc>
        <w:tc>
          <w:tcPr>
            <w:tcW w:w="1480" w:type="dxa"/>
            <w:vAlign w:val="bottom"/>
            <w:gridSpan w:val="4"/>
          </w:tcPr>
          <w:p>
            <w:pPr>
              <w:spacing w:after="0"/>
              <w:rPr>
                <w:sz w:val="24"/>
                <w:szCs w:val="24"/>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32.2</w:t>
            </w:r>
          </w:p>
        </w:tc>
        <w:tc>
          <w:tcPr>
            <w:tcW w:w="940" w:type="dxa"/>
            <w:vAlign w:val="bottom"/>
            <w:gridSpan w:val="2"/>
          </w:tcPr>
          <w:p>
            <w:pPr>
              <w:jc w:val="center"/>
              <w:ind w:left="201"/>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0"/>
              </w:rPr>
              <w:t>Section 1350 Certifications.</w:t>
            </w:r>
          </w:p>
        </w:tc>
        <w:tc>
          <w:tcPr>
            <w:tcW w:w="4340" w:type="dxa"/>
            <w:vAlign w:val="bottom"/>
            <w:gridSpan w:val="8"/>
          </w:tcPr>
          <w:p>
            <w:pPr>
              <w:spacing w:after="0"/>
              <w:rPr>
                <w:sz w:val="24"/>
                <w:szCs w:val="24"/>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32.3</w:t>
            </w:r>
          </w:p>
        </w:tc>
        <w:tc>
          <w:tcPr>
            <w:tcW w:w="940" w:type="dxa"/>
            <w:vAlign w:val="bottom"/>
            <w:gridSpan w:val="2"/>
          </w:tcPr>
          <w:p>
            <w:pPr>
              <w:jc w:val="center"/>
              <w:ind w:left="201"/>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0"/>
              </w:rPr>
              <w:t>Section 1350 Certifications.</w:t>
            </w:r>
          </w:p>
        </w:tc>
        <w:tc>
          <w:tcPr>
            <w:tcW w:w="4340" w:type="dxa"/>
            <w:vAlign w:val="bottom"/>
            <w:gridSpan w:val="8"/>
          </w:tcPr>
          <w:p>
            <w:pPr>
              <w:spacing w:after="0"/>
              <w:rPr>
                <w:sz w:val="24"/>
                <w:szCs w:val="24"/>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62"/>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101.INS</w:t>
            </w:r>
          </w:p>
        </w:tc>
        <w:tc>
          <w:tcPr>
            <w:tcW w:w="940" w:type="dxa"/>
            <w:vAlign w:val="bottom"/>
            <w:gridSpan w:val="2"/>
          </w:tcPr>
          <w:p>
            <w:pPr>
              <w:jc w:val="center"/>
              <w:ind w:left="181"/>
              <w:spacing w:after="0"/>
              <w:rPr>
                <w:sz w:val="20"/>
                <w:szCs w:val="20"/>
                <w:color w:val="auto"/>
              </w:rPr>
            </w:pPr>
            <w:r>
              <w:rPr>
                <w:rFonts w:ascii="Arial" w:cs="Arial" w:eastAsia="Arial" w:hAnsi="Arial"/>
                <w:sz w:val="20"/>
                <w:szCs w:val="20"/>
                <w:color w:val="auto"/>
              </w:rPr>
              <w:t>***</w:t>
            </w:r>
          </w:p>
        </w:tc>
        <w:tc>
          <w:tcPr>
            <w:tcW w:w="6560" w:type="dxa"/>
            <w:vAlign w:val="bottom"/>
            <w:gridSpan w:val="10"/>
          </w:tcPr>
          <w:p>
            <w:pPr>
              <w:spacing w:after="0"/>
              <w:rPr>
                <w:sz w:val="20"/>
                <w:szCs w:val="20"/>
                <w:color w:val="auto"/>
              </w:rPr>
            </w:pPr>
            <w:r>
              <w:rPr>
                <w:rFonts w:ascii="Arial" w:cs="Arial" w:eastAsia="Arial" w:hAnsi="Arial"/>
                <w:sz w:val="20"/>
                <w:szCs w:val="20"/>
                <w:color w:val="auto"/>
              </w:rPr>
              <w:t>XBRL Instance Document.</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90"/>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101.SCH</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auto"/>
              </w:rPr>
              <w:t>Inline XBRL Taxonomy Extension Schema Document.</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gridSpan w:val="3"/>
          </w:tcPr>
          <w:p>
            <w:pPr>
              <w:ind w:left="420"/>
              <w:spacing w:after="0" w:line="203"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0"/>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101.CAL</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3"/>
          </w:tcPr>
          <w:p>
            <w:pPr>
              <w:ind w:left="420"/>
              <w:spacing w:after="0" w:line="192"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0"/>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101.DEF</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gridSpan w:val="3"/>
          </w:tcPr>
          <w:p>
            <w:pPr>
              <w:ind w:left="42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0"/>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101.LAB</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auto"/>
              </w:rPr>
              <w:t>Inline XBRL Taxonomy Extension Labels Linkbase Document.</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3"/>
          </w:tcPr>
          <w:p>
            <w:pPr>
              <w:ind w:left="420"/>
              <w:spacing w:after="0" w:line="192"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0"/>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101.PRE</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gridSpan w:val="3"/>
          </w:tcPr>
          <w:p>
            <w:pPr>
              <w:ind w:left="42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0"/>
        </w:trPr>
        <w:tc>
          <w:tcPr>
            <w:tcW w:w="92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10"/>
          </w:tcPr>
          <w:p>
            <w:pPr>
              <w:spacing w:after="0"/>
              <w:rPr>
                <w:sz w:val="20"/>
                <w:szCs w:val="20"/>
                <w:color w:val="auto"/>
              </w:rPr>
            </w:pPr>
            <w:r>
              <w:rPr>
                <w:rFonts w:ascii="Arial" w:cs="Arial" w:eastAsia="Arial" w:hAnsi="Arial"/>
                <w:sz w:val="20"/>
                <w:szCs w:val="20"/>
                <w:color w:val="auto"/>
                <w:w w:val="93"/>
              </w:rPr>
              <w:t>Cover Page Interactive Data File (embedded within the Inline XBRL document).</w:t>
            </w: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gridSpan w:val="3"/>
          </w:tcPr>
          <w:p>
            <w:pPr>
              <w:ind w:left="420"/>
              <w:spacing w:after="0" w:line="203"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3"/>
          </w:tcPr>
          <w:p>
            <w:pPr>
              <w:ind w:left="42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firstLine="8"/>
        <w:spacing w:after="0" w:line="257" w:lineRule="auto"/>
        <w:tabs>
          <w:tab w:leader="none" w:pos="1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12" w:lineRule="exact"/>
        <w:rPr>
          <w:sz w:val="20"/>
          <w:szCs w:val="20"/>
          <w:color w:val="auto"/>
        </w:rPr>
      </w:pPr>
    </w:p>
    <w:p>
      <w:pPr>
        <w:ind w:firstLine="8"/>
        <w:spacing w:after="0" w:line="274" w:lineRule="auto"/>
        <w:tabs>
          <w:tab w:leader="none" w:pos="247" w:val="left"/>
        </w:tabs>
        <w:numPr>
          <w:ilvl w:val="0"/>
          <w:numId w:val="40"/>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 w:right="559" w:bottom="1440" w:gutter="0" w:footer="0" w:header="0"/>
        </w:sectPr>
      </w:pPr>
    </w:p>
    <w:bookmarkStart w:id="77" w:name="page78"/>
    <w:bookmarkEnd w:id="7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Act or the Securities Act of 1933, as amended, unless otherwise indicated in such registration statement or other document.</w:t>
      </w:r>
    </w:p>
    <w:p>
      <w:pPr>
        <w:spacing w:after="0" w:line="148" w:lineRule="exact"/>
        <w:rPr>
          <w:sz w:val="20"/>
          <w:szCs w:val="20"/>
          <w:color w:val="auto"/>
        </w:rPr>
      </w:pPr>
    </w:p>
    <w:p>
      <w:pPr>
        <w:ind w:right="540" w:firstLine="8"/>
        <w:spacing w:after="0" w:line="274" w:lineRule="auto"/>
        <w:tabs>
          <w:tab w:leader="none" w:pos="343"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 Indicates management contract or compensatory plan or arrangement.</w:t>
      </w:r>
    </w:p>
    <w:p>
      <w:pPr>
        <w:spacing w:after="0" w:line="148"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Evergy Kansas Central or Evergy Metro, as applicable, upon written request.</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8"/>
          <w:szCs w:val="18"/>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78" w:name="page79"/>
    <w:bookmarkEnd w:id="7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b w:val="1"/>
                <w:bCs w:val="1"/>
                <w:color w:val="auto"/>
              </w:rPr>
              <w:t>EVERGY, INC.</w:t>
            </w:r>
          </w:p>
        </w:tc>
      </w:tr>
      <w:tr>
        <w:trPr>
          <w:trHeight w:val="455"/>
        </w:trPr>
        <w:tc>
          <w:tcPr>
            <w:tcW w:w="720" w:type="dxa"/>
            <w:vAlign w:val="bottom"/>
          </w:tcPr>
          <w:p>
            <w:pPr>
              <w:spacing w:after="0"/>
              <w:rPr>
                <w:sz w:val="20"/>
                <w:szCs w:val="20"/>
                <w:color w:val="auto"/>
              </w:rPr>
            </w:pPr>
            <w:r>
              <w:rPr>
                <w:rFonts w:ascii="Arial" w:cs="Arial" w:eastAsia="Arial" w:hAnsi="Arial"/>
                <w:sz w:val="20"/>
                <w:szCs w:val="20"/>
                <w:color w:val="auto"/>
              </w:rPr>
              <w:t>Dated:</w:t>
            </w:r>
          </w:p>
        </w:tc>
        <w:tc>
          <w:tcPr>
            <w:tcW w:w="2360" w:type="dxa"/>
            <w:vAlign w:val="bottom"/>
          </w:tcPr>
          <w:p>
            <w:pPr>
              <w:ind w:left="180"/>
              <w:spacing w:after="0"/>
              <w:rPr>
                <w:sz w:val="20"/>
                <w:szCs w:val="20"/>
                <w:color w:val="auto"/>
              </w:rPr>
            </w:pPr>
            <w:r>
              <w:rPr>
                <w:rFonts w:ascii="Arial" w:cs="Arial" w:eastAsia="Arial" w:hAnsi="Arial"/>
                <w:sz w:val="20"/>
                <w:szCs w:val="20"/>
                <w:color w:val="auto"/>
              </w:rPr>
              <w:t>August 3, 2023</w:t>
            </w: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By: /s/ Kirkland B. Andrews</w:t>
            </w:r>
          </w:p>
        </w:tc>
      </w:tr>
      <w:tr>
        <w:trPr>
          <w:trHeight w:val="20"/>
        </w:trPr>
        <w:tc>
          <w:tcPr>
            <w:tcW w:w="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74"/>
        </w:trPr>
        <w:tc>
          <w:tcPr>
            <w:tcW w:w="7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(Kirkland B. Andrews)</w:t>
            </w:r>
          </w:p>
        </w:tc>
      </w:tr>
      <w:tr>
        <w:trPr>
          <w:trHeight w:val="250"/>
        </w:trPr>
        <w:tc>
          <w:tcPr>
            <w:tcW w:w="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w w:val="90"/>
              </w:rPr>
              <w:t>(Executive Vice President and Chief Financial Officer)</w:t>
            </w:r>
          </w:p>
        </w:tc>
      </w:tr>
    </w:tbl>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b w:val="1"/>
                <w:bCs w:val="1"/>
                <w:color w:val="auto"/>
              </w:rPr>
              <w:t>EVERGY KANSAS CENTRAL, INC.</w:t>
            </w:r>
          </w:p>
        </w:tc>
      </w:tr>
      <w:tr>
        <w:trPr>
          <w:trHeight w:val="455"/>
        </w:trPr>
        <w:tc>
          <w:tcPr>
            <w:tcW w:w="740" w:type="dxa"/>
            <w:vAlign w:val="bottom"/>
          </w:tcPr>
          <w:p>
            <w:pPr>
              <w:spacing w:after="0"/>
              <w:rPr>
                <w:sz w:val="20"/>
                <w:szCs w:val="20"/>
                <w:color w:val="auto"/>
              </w:rPr>
            </w:pPr>
            <w:r>
              <w:rPr>
                <w:rFonts w:ascii="Arial" w:cs="Arial" w:eastAsia="Arial" w:hAnsi="Arial"/>
                <w:sz w:val="20"/>
                <w:szCs w:val="20"/>
                <w:color w:val="auto"/>
              </w:rPr>
              <w:t>Dated:</w:t>
            </w:r>
          </w:p>
        </w:tc>
        <w:tc>
          <w:tcPr>
            <w:tcW w:w="2380" w:type="dxa"/>
            <w:vAlign w:val="bottom"/>
          </w:tcPr>
          <w:p>
            <w:pPr>
              <w:ind w:left="180"/>
              <w:spacing w:after="0"/>
              <w:rPr>
                <w:sz w:val="20"/>
                <w:szCs w:val="20"/>
                <w:color w:val="auto"/>
              </w:rPr>
            </w:pPr>
            <w:r>
              <w:rPr>
                <w:rFonts w:ascii="Arial" w:cs="Arial" w:eastAsia="Arial" w:hAnsi="Arial"/>
                <w:sz w:val="20"/>
                <w:szCs w:val="20"/>
                <w:color w:val="auto"/>
              </w:rPr>
              <w:t>August 3, 2023</w:t>
            </w: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By: /s/ Kirkland B. Andrews</w:t>
            </w:r>
          </w:p>
        </w:tc>
      </w:tr>
      <w:tr>
        <w:trPr>
          <w:trHeight w:val="20"/>
        </w:trPr>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4"/>
        </w:trPr>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(Kirkland B. Andrews)</w:t>
            </w:r>
          </w:p>
        </w:tc>
      </w:tr>
      <w:tr>
        <w:trPr>
          <w:trHeight w:val="250"/>
        </w:trPr>
        <w:tc>
          <w:tcPr>
            <w:tcW w:w="7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w w:val="90"/>
              </w:rPr>
              <w:t>(Executive Vice President and Chief Financial Officer)</w:t>
            </w:r>
          </w:p>
        </w:tc>
      </w:tr>
    </w:tbl>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b w:val="1"/>
                <w:bCs w:val="1"/>
                <w:color w:val="auto"/>
              </w:rPr>
              <w:t>EVERGY METRO, INC.</w:t>
            </w:r>
          </w:p>
        </w:tc>
      </w:tr>
      <w:tr>
        <w:trPr>
          <w:trHeight w:val="455"/>
        </w:trPr>
        <w:tc>
          <w:tcPr>
            <w:tcW w:w="740" w:type="dxa"/>
            <w:vAlign w:val="bottom"/>
          </w:tcPr>
          <w:p>
            <w:pPr>
              <w:spacing w:after="0"/>
              <w:rPr>
                <w:sz w:val="20"/>
                <w:szCs w:val="20"/>
                <w:color w:val="auto"/>
              </w:rPr>
            </w:pPr>
            <w:r>
              <w:rPr>
                <w:rFonts w:ascii="Arial" w:cs="Arial" w:eastAsia="Arial" w:hAnsi="Arial"/>
                <w:sz w:val="20"/>
                <w:szCs w:val="20"/>
                <w:color w:val="auto"/>
              </w:rPr>
              <w:t>Dated:</w:t>
            </w:r>
          </w:p>
        </w:tc>
        <w:tc>
          <w:tcPr>
            <w:tcW w:w="2380" w:type="dxa"/>
            <w:vAlign w:val="bottom"/>
          </w:tcPr>
          <w:p>
            <w:pPr>
              <w:ind w:left="180"/>
              <w:spacing w:after="0"/>
              <w:rPr>
                <w:sz w:val="20"/>
                <w:szCs w:val="20"/>
                <w:color w:val="auto"/>
              </w:rPr>
            </w:pPr>
            <w:r>
              <w:rPr>
                <w:rFonts w:ascii="Arial" w:cs="Arial" w:eastAsia="Arial" w:hAnsi="Arial"/>
                <w:sz w:val="20"/>
                <w:szCs w:val="20"/>
                <w:color w:val="auto"/>
              </w:rPr>
              <w:t>August 3, 2023</w:t>
            </w: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By: /s/ Kirkland B. Andrews</w:t>
            </w:r>
          </w:p>
        </w:tc>
      </w:tr>
      <w:tr>
        <w:trPr>
          <w:trHeight w:val="20"/>
        </w:trPr>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4"/>
        </w:trPr>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(Kirkland B. Andrews)</w:t>
            </w:r>
          </w:p>
        </w:tc>
      </w:tr>
      <w:tr>
        <w:trPr>
          <w:trHeight w:val="250"/>
        </w:trPr>
        <w:tc>
          <w:tcPr>
            <w:tcW w:w="7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w w:val="90"/>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121" w:right="4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40" w:hanging="652"/>
        <w:spacing w:after="0" w:line="263" w:lineRule="auto"/>
        <w:tabs>
          <w:tab w:leader="none" w:pos="3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3" w:lineRule="auto"/>
        <w:tabs>
          <w:tab w:leader="none" w:pos="104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652"/>
        <w:spacing w:after="0" w:line="308" w:lineRule="auto"/>
        <w:tabs>
          <w:tab w:leader="none" w:pos="32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20" w:hanging="644"/>
        <w:spacing w:after="0" w:line="342" w:lineRule="auto"/>
        <w:tabs>
          <w:tab w:leader="none" w:pos="103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04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20"/>
              <w:spacing w:after="0"/>
              <w:rPr>
                <w:sz w:val="20"/>
                <w:szCs w:val="20"/>
                <w:color w:val="auto"/>
              </w:rPr>
            </w:pPr>
            <w:r>
              <w:rPr>
                <w:rFonts w:ascii="Arial" w:cs="Arial" w:eastAsia="Arial" w:hAnsi="Arial"/>
                <w:sz w:val="18"/>
                <w:szCs w:val="18"/>
                <w:color w:val="auto"/>
              </w:rPr>
              <w:t>August 3, 2023</w:t>
            </w:r>
          </w:p>
        </w:tc>
        <w:tc>
          <w:tcPr>
            <w:tcW w:w="2740" w:type="dxa"/>
            <w:vAlign w:val="bottom"/>
            <w:gridSpan w:val="2"/>
          </w:tcPr>
          <w:p>
            <w:pPr>
              <w:spacing w:after="0"/>
              <w:rPr>
                <w:sz w:val="20"/>
                <w:szCs w:val="20"/>
                <w:color w:val="auto"/>
              </w:rPr>
            </w:pPr>
            <w:r>
              <w:rPr>
                <w:rFonts w:ascii="Arial" w:cs="Arial" w:eastAsia="Arial" w:hAnsi="Arial"/>
                <w:sz w:val="18"/>
                <w:szCs w:val="18"/>
                <w:color w:val="auto"/>
              </w:rPr>
              <w:t>/s/ David A. Campbell</w:t>
            </w:r>
          </w:p>
        </w:tc>
      </w:tr>
      <w:tr>
        <w:trPr>
          <w:trHeight w:val="209"/>
        </w:trPr>
        <w:tc>
          <w:tcPr>
            <w:tcW w:w="6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Campbell</w:t>
            </w:r>
          </w:p>
        </w:tc>
        <w:tc>
          <w:tcPr>
            <w:tcW w:w="11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4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20"/>
              <w:spacing w:after="0"/>
              <w:rPr>
                <w:sz w:val="20"/>
                <w:szCs w:val="20"/>
                <w:color w:val="auto"/>
              </w:rPr>
            </w:pPr>
            <w:r>
              <w:rPr>
                <w:rFonts w:ascii="Arial" w:cs="Arial" w:eastAsia="Arial" w:hAnsi="Arial"/>
                <w:sz w:val="18"/>
                <w:szCs w:val="18"/>
                <w:color w:val="auto"/>
              </w:rPr>
              <w:t>August 3, 2023</w:t>
            </w:r>
          </w:p>
        </w:tc>
        <w:tc>
          <w:tcPr>
            <w:tcW w:w="2100" w:type="dxa"/>
            <w:vAlign w:val="bottom"/>
            <w:gridSpan w:val="2"/>
          </w:tcPr>
          <w:p>
            <w:pPr>
              <w:spacing w:after="0"/>
              <w:rPr>
                <w:sz w:val="20"/>
                <w:szCs w:val="20"/>
                <w:color w:val="auto"/>
              </w:rPr>
            </w:pPr>
            <w:r>
              <w:rPr>
                <w:rFonts w:ascii="Arial" w:cs="Arial" w:eastAsia="Arial" w:hAnsi="Arial"/>
                <w:sz w:val="18"/>
                <w:szCs w:val="18"/>
                <w:color w:val="auto"/>
              </w:rPr>
              <w:t>/s/ Kirkland B. Andrews</w:t>
            </w:r>
          </w:p>
        </w:tc>
      </w:tr>
      <w:tr>
        <w:trPr>
          <w:trHeight w:val="209"/>
        </w:trPr>
        <w:tc>
          <w:tcPr>
            <w:tcW w:w="6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Kirkland B. Andrews</w:t>
            </w:r>
          </w:p>
        </w:tc>
        <w:tc>
          <w:tcPr>
            <w:tcW w:w="360" w:type="dxa"/>
            <w:vAlign w:val="bottom"/>
          </w:tcPr>
          <w:p>
            <w:pPr>
              <w:spacing w:after="0"/>
              <w:rPr>
                <w:sz w:val="18"/>
                <w:szCs w:val="18"/>
                <w:color w:val="auto"/>
              </w:rPr>
            </w:pPr>
          </w:p>
        </w:tc>
      </w:tr>
      <w:tr>
        <w:trPr>
          <w:trHeight w:val="176"/>
        </w:trPr>
        <w:tc>
          <w:tcPr>
            <w:tcW w:w="6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4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tcPr>
          <w:p>
            <w:pPr>
              <w:ind w:left="180"/>
              <w:spacing w:after="0"/>
              <w:rPr>
                <w:sz w:val="20"/>
                <w:szCs w:val="20"/>
                <w:color w:val="auto"/>
              </w:rPr>
            </w:pPr>
            <w:r>
              <w:rPr>
                <w:rFonts w:ascii="Arial" w:cs="Arial" w:eastAsia="Arial" w:hAnsi="Arial"/>
                <w:sz w:val="18"/>
                <w:szCs w:val="18"/>
                <w:color w:val="auto"/>
              </w:rPr>
              <w:t>August 3, 2023</w:t>
            </w:r>
          </w:p>
        </w:tc>
        <w:tc>
          <w:tcPr>
            <w:tcW w:w="2740" w:type="dxa"/>
            <w:vAlign w:val="bottom"/>
            <w:gridSpan w:val="2"/>
          </w:tcPr>
          <w:p>
            <w:pPr>
              <w:spacing w:after="0"/>
              <w:rPr>
                <w:sz w:val="20"/>
                <w:szCs w:val="20"/>
                <w:color w:val="auto"/>
              </w:rPr>
            </w:pPr>
            <w:r>
              <w:rPr>
                <w:rFonts w:ascii="Arial" w:cs="Arial" w:eastAsia="Arial" w:hAnsi="Arial"/>
                <w:sz w:val="18"/>
                <w:szCs w:val="18"/>
                <w:color w:val="auto"/>
              </w:rPr>
              <w:t>/s/ David A. Campbell</w:t>
            </w:r>
          </w:p>
        </w:tc>
      </w:tr>
      <w:tr>
        <w:trPr>
          <w:trHeight w:val="209"/>
        </w:trPr>
        <w:tc>
          <w:tcPr>
            <w:tcW w:w="5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Campbell</w:t>
            </w:r>
          </w:p>
        </w:tc>
        <w:tc>
          <w:tcPr>
            <w:tcW w:w="11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4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880" w:type="dxa"/>
            <w:vAlign w:val="bottom"/>
          </w:tcPr>
          <w:p>
            <w:pPr>
              <w:ind w:left="220"/>
              <w:spacing w:after="0"/>
              <w:rPr>
                <w:sz w:val="20"/>
                <w:szCs w:val="20"/>
                <w:color w:val="auto"/>
              </w:rPr>
            </w:pPr>
            <w:r>
              <w:rPr>
                <w:rFonts w:ascii="Arial" w:cs="Arial" w:eastAsia="Arial" w:hAnsi="Arial"/>
                <w:sz w:val="18"/>
                <w:szCs w:val="18"/>
                <w:color w:val="auto"/>
              </w:rPr>
              <w:t>August 3, 2023</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6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Kirkland B. Andrews</w:t>
            </w:r>
          </w:p>
        </w:tc>
      </w:tr>
      <w:tr>
        <w:trPr>
          <w:trHeight w:val="176"/>
        </w:trPr>
        <w:tc>
          <w:tcPr>
            <w:tcW w:w="6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120" w:type="dxa"/>
            <w:vAlign w:val="bottom"/>
            <w:gridSpan w:val="2"/>
          </w:tcPr>
          <w:p>
            <w:pPr>
              <w:spacing w:after="0" w:line="176" w:lineRule="exact"/>
              <w:rPr>
                <w:sz w:val="20"/>
                <w:szCs w:val="20"/>
                <w:color w:val="auto"/>
              </w:rPr>
            </w:pPr>
            <w:r>
              <w:rPr>
                <w:rFonts w:ascii="Arial" w:cs="Arial" w:eastAsia="Arial" w:hAnsi="Arial"/>
                <w:sz w:val="18"/>
                <w:szCs w:val="18"/>
                <w:color w:val="auto"/>
                <w:w w:val="89"/>
              </w:rPr>
              <w:t>Executive Vice President and</w:t>
            </w:r>
          </w:p>
        </w:tc>
      </w:tr>
      <w:tr>
        <w:trPr>
          <w:trHeight w:val="230"/>
        </w:trPr>
        <w:tc>
          <w:tcPr>
            <w:tcW w:w="6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4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tcPr>
          <w:p>
            <w:pPr>
              <w:ind w:left="180"/>
              <w:spacing w:after="0"/>
              <w:rPr>
                <w:sz w:val="20"/>
                <w:szCs w:val="20"/>
                <w:color w:val="auto"/>
              </w:rPr>
            </w:pPr>
            <w:r>
              <w:rPr>
                <w:rFonts w:ascii="Arial" w:cs="Arial" w:eastAsia="Arial" w:hAnsi="Arial"/>
                <w:sz w:val="18"/>
                <w:szCs w:val="18"/>
                <w:color w:val="auto"/>
              </w:rPr>
              <w:t>August 3, 2023</w:t>
            </w:r>
          </w:p>
        </w:tc>
        <w:tc>
          <w:tcPr>
            <w:tcW w:w="2740" w:type="dxa"/>
            <w:vAlign w:val="bottom"/>
            <w:gridSpan w:val="2"/>
          </w:tcPr>
          <w:p>
            <w:pPr>
              <w:spacing w:after="0"/>
              <w:rPr>
                <w:sz w:val="20"/>
                <w:szCs w:val="20"/>
                <w:color w:val="auto"/>
              </w:rPr>
            </w:pPr>
            <w:r>
              <w:rPr>
                <w:rFonts w:ascii="Arial" w:cs="Arial" w:eastAsia="Arial" w:hAnsi="Arial"/>
                <w:sz w:val="18"/>
                <w:szCs w:val="18"/>
                <w:color w:val="auto"/>
              </w:rPr>
              <w:t>/s/ David A. Campbell</w:t>
            </w:r>
          </w:p>
        </w:tc>
      </w:tr>
      <w:tr>
        <w:trPr>
          <w:trHeight w:val="209"/>
        </w:trPr>
        <w:tc>
          <w:tcPr>
            <w:tcW w:w="5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Campbell</w:t>
            </w:r>
          </w:p>
        </w:tc>
        <w:tc>
          <w:tcPr>
            <w:tcW w:w="11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4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2"/>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3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571"/>
        <w:spacing w:after="0" w:line="342" w:lineRule="auto"/>
        <w:tabs>
          <w:tab w:leader="none" w:pos="6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2"/>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3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880" w:type="dxa"/>
            <w:vAlign w:val="bottom"/>
          </w:tcPr>
          <w:p>
            <w:pPr>
              <w:ind w:left="220"/>
              <w:spacing w:after="0"/>
              <w:rPr>
                <w:sz w:val="20"/>
                <w:szCs w:val="20"/>
                <w:color w:val="auto"/>
              </w:rPr>
            </w:pPr>
            <w:r>
              <w:rPr>
                <w:rFonts w:ascii="Arial" w:cs="Arial" w:eastAsia="Arial" w:hAnsi="Arial"/>
                <w:sz w:val="18"/>
                <w:szCs w:val="18"/>
                <w:color w:val="auto"/>
              </w:rPr>
              <w:t>August 3, 2023</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6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Kirkland B. Andrews</w:t>
            </w:r>
          </w:p>
        </w:tc>
      </w:tr>
      <w:tr>
        <w:trPr>
          <w:trHeight w:val="176"/>
        </w:trPr>
        <w:tc>
          <w:tcPr>
            <w:tcW w:w="6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120" w:type="dxa"/>
            <w:vAlign w:val="bottom"/>
            <w:gridSpan w:val="2"/>
          </w:tcPr>
          <w:p>
            <w:pPr>
              <w:spacing w:after="0" w:line="176" w:lineRule="exact"/>
              <w:rPr>
                <w:sz w:val="20"/>
                <w:szCs w:val="20"/>
                <w:color w:val="auto"/>
              </w:rPr>
            </w:pPr>
            <w:r>
              <w:rPr>
                <w:rFonts w:ascii="Arial" w:cs="Arial" w:eastAsia="Arial" w:hAnsi="Arial"/>
                <w:sz w:val="18"/>
                <w:szCs w:val="18"/>
                <w:color w:val="auto"/>
                <w:w w:val="89"/>
              </w:rPr>
              <w:t>Executive Vice President and</w:t>
            </w:r>
          </w:p>
        </w:tc>
      </w:tr>
      <w:tr>
        <w:trPr>
          <w:trHeight w:val="230"/>
        </w:trPr>
        <w:tc>
          <w:tcPr>
            <w:tcW w:w="6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June 30, 2023,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820" w:hanging="488"/>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760" w:hanging="488"/>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/s/ David A. Campbell</w:t>
            </w: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Name:</w:t>
            </w: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Campbell</w:t>
            </w:r>
          </w:p>
        </w:tc>
        <w:tc>
          <w:tcPr>
            <w:tcW w:w="2220" w:type="dxa"/>
            <w:vAlign w:val="bottom"/>
            <w:gridSpan w:val="2"/>
          </w:tcPr>
          <w:p>
            <w:pPr>
              <w:spacing w:after="0"/>
              <w:rPr>
                <w:sz w:val="18"/>
                <w:szCs w:val="18"/>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gridSpan w:val="3"/>
          </w:tcPr>
          <w:p>
            <w:pPr>
              <w:spacing w:after="0"/>
              <w:rPr>
                <w:sz w:val="20"/>
                <w:szCs w:val="20"/>
                <w:color w:val="auto"/>
              </w:rPr>
            </w:pPr>
            <w:r>
              <w:rPr>
                <w:rFonts w:ascii="Arial" w:cs="Arial" w:eastAsia="Arial" w:hAnsi="Arial"/>
                <w:sz w:val="18"/>
                <w:szCs w:val="18"/>
                <w:color w:val="auto"/>
              </w:rPr>
              <w:t>August 3, 2023</w:t>
            </w:r>
          </w:p>
        </w:tc>
      </w:tr>
      <w:tr>
        <w:trPr>
          <w:trHeight w:val="432"/>
        </w:trPr>
        <w:tc>
          <w:tcPr>
            <w:tcW w:w="1480" w:type="dxa"/>
            <w:vAlign w:val="bottom"/>
          </w:tcPr>
          <w:p>
            <w:pPr>
              <w:spacing w:after="0"/>
              <w:rPr>
                <w:sz w:val="24"/>
                <w:szCs w:val="24"/>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/s/ Kirkland B. Andrews</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17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Kirkland B. Andrews</w:t>
            </w:r>
          </w:p>
        </w:tc>
        <w:tc>
          <w:tcPr>
            <w:tcW w:w="2080" w:type="dxa"/>
            <w:vAlign w:val="bottom"/>
          </w:tcPr>
          <w:p>
            <w:pPr>
              <w:spacing w:after="0"/>
              <w:rPr>
                <w:sz w:val="17"/>
                <w:szCs w:val="17"/>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gridSpan w:val="3"/>
          </w:tcPr>
          <w:p>
            <w:pPr>
              <w:spacing w:after="0"/>
              <w:rPr>
                <w:sz w:val="20"/>
                <w:szCs w:val="20"/>
                <w:color w:val="auto"/>
              </w:rPr>
            </w:pPr>
            <w:r>
              <w:rPr>
                <w:rFonts w:ascii="Arial" w:cs="Arial" w:eastAsia="Arial" w:hAnsi="Arial"/>
                <w:sz w:val="18"/>
                <w:szCs w:val="18"/>
                <w:color w:val="auto"/>
              </w:rPr>
              <w:t>August 3, 2023</w:t>
            </w:r>
          </w:p>
        </w:tc>
      </w:tr>
    </w:tbl>
    <w:p>
      <w:pPr>
        <w:sectPr>
          <w:pgSz w:w="11900" w:h="16838" w:orient="portrait"/>
          <w:cols w:equalWidth="0" w:num="1">
            <w:col w:w="11240"/>
          </w:cols>
          <w:pgMar w:left="320" w:top="89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on Form 10-Q of Evergy Metro, Inc. (the "Company") for the quarterly period ended June 30, 2023,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209"/>
        </w:trPr>
        <w:tc>
          <w:tcPr>
            <w:tcW w:w="152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David A. Campbell</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3, 2023</w:t>
            </w:r>
          </w:p>
        </w:tc>
      </w:tr>
      <w:tr>
        <w:trPr>
          <w:trHeight w:val="432"/>
        </w:trPr>
        <w:tc>
          <w:tcPr>
            <w:tcW w:w="15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2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52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3, 2023</w:t>
            </w:r>
          </w:p>
        </w:tc>
      </w:tr>
    </w:tbl>
    <w:p>
      <w:pPr>
        <w:sectPr>
          <w:pgSz w:w="11900" w:h="16838" w:orient="portrait"/>
          <w:cols w:equalWidth="0" w:num="1">
            <w:col w:w="11240"/>
          </w:cols>
          <w:pgMar w:left="320" w:top="89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on Form 10-Q of Evergy Kansas Central, Inc. (the "Company") for the quarterly period ended June 30, 2023,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209"/>
        </w:trPr>
        <w:tc>
          <w:tcPr>
            <w:tcW w:w="152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David A. Campbell</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3, 2023</w:t>
            </w:r>
          </w:p>
        </w:tc>
      </w:tr>
      <w:tr>
        <w:trPr>
          <w:trHeight w:val="432"/>
        </w:trPr>
        <w:tc>
          <w:tcPr>
            <w:tcW w:w="15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2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52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3, 2023</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4"/>
    </w:lvl>
    <w:lvl w:ilvl="1">
      <w:lvlJc w:val="left"/>
      <w:lvlText w:val="•"/>
      <w:numFmt w:val="bullet"/>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lvl w:ilvl="1">
      <w:lvlJc w:val="left"/>
      <w:lvlText w:val="(%2)"/>
      <w:numFmt w:val="lowerLetter"/>
      <w:start w:val="1"/>
    </w:lvl>
  </w:abstractNum>
  <w:abstractNum w:abstractNumId="42">
    <w:nsid w:val="542289EC"/>
    <w:multiLevelType w:val="hybridMultilevel"/>
    <w:lvl w:ilvl="0">
      <w:lvlJc w:val="left"/>
      <w:lvlText w:val="%1."/>
      <w:numFmt w:val="decimal"/>
      <w:start w:val="1"/>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2" Type="http://schemas.openxmlformats.org/officeDocument/2006/relationships/hyperlink" Target="http://www.sec.gov/Archives/edgar/data/1711269/000119312523159868/d4554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2023-08-04T05:27:48Z</dcterms:created>
  <dcterms:modified xsi:type="dcterms:W3CDTF">2023-08-04T05:27:48Z</dcterms:modified>
</cp:coreProperties>
</file>