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jc w:val="center"/>
        <w:ind w:left="4580" w:right="2240" w:hanging="2337"/>
        <w:spacing w:after="0" w:line="282" w:lineRule="auto"/>
        <w:tabs>
          <w:tab w:leader="none" w:pos="244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b w:val="1"/>
          <w:bCs w:val="1"/>
          <w:color w:val="auto"/>
        </w:rPr>
        <w:t>June 30, 2024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jc w:val="center"/>
        <w:ind w:left="4580" w:right="2220" w:hanging="2346"/>
        <w:spacing w:after="0" w:line="282" w:lineRule="auto"/>
        <w:tabs>
          <w:tab w:leader="none" w:pos="243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162"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color w:val="auto"/>
        </w:rPr>
        <w:t>For the transition period from _______to_______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154305</wp:posOffset>
            </wp:positionV>
            <wp:extent cx="258000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8000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2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53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state of incorporation, address of principal</w:t>
            </w:r>
          </w:p>
        </w:tc>
        <w:tc>
          <w:tcPr>
            <w:tcW w:w="180" w:type="dxa"/>
            <w:vAlign w:val="bottom"/>
          </w:tcPr>
          <w:p>
            <w:pPr>
              <w:spacing w:after="0"/>
              <w:rPr>
                <w:sz w:val="19"/>
                <w:szCs w:val="19"/>
                <w:color w:val="auto"/>
              </w:rPr>
            </w:pPr>
          </w:p>
        </w:tc>
        <w:tc>
          <w:tcPr>
            <w:tcW w:w="27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20" w:type="dxa"/>
            <w:vAlign w:val="bottom"/>
          </w:tcPr>
          <w:p>
            <w:pPr>
              <w:spacing w:after="0"/>
              <w:rPr>
                <w:sz w:val="21"/>
                <w:szCs w:val="21"/>
                <w:color w:val="auto"/>
              </w:rPr>
            </w:pPr>
          </w:p>
        </w:tc>
        <w:tc>
          <w:tcPr>
            <w:tcW w:w="5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executive offices and telephone number</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212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auto"/>
                <w:w w:val="99"/>
              </w:rPr>
              <w:t>001-38515</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40" w:type="dxa"/>
            <w:vAlign w:val="bottom"/>
            <w:gridSpan w:val="3"/>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8"/>
              </w:rPr>
              <w:t>EVERGY, INC.</w:t>
            </w:r>
          </w:p>
        </w:tc>
        <w:tc>
          <w:tcPr>
            <w:tcW w:w="270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rPr>
              <w:t>82-2733395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(a Missouri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4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color w:val="auto"/>
                <w:w w:val="99"/>
              </w:rPr>
              <w:t>1200 Main Street</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Kansas City, Missouri 64105</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Times New Roman" w:cs="Times New Roman" w:eastAsia="Times New Roman" w:hAnsi="Times New Roman"/>
                <w:sz w:val="18"/>
                <w:szCs w:val="18"/>
                <w:color w:val="auto"/>
                <w:w w:val="99"/>
              </w:rPr>
              <w:t>(816) 556-2200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212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auto"/>
                <w:w w:val="99"/>
              </w:rPr>
              <w:t>001-03523</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EVERGY KANSAS CENTRAL, INC.</w:t>
            </w:r>
          </w:p>
        </w:tc>
        <w:tc>
          <w:tcPr>
            <w:tcW w:w="270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rPr>
              <w:t>48-0290150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(a Kansas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8"/>
              </w:rPr>
              <w:t>818 South Kansas Avenue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Topeka, Kansas 66612</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Times New Roman" w:cs="Times New Roman" w:eastAsia="Times New Roman" w:hAnsi="Times New Roman"/>
                <w:sz w:val="18"/>
                <w:szCs w:val="18"/>
                <w:color w:val="auto"/>
                <w:w w:val="99"/>
              </w:rPr>
              <w:t>(785) 575-6300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12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auto"/>
                <w:w w:val="99"/>
              </w:rPr>
              <w:t>000-51873</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EVERGY METRO, INC.</w:t>
            </w:r>
          </w:p>
        </w:tc>
        <w:tc>
          <w:tcPr>
            <w:tcW w:w="270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rPr>
              <w:t>44-0308720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(a Missouri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40" w:type="dxa"/>
            <w:vAlign w:val="bottom"/>
            <w:gridSpan w:val="3"/>
          </w:tcPr>
          <w:p>
            <w:pPr>
              <w:jc w:val="center"/>
              <w:ind w:right="2000"/>
              <w:spacing w:after="0"/>
              <w:rPr>
                <w:sz w:val="20"/>
                <w:szCs w:val="20"/>
                <w:color w:val="auto"/>
              </w:rPr>
            </w:pPr>
            <w:r>
              <w:rPr>
                <w:rFonts w:ascii="Times New Roman" w:cs="Times New Roman" w:eastAsia="Times New Roman" w:hAnsi="Times New Roman"/>
                <w:sz w:val="18"/>
                <w:szCs w:val="18"/>
                <w:color w:val="auto"/>
                <w:w w:val="99"/>
              </w:rPr>
              <w:t>1200 Main Street</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Kansas City, Missouri 64105</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Times New Roman" w:cs="Times New Roman" w:eastAsia="Times New Roman" w:hAnsi="Times New Roman"/>
                <w:sz w:val="18"/>
                <w:szCs w:val="18"/>
                <w:color w:val="auto"/>
                <w:w w:val="99"/>
              </w:rPr>
              <w:t>(816) 556-2200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34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80" w:type="dxa"/>
            <w:vAlign w:val="bottom"/>
          </w:tcPr>
          <w:p>
            <w:pPr>
              <w:spacing w:after="0"/>
              <w:rPr>
                <w:sz w:val="22"/>
                <w:szCs w:val="22"/>
                <w:color w:val="auto"/>
              </w:rPr>
            </w:pPr>
          </w:p>
        </w:tc>
        <w:tc>
          <w:tcPr>
            <w:tcW w:w="2720" w:type="dxa"/>
            <w:vAlign w:val="bottom"/>
            <w:gridSpan w:val="5"/>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900" w:type="dxa"/>
            <w:vAlign w:val="bottom"/>
          </w:tcPr>
          <w:p>
            <w:pPr>
              <w:spacing w:after="0"/>
              <w:rPr>
                <w:sz w:val="16"/>
                <w:szCs w:val="16"/>
                <w:color w:val="auto"/>
              </w:rPr>
            </w:pPr>
          </w:p>
        </w:tc>
        <w:tc>
          <w:tcPr>
            <w:tcW w:w="3440" w:type="dxa"/>
            <w:vAlign w:val="bottom"/>
            <w:gridSpan w:val="3"/>
            <w:vMerge w:val="restart"/>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180" w:type="dxa"/>
            <w:vAlign w:val="bottom"/>
          </w:tcPr>
          <w:p>
            <w:pPr>
              <w:spacing w:after="0"/>
              <w:rPr>
                <w:sz w:val="16"/>
                <w:szCs w:val="16"/>
                <w:color w:val="auto"/>
              </w:rPr>
            </w:pPr>
          </w:p>
        </w:tc>
        <w:tc>
          <w:tcPr>
            <w:tcW w:w="27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980" w:type="dxa"/>
            <w:vAlign w:val="bottom"/>
            <w:gridSpan w:val="4"/>
            <w:vMerge w:val="continue"/>
          </w:tcPr>
          <w:p>
            <w:pPr>
              <w:spacing w:after="0"/>
              <w:rPr>
                <w:sz w:val="6"/>
                <w:szCs w:val="6"/>
                <w:color w:val="auto"/>
              </w:rPr>
            </w:pPr>
          </w:p>
        </w:tc>
        <w:tc>
          <w:tcPr>
            <w:tcW w:w="1900" w:type="dxa"/>
            <w:vAlign w:val="bottom"/>
          </w:tcPr>
          <w:p>
            <w:pPr>
              <w:spacing w:after="0"/>
              <w:rPr>
                <w:sz w:val="6"/>
                <w:szCs w:val="6"/>
                <w:color w:val="auto"/>
              </w:rPr>
            </w:pPr>
          </w:p>
        </w:tc>
        <w:tc>
          <w:tcPr>
            <w:tcW w:w="344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Borders>
              <w:top w:val="single" w:sz="8" w:color="auto"/>
            </w:tcBorders>
            <w:vMerge w:val="restart"/>
          </w:tcPr>
          <w:p>
            <w:pPr>
              <w:spacing w:after="0"/>
              <w:rPr>
                <w:sz w:val="6"/>
                <w:szCs w:val="6"/>
                <w:color w:val="auto"/>
              </w:rPr>
            </w:pPr>
          </w:p>
        </w:tc>
        <w:tc>
          <w:tcPr>
            <w:tcW w:w="1640" w:type="dxa"/>
            <w:vAlign w:val="bottom"/>
            <w:tcBorders>
              <w:top w:val="single" w:sz="8" w:color="auto"/>
            </w:tcBorders>
            <w:gridSpan w:val="2"/>
            <w:vMerge w:val="restart"/>
          </w:tcPr>
          <w:p>
            <w:pPr>
              <w:jc w:val="center"/>
              <w:ind w:right="880"/>
              <w:spacing w:after="0" w:line="156" w:lineRule="exact"/>
              <w:rPr>
                <w:sz w:val="20"/>
                <w:szCs w:val="20"/>
                <w:color w:val="auto"/>
              </w:rPr>
            </w:pPr>
            <w:r>
              <w:rPr>
                <w:rFonts w:ascii="Times New Roman" w:cs="Times New Roman" w:eastAsia="Times New Roman" w:hAnsi="Times New Roman"/>
                <w:sz w:val="18"/>
                <w:szCs w:val="18"/>
                <w:b w:val="1"/>
                <w:bCs w:val="1"/>
                <w:color w:val="auto"/>
                <w:w w:val="98"/>
              </w:rPr>
              <w:t>registered</w:t>
            </w:r>
          </w:p>
        </w:tc>
        <w:tc>
          <w:tcPr>
            <w:tcW w:w="200" w:type="dxa"/>
            <w:vAlign w:val="bottom"/>
            <w:gridSpan w:val="2"/>
            <w:vMerge w:val="restart"/>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40" w:type="dxa"/>
            <w:vAlign w:val="bottom"/>
            <w:tcBorders>
              <w:top w:val="single" w:sz="8" w:color="auto"/>
            </w:tcBorders>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420" w:type="dxa"/>
            <w:vAlign w:val="bottom"/>
            <w:tcBorders>
              <w:top w:val="single" w:sz="8" w:color="auto"/>
            </w:tcBorders>
          </w:tcPr>
          <w:p>
            <w:pPr>
              <w:spacing w:after="0"/>
              <w:rPr>
                <w:sz w:val="5"/>
                <w:szCs w:val="5"/>
                <w:color w:val="auto"/>
              </w:rPr>
            </w:pPr>
          </w:p>
        </w:tc>
        <w:tc>
          <w:tcPr>
            <w:tcW w:w="1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Borders>
              <w:top w:val="single" w:sz="8" w:color="auto"/>
            </w:tcBorders>
            <w:vMerge w:val="continue"/>
          </w:tcPr>
          <w:p>
            <w:pPr>
              <w:spacing w:after="0"/>
              <w:rPr>
                <w:sz w:val="5"/>
                <w:szCs w:val="5"/>
                <w:color w:val="auto"/>
              </w:rPr>
            </w:pPr>
          </w:p>
        </w:tc>
        <w:tc>
          <w:tcPr>
            <w:tcW w:w="1640" w:type="dxa"/>
            <w:vAlign w:val="bottom"/>
            <w:tcBorders>
              <w:top w:val="single" w:sz="8" w:color="auto"/>
            </w:tcBorders>
            <w:gridSpan w:val="2"/>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29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Evergy, Inc. common stock</w:t>
            </w:r>
          </w:p>
        </w:tc>
        <w:tc>
          <w:tcPr>
            <w:tcW w:w="1900" w:type="dxa"/>
            <w:vAlign w:val="bottom"/>
          </w:tcPr>
          <w:p>
            <w:pPr>
              <w:spacing w:after="0"/>
              <w:rPr>
                <w:sz w:val="23"/>
                <w:szCs w:val="23"/>
                <w:color w:val="auto"/>
              </w:rPr>
            </w:pPr>
          </w:p>
        </w:tc>
        <w:tc>
          <w:tcPr>
            <w:tcW w:w="3440" w:type="dxa"/>
            <w:vAlign w:val="bottom"/>
            <w:gridSpan w:val="3"/>
          </w:tcPr>
          <w:p>
            <w:pPr>
              <w:jc w:val="center"/>
              <w:ind w:right="2020"/>
              <w:spacing w:after="0"/>
              <w:rPr>
                <w:sz w:val="20"/>
                <w:szCs w:val="20"/>
                <w:color w:val="auto"/>
              </w:rPr>
            </w:pPr>
            <w:r>
              <w:rPr>
                <w:rFonts w:ascii="Times New Roman" w:cs="Times New Roman" w:eastAsia="Times New Roman" w:hAnsi="Times New Roman"/>
                <w:sz w:val="18"/>
                <w:szCs w:val="18"/>
                <w:color w:val="auto"/>
              </w:rPr>
              <w:t>EVRG</w:t>
            </w:r>
          </w:p>
        </w:tc>
        <w:tc>
          <w:tcPr>
            <w:tcW w:w="180" w:type="dxa"/>
            <w:vAlign w:val="bottom"/>
          </w:tcPr>
          <w:p>
            <w:pPr>
              <w:spacing w:after="0"/>
              <w:rPr>
                <w:sz w:val="23"/>
                <w:szCs w:val="23"/>
                <w:color w:val="auto"/>
              </w:rPr>
            </w:pPr>
          </w:p>
        </w:tc>
        <w:tc>
          <w:tcPr>
            <w:tcW w:w="272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1020"/>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134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00" w:type="dxa"/>
            <w:vAlign w:val="bottom"/>
            <w:tcBorders>
              <w:top w:val="single" w:sz="8" w:color="auto"/>
              <w:bottom w:val="single" w:sz="8" w:color="9A9A9A"/>
            </w:tcBorders>
          </w:tcPr>
          <w:p>
            <w:pPr>
              <w:spacing w:after="0"/>
              <w:rPr>
                <w:sz w:val="24"/>
                <w:szCs w:val="24"/>
                <w:color w:val="auto"/>
              </w:rPr>
            </w:pPr>
          </w:p>
        </w:tc>
        <w:tc>
          <w:tcPr>
            <w:tcW w:w="1420" w:type="dxa"/>
            <w:vAlign w:val="bottom"/>
            <w:tcBorders>
              <w:top w:val="single" w:sz="8" w:color="auto"/>
              <w:bottom w:val="single" w:sz="8" w:color="9A9A9A"/>
            </w:tcBorders>
          </w:tcPr>
          <w:p>
            <w:pPr>
              <w:spacing w:after="0"/>
              <w:rPr>
                <w:sz w:val="24"/>
                <w:szCs w:val="24"/>
                <w:color w:val="auto"/>
              </w:rPr>
            </w:pPr>
          </w:p>
        </w:tc>
        <w:tc>
          <w:tcPr>
            <w:tcW w:w="1900" w:type="dxa"/>
            <w:vAlign w:val="bottom"/>
            <w:tcBorders>
              <w:top w:val="single" w:sz="8" w:color="auto"/>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20" w:right="34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284"/>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Inc.</w:t>
            </w:r>
          </w:p>
        </w:tc>
        <w:tc>
          <w:tcPr>
            <w:tcW w:w="13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80" w:type="dxa"/>
            <w:vAlign w:val="bottom"/>
          </w:tcPr>
          <w:p>
            <w:pPr>
              <w:ind w:left="180"/>
              <w:spacing w:after="0"/>
              <w:rPr>
                <w:sz w:val="20"/>
                <w:szCs w:val="20"/>
                <w:color w:val="auto"/>
              </w:rPr>
            </w:pPr>
            <w:r>
              <w:rPr>
                <w:rFonts w:ascii="Wingdings" w:cs="Wingdings" w:eastAsia="Wingdings" w:hAnsi="Wingdings"/>
                <w:sz w:val="18"/>
                <w:szCs w:val="18"/>
                <w:b w:val="1"/>
                <w:bCs w:val="1"/>
                <w:color w:val="auto"/>
              </w:rPr>
              <w:t>x</w:t>
            </w:r>
          </w:p>
        </w:tc>
        <w:tc>
          <w:tcPr>
            <w:tcW w:w="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Kansas Central, Inc.</w:t>
            </w:r>
          </w:p>
        </w:tc>
        <w:tc>
          <w:tcPr>
            <w:tcW w:w="13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80" w:type="dxa"/>
            <w:vAlign w:val="bottom"/>
          </w:tcPr>
          <w:p>
            <w:pPr>
              <w:ind w:left="180"/>
              <w:spacing w:after="0"/>
              <w:rPr>
                <w:sz w:val="20"/>
                <w:szCs w:val="20"/>
                <w:color w:val="auto"/>
              </w:rPr>
            </w:pPr>
            <w:r>
              <w:rPr>
                <w:rFonts w:ascii="Wingdings" w:cs="Wingdings" w:eastAsia="Wingdings" w:hAnsi="Wingdings"/>
                <w:sz w:val="18"/>
                <w:szCs w:val="18"/>
                <w:b w:val="1"/>
                <w:bCs w:val="1"/>
                <w:color w:val="auto"/>
              </w:rPr>
              <w:t>x</w:t>
            </w:r>
          </w:p>
        </w:tc>
        <w:tc>
          <w:tcPr>
            <w:tcW w:w="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Metro, Inc.</w:t>
            </w:r>
          </w:p>
        </w:tc>
        <w:tc>
          <w:tcPr>
            <w:tcW w:w="13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80" w:type="dxa"/>
            <w:vAlign w:val="bottom"/>
          </w:tcPr>
          <w:p>
            <w:pPr>
              <w:ind w:left="180"/>
              <w:spacing w:after="0"/>
              <w:rPr>
                <w:sz w:val="20"/>
                <w:szCs w:val="20"/>
                <w:color w:val="auto"/>
              </w:rPr>
            </w:pPr>
            <w:r>
              <w:rPr>
                <w:rFonts w:ascii="Wingdings" w:cs="Wingdings" w:eastAsia="Wingdings" w:hAnsi="Wingdings"/>
                <w:sz w:val="18"/>
                <w:szCs w:val="18"/>
                <w:b w:val="1"/>
                <w:bCs w:val="1"/>
                <w:color w:val="auto"/>
              </w:rPr>
              <w:t>x</w:t>
            </w:r>
          </w:p>
        </w:tc>
        <w:tc>
          <w:tcPr>
            <w:tcW w:w="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6" w:lineRule="exact"/>
        <w:rPr>
          <w:sz w:val="20"/>
          <w:szCs w:val="20"/>
          <w:color w:val="auto"/>
        </w:rPr>
      </w:pPr>
    </w:p>
    <w:p>
      <w:pPr>
        <w:ind w:left="20" w:right="360"/>
        <w:spacing w:after="0" w:line="245"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Inc.</w:t>
            </w:r>
          </w:p>
        </w:tc>
        <w:tc>
          <w:tcPr>
            <w:tcW w:w="13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80" w:type="dxa"/>
            <w:vAlign w:val="bottom"/>
          </w:tcPr>
          <w:p>
            <w:pPr>
              <w:ind w:left="180"/>
              <w:spacing w:after="0"/>
              <w:rPr>
                <w:sz w:val="20"/>
                <w:szCs w:val="20"/>
                <w:color w:val="auto"/>
              </w:rPr>
            </w:pPr>
            <w:r>
              <w:rPr>
                <w:rFonts w:ascii="Wingdings" w:cs="Wingdings" w:eastAsia="Wingdings" w:hAnsi="Wingdings"/>
                <w:sz w:val="18"/>
                <w:szCs w:val="18"/>
                <w:b w:val="1"/>
                <w:bCs w:val="1"/>
                <w:color w:val="auto"/>
              </w:rPr>
              <w:t>x</w:t>
            </w:r>
          </w:p>
        </w:tc>
        <w:tc>
          <w:tcPr>
            <w:tcW w:w="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Kansas Central, Inc.</w:t>
            </w:r>
          </w:p>
        </w:tc>
        <w:tc>
          <w:tcPr>
            <w:tcW w:w="13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80" w:type="dxa"/>
            <w:vAlign w:val="bottom"/>
          </w:tcPr>
          <w:p>
            <w:pPr>
              <w:ind w:left="180"/>
              <w:spacing w:after="0"/>
              <w:rPr>
                <w:sz w:val="20"/>
                <w:szCs w:val="20"/>
                <w:color w:val="auto"/>
              </w:rPr>
            </w:pPr>
            <w:r>
              <w:rPr>
                <w:rFonts w:ascii="Wingdings" w:cs="Wingdings" w:eastAsia="Wingdings" w:hAnsi="Wingdings"/>
                <w:sz w:val="18"/>
                <w:szCs w:val="18"/>
                <w:b w:val="1"/>
                <w:bCs w:val="1"/>
                <w:color w:val="auto"/>
              </w:rPr>
              <w:t>x</w:t>
            </w:r>
          </w:p>
        </w:tc>
        <w:tc>
          <w:tcPr>
            <w:tcW w:w="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Metro, Inc.</w:t>
            </w:r>
          </w:p>
        </w:tc>
        <w:tc>
          <w:tcPr>
            <w:tcW w:w="134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80" w:type="dxa"/>
            <w:vAlign w:val="bottom"/>
          </w:tcPr>
          <w:p>
            <w:pPr>
              <w:ind w:left="180"/>
              <w:spacing w:after="0"/>
              <w:rPr>
                <w:sz w:val="20"/>
                <w:szCs w:val="20"/>
                <w:color w:val="auto"/>
              </w:rPr>
            </w:pPr>
            <w:r>
              <w:rPr>
                <w:rFonts w:ascii="Wingdings" w:cs="Wingdings" w:eastAsia="Wingdings" w:hAnsi="Wingdings"/>
                <w:sz w:val="18"/>
                <w:szCs w:val="18"/>
                <w:b w:val="1"/>
                <w:bCs w:val="1"/>
                <w:color w:val="auto"/>
              </w:rPr>
              <w:t>x</w:t>
            </w:r>
          </w:p>
        </w:tc>
        <w:tc>
          <w:tcPr>
            <w:tcW w:w="7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6" w:lineRule="exact"/>
        <w:rPr>
          <w:sz w:val="20"/>
          <w:szCs w:val="20"/>
          <w:color w:val="auto"/>
        </w:rPr>
      </w:pPr>
    </w:p>
    <w:p>
      <w:pPr>
        <w:ind w:left="20" w:right="12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Evergy, Inc.</w:t>
            </w:r>
          </w:p>
        </w:tc>
        <w:tc>
          <w:tcPr>
            <w:tcW w:w="18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Large Accelerated</w:t>
            </w:r>
          </w:p>
        </w:tc>
        <w:tc>
          <w:tcPr>
            <w:tcW w:w="1580" w:type="dxa"/>
            <w:vAlign w:val="bottom"/>
            <w:vMerge w:val="restart"/>
          </w:tcPr>
          <w:p>
            <w:pPr>
              <w:jc w:val="right"/>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6"/>
                <w:szCs w:val="16"/>
                <w:color w:val="auto"/>
              </w:rPr>
              <w:t>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Non-accelerated</w:t>
            </w:r>
          </w:p>
        </w:tc>
        <w:tc>
          <w:tcPr>
            <w:tcW w:w="42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36"/>
        </w:trPr>
        <w:tc>
          <w:tcPr>
            <w:tcW w:w="2360" w:type="dxa"/>
            <w:vAlign w:val="bottom"/>
            <w:vMerge w:val="continue"/>
          </w:tcPr>
          <w:p>
            <w:pPr>
              <w:spacing w:after="0"/>
              <w:rPr>
                <w:sz w:val="20"/>
                <w:szCs w:val="20"/>
                <w:color w:val="auto"/>
              </w:rPr>
            </w:pPr>
          </w:p>
        </w:tc>
        <w:tc>
          <w:tcPr>
            <w:tcW w:w="18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9"/>
              </w:rPr>
              <w:t>Filer</w:t>
            </w:r>
          </w:p>
        </w:tc>
        <w:tc>
          <w:tcPr>
            <w:tcW w:w="158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Filer</w:t>
            </w:r>
          </w:p>
        </w:tc>
        <w:tc>
          <w:tcPr>
            <w:tcW w:w="420" w:type="dxa"/>
            <w:vAlign w:val="bottom"/>
            <w:vMerge w:val="continue"/>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360" w:type="dxa"/>
            <w:vAlign w:val="bottom"/>
            <w:vMerge w:val="continue"/>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Evergy Kansas Central, Inc.</w:t>
            </w:r>
          </w:p>
        </w:tc>
        <w:tc>
          <w:tcPr>
            <w:tcW w:w="18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Large Accelerated</w:t>
            </w:r>
          </w:p>
        </w:tc>
        <w:tc>
          <w:tcPr>
            <w:tcW w:w="1580" w:type="dxa"/>
            <w:vAlign w:val="bottom"/>
            <w:vMerge w:val="restart"/>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Non-accelerated</w:t>
            </w:r>
          </w:p>
        </w:tc>
        <w:tc>
          <w:tcPr>
            <w:tcW w:w="4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36"/>
        </w:trPr>
        <w:tc>
          <w:tcPr>
            <w:tcW w:w="2360" w:type="dxa"/>
            <w:vAlign w:val="bottom"/>
            <w:vMerge w:val="continue"/>
          </w:tcPr>
          <w:p>
            <w:pPr>
              <w:spacing w:after="0"/>
              <w:rPr>
                <w:sz w:val="20"/>
                <w:szCs w:val="20"/>
                <w:color w:val="auto"/>
              </w:rPr>
            </w:pPr>
          </w:p>
        </w:tc>
        <w:tc>
          <w:tcPr>
            <w:tcW w:w="18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9"/>
              </w:rPr>
              <w:t>Filer</w:t>
            </w:r>
          </w:p>
        </w:tc>
        <w:tc>
          <w:tcPr>
            <w:tcW w:w="158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Filer</w:t>
            </w:r>
          </w:p>
        </w:tc>
        <w:tc>
          <w:tcPr>
            <w:tcW w:w="420" w:type="dxa"/>
            <w:vAlign w:val="bottom"/>
          </w:tcPr>
          <w:p>
            <w:pPr>
              <w:ind w:left="100"/>
              <w:spacing w:after="0" w:line="198" w:lineRule="exact"/>
              <w:rPr>
                <w:sz w:val="20"/>
                <w:szCs w:val="20"/>
                <w:color w:val="auto"/>
              </w:rPr>
            </w:pPr>
            <w:r>
              <w:rPr>
                <w:rFonts w:ascii="Wingdings" w:cs="Wingdings" w:eastAsia="Wingdings" w:hAnsi="Wingdings"/>
                <w:sz w:val="18"/>
                <w:szCs w:val="18"/>
                <w:b w:val="1"/>
                <w:bCs w:val="1"/>
                <w:color w:val="auto"/>
              </w:rPr>
              <w:t>x</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360" w:type="dxa"/>
            <w:vAlign w:val="bottom"/>
            <w:vMerge w:val="continue"/>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Evergy Metro, Inc.</w:t>
            </w:r>
          </w:p>
        </w:tc>
        <w:tc>
          <w:tcPr>
            <w:tcW w:w="18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Large Accelerated</w:t>
            </w:r>
          </w:p>
        </w:tc>
        <w:tc>
          <w:tcPr>
            <w:tcW w:w="1580" w:type="dxa"/>
            <w:vAlign w:val="bottom"/>
            <w:vMerge w:val="restart"/>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Non-accelerated</w:t>
            </w:r>
          </w:p>
        </w:tc>
        <w:tc>
          <w:tcPr>
            <w:tcW w:w="4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36"/>
        </w:trPr>
        <w:tc>
          <w:tcPr>
            <w:tcW w:w="2360" w:type="dxa"/>
            <w:vAlign w:val="bottom"/>
            <w:vMerge w:val="continue"/>
          </w:tcPr>
          <w:p>
            <w:pPr>
              <w:spacing w:after="0"/>
              <w:rPr>
                <w:sz w:val="20"/>
                <w:szCs w:val="20"/>
                <w:color w:val="auto"/>
              </w:rPr>
            </w:pPr>
          </w:p>
        </w:tc>
        <w:tc>
          <w:tcPr>
            <w:tcW w:w="184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w w:val="99"/>
              </w:rPr>
              <w:t>Filer</w:t>
            </w:r>
          </w:p>
        </w:tc>
        <w:tc>
          <w:tcPr>
            <w:tcW w:w="158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Filer</w:t>
            </w:r>
          </w:p>
        </w:tc>
        <w:tc>
          <w:tcPr>
            <w:tcW w:w="420" w:type="dxa"/>
            <w:vAlign w:val="bottom"/>
          </w:tcPr>
          <w:p>
            <w:pPr>
              <w:ind w:left="100"/>
              <w:spacing w:after="0" w:line="198" w:lineRule="exact"/>
              <w:rPr>
                <w:sz w:val="20"/>
                <w:szCs w:val="20"/>
                <w:color w:val="auto"/>
              </w:rPr>
            </w:pPr>
            <w:r>
              <w:rPr>
                <w:rFonts w:ascii="Wingdings" w:cs="Wingdings" w:eastAsia="Wingdings" w:hAnsi="Wingdings"/>
                <w:sz w:val="18"/>
                <w:szCs w:val="18"/>
                <w:b w:val="1"/>
                <w:bCs w:val="1"/>
                <w:color w:val="auto"/>
              </w:rPr>
              <w:t>x</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360" w:type="dxa"/>
            <w:vAlign w:val="bottom"/>
            <w:vMerge w:val="continue"/>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20" w:right="540"/>
        <w:spacing w:after="0" w:line="245"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20"/>
          </w:cols>
          <w:pgMar w:left="320" w:top="118" w:right="359" w:bottom="1440" w:gutter="0" w:footer="0" w:header="0"/>
        </w:sectPr>
      </w:pP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Evergy, Inc.</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r>
        <w:rPr>
          <w:rFonts w:ascii="MS PGothic" w:cs="MS PGothic" w:eastAsia="MS PGothic" w:hAnsi="MS PGothic"/>
          <w:sz w:val="16"/>
          <w:szCs w:val="16"/>
          <w:color w:val="auto"/>
        </w:rPr>
        <w:t>☐</w:t>
      </w:r>
    </w:p>
    <w:p>
      <w:pPr>
        <w:spacing w:after="0" w:line="143" w:lineRule="exact"/>
        <w:rPr>
          <w:sz w:val="20"/>
          <w:szCs w:val="20"/>
          <w:color w:val="auto"/>
        </w:rPr>
      </w:pPr>
    </w:p>
    <w:p>
      <w:pPr>
        <w:sectPr>
          <w:pgSz w:w="11900" w:h="16838" w:orient="portrait"/>
          <w:cols w:equalWidth="0" w:num="2">
            <w:col w:w="2460" w:space="720"/>
            <w:col w:w="8040"/>
          </w:cols>
          <w:pgMar w:left="320" w:top="118" w:right="359" w:bottom="1440" w:gutter="0" w:footer="0" w:header="0"/>
          <w:type w:val="continuous"/>
        </w:sectPr>
      </w:pP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Evergy Kansas Central,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3" w:lineRule="exact"/>
        <w:rPr>
          <w:sz w:val="20"/>
          <w:szCs w:val="20"/>
          <w:color w:val="auto"/>
        </w:rPr>
      </w:pPr>
    </w:p>
    <w:p>
      <w:pPr>
        <w:sectPr>
          <w:pgSz w:w="11900" w:h="16838" w:orient="portrait"/>
          <w:cols w:equalWidth="0" w:num="2">
            <w:col w:w="2460" w:space="720"/>
            <w:col w:w="8040"/>
          </w:cols>
          <w:pgMar w:left="320" w:top="118" w:right="359" w:bottom="1440" w:gutter="0" w:footer="0" w:header="0"/>
          <w:type w:val="continuous"/>
        </w:sectPr>
      </w:pP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Evergy Metro,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49" w:lineRule="exact"/>
        <w:rPr>
          <w:sz w:val="20"/>
          <w:szCs w:val="20"/>
          <w:color w:val="auto"/>
        </w:rPr>
      </w:pPr>
    </w:p>
    <w:p>
      <w:pPr>
        <w:sectPr>
          <w:pgSz w:w="11900" w:h="16838" w:orient="portrait"/>
          <w:cols w:equalWidth="0" w:num="2">
            <w:col w:w="2460" w:space="720"/>
            <w:col w:w="8040"/>
          </w:cols>
          <w:pgMar w:left="320" w:top="118" w:right="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272"/>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Inc.</w:t>
            </w:r>
          </w:p>
        </w:tc>
        <w:tc>
          <w:tcPr>
            <w:tcW w:w="13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No</w:t>
            </w:r>
          </w:p>
        </w:tc>
        <w:tc>
          <w:tcPr>
            <w:tcW w:w="360" w:type="dxa"/>
            <w:vAlign w:val="bottom"/>
          </w:tcPr>
          <w:p>
            <w:pPr>
              <w:ind w:left="160"/>
              <w:spacing w:after="0"/>
              <w:rPr>
                <w:sz w:val="20"/>
                <w:szCs w:val="20"/>
                <w:color w:val="auto"/>
              </w:rPr>
            </w:pPr>
            <w:r>
              <w:rPr>
                <w:rFonts w:ascii="Wingdings" w:cs="Wingdings" w:eastAsia="Wingdings" w:hAnsi="Wingdings"/>
                <w:sz w:val="18"/>
                <w:szCs w:val="18"/>
                <w:b w:val="1"/>
                <w:bCs w:val="1"/>
                <w:color w:val="auto"/>
                <w:w w:val="94"/>
              </w:rPr>
              <w:t>x</w:t>
            </w:r>
          </w:p>
        </w:tc>
      </w:tr>
      <w:tr>
        <w:trPr>
          <w:trHeight w:val="28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Kansas Central, Inc.</w:t>
            </w:r>
          </w:p>
        </w:tc>
        <w:tc>
          <w:tcPr>
            <w:tcW w:w="13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No</w:t>
            </w:r>
          </w:p>
        </w:tc>
        <w:tc>
          <w:tcPr>
            <w:tcW w:w="360" w:type="dxa"/>
            <w:vAlign w:val="bottom"/>
          </w:tcPr>
          <w:p>
            <w:pPr>
              <w:ind w:left="160"/>
              <w:spacing w:after="0"/>
              <w:rPr>
                <w:sz w:val="20"/>
                <w:szCs w:val="20"/>
                <w:color w:val="auto"/>
              </w:rPr>
            </w:pPr>
            <w:r>
              <w:rPr>
                <w:rFonts w:ascii="Wingdings" w:cs="Wingdings" w:eastAsia="Wingdings" w:hAnsi="Wingdings"/>
                <w:sz w:val="18"/>
                <w:szCs w:val="18"/>
                <w:b w:val="1"/>
                <w:bCs w:val="1"/>
                <w:color w:val="auto"/>
                <w:w w:val="94"/>
              </w:rPr>
              <w:t>x</w:t>
            </w:r>
          </w:p>
        </w:tc>
      </w:tr>
      <w:tr>
        <w:trPr>
          <w:trHeight w:val="28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Evergy Metro, Inc.</w:t>
            </w:r>
          </w:p>
        </w:tc>
        <w:tc>
          <w:tcPr>
            <w:tcW w:w="13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7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No</w:t>
            </w:r>
          </w:p>
        </w:tc>
        <w:tc>
          <w:tcPr>
            <w:tcW w:w="360" w:type="dxa"/>
            <w:vAlign w:val="bottom"/>
          </w:tcPr>
          <w:p>
            <w:pPr>
              <w:ind w:left="16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115"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On July 31, 2024, Evergy, Inc. had 229,958,436 shares of common stock outstanding. On July 31, 2024, Evergy Metro, Inc. and Evergy Kansas Central, Inc. each had one share of common stock outstanding and held by Evergy, Inc.</w:t>
      </w:r>
    </w:p>
    <w:p>
      <w:pPr>
        <w:spacing w:after="0" w:line="149" w:lineRule="exact"/>
        <w:rPr>
          <w:sz w:val="20"/>
          <w:szCs w:val="20"/>
          <w:color w:val="auto"/>
        </w:rPr>
      </w:pPr>
    </w:p>
    <w:p>
      <w:pPr>
        <w:ind w:left="20" w:right="580"/>
        <w:spacing w:after="0" w:line="248" w:lineRule="auto"/>
        <w:rPr>
          <w:sz w:val="20"/>
          <w:szCs w:val="20"/>
          <w:color w:val="auto"/>
        </w:rPr>
      </w:pPr>
      <w:r>
        <w:rPr>
          <w:rFonts w:ascii="Times New Roman" w:cs="Times New Roman" w:eastAsia="Times New Roman" w:hAnsi="Times New Roman"/>
          <w:sz w:val="16"/>
          <w:szCs w:val="16"/>
          <w:b w:val="1"/>
          <w:bCs w:val="1"/>
          <w:color w:val="auto"/>
        </w:rPr>
        <w:t>Evergy Kansas Central, Inc. and Evergy Metro, Inc. meet the conditions set forth in General Instruction (H)(1)(a) and (b) of Form 10-Q and are therefore filing this Form 10-Q with the reduced disclosure format.</w:t>
      </w:r>
    </w:p>
    <w:p>
      <w:pPr>
        <w:spacing w:after="0" w:line="2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This combined Quarterly Report on Form 10-Q is provided by the following registrants: Evergy, Inc. (Evergy), Evergy Kansas Central, Inc. (Evergy Kansas Central) and Evergy Metro, Inc. (Evergy Metro) (collectively, the Evergy Companies). Information relating to any individual registrant is filed by such registrant solely on its own behalf. Each registrant makes no representation as to information relating exclusively to the other registrants.</w:t>
      </w:r>
    </w:p>
    <w:p>
      <w:pPr>
        <w:spacing w:after="0" w:line="172"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0"/>
          <w:szCs w:val="20"/>
          <w:color w:val="auto"/>
        </w:rPr>
        <w:t>This report should be read in its entirety. No one section of the report deals with all aspects of the subject matter. It should be read in conjunction with the consolidated financial statements and related notes and with the management's discussion and analysis of financial condition and results of operations included in the annual report on Form 10-K for the fiscal year ended December 31, 2023 for each of Evergy, Evergy Kansas Central and Evergy Metro (2023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80" w:type="dxa"/>
            <w:vAlign w:val="bottom"/>
            <w:gridSpan w:val="12"/>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20" w:type="dxa"/>
            <w:vAlign w:val="bottom"/>
            <w:gridSpan w:val="5"/>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w w:val="96"/>
              </w:rPr>
              <w:t>Page Number</w:t>
            </w: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w w:val="99"/>
              </w:rPr>
              <w:t>Cautionary Statements Regarding Certain Forward-Looking Information</w:t>
            </w:r>
          </w:p>
        </w:tc>
        <w:tc>
          <w:tcPr>
            <w:tcW w:w="4020" w:type="dxa"/>
            <w:vAlign w:val="bottom"/>
            <w:gridSpan w:val="8"/>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Borders>
              <w:top w:val="single" w:sz="8" w:color="auto"/>
            </w:tcBorders>
            <w:gridSpan w:val="3"/>
          </w:tcPr>
          <w:p>
            <w:pPr>
              <w:jc w:val="center"/>
              <w:ind w:left="350"/>
              <w:spacing w:after="0"/>
              <w:rPr>
                <w:sz w:val="20"/>
                <w:szCs w:val="20"/>
                <w:color w:val="auto"/>
              </w:rPr>
            </w:pPr>
            <w:r>
              <w:rPr>
                <w:rFonts w:ascii="Times New Roman" w:cs="Times New Roman" w:eastAsia="Times New Roman" w:hAnsi="Times New Roman"/>
                <w:sz w:val="18"/>
                <w:szCs w:val="18"/>
                <w:color w:val="0000FF"/>
                <w:w w:val="88"/>
              </w:rPr>
              <w:t>4</w:t>
            </w:r>
          </w:p>
        </w:tc>
        <w:tc>
          <w:tcPr>
            <w:tcW w:w="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Glossary of Terms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30"/>
              <w:spacing w:after="0"/>
              <w:rPr>
                <w:sz w:val="20"/>
                <w:szCs w:val="20"/>
                <w:color w:val="auto"/>
              </w:rPr>
            </w:pPr>
            <w:r>
              <w:rPr>
                <w:rFonts w:ascii="Times New Roman" w:cs="Times New Roman" w:eastAsia="Times New Roman" w:hAnsi="Times New Roman"/>
                <w:sz w:val="18"/>
                <w:szCs w:val="18"/>
                <w:color w:val="0000FF"/>
                <w:w w:val="88"/>
              </w:rPr>
              <w:t>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6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0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6"/>
              </w:rPr>
              <w:t>Evergy, Inc.</w:t>
            </w:r>
          </w:p>
        </w:tc>
        <w:tc>
          <w:tcPr>
            <w:tcW w:w="520" w:type="dxa"/>
            <w:vAlign w:val="bottom"/>
            <w:tcBorders>
              <w:top w:val="single" w:sz="8" w:color="0000FF"/>
            </w:tcBorders>
            <w:gridSpan w:val="4"/>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Unaudited Consolidated Balance Sheets</w:t>
            </w:r>
          </w:p>
        </w:tc>
        <w:tc>
          <w:tcPr>
            <w:tcW w:w="5040" w:type="dxa"/>
            <w:vAlign w:val="bottom"/>
            <w:gridSpan w:val="14"/>
          </w:tcPr>
          <w:p>
            <w:pPr>
              <w:spacing w:after="0"/>
              <w:rPr>
                <w:sz w:val="18"/>
                <w:szCs w:val="18"/>
                <w:color w:val="auto"/>
              </w:rPr>
            </w:pPr>
          </w:p>
        </w:tc>
        <w:tc>
          <w:tcPr>
            <w:tcW w:w="980" w:type="dxa"/>
            <w:vAlign w:val="bottom"/>
            <w:gridSpan w:val="4"/>
          </w:tcPr>
          <w:p>
            <w:pPr>
              <w:jc w:val="center"/>
              <w:ind w:left="730"/>
              <w:spacing w:after="0"/>
              <w:rPr>
                <w:sz w:val="20"/>
                <w:szCs w:val="20"/>
                <w:color w:val="auto"/>
              </w:rPr>
            </w:pPr>
            <w:r>
              <w:rPr>
                <w:rFonts w:ascii="Times New Roman" w:cs="Times New Roman" w:eastAsia="Times New Roman" w:hAnsi="Times New Roman"/>
                <w:sz w:val="18"/>
                <w:szCs w:val="18"/>
                <w:color w:val="0000FF"/>
                <w:w w:val="88"/>
              </w:rPr>
              <w:t>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w w:val="98"/>
              </w:rPr>
              <w:t>Unaudited Consolidated Statements of Comprehensive Income</w:t>
            </w:r>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Cash Flows</w:t>
            </w:r>
          </w:p>
        </w:tc>
        <w:tc>
          <w:tcPr>
            <w:tcW w:w="860" w:type="dxa"/>
            <w:vAlign w:val="bottom"/>
            <w:gridSpan w:val="5"/>
          </w:tcPr>
          <w:p>
            <w:pPr>
              <w:spacing w:after="0"/>
              <w:rPr>
                <w:sz w:val="18"/>
                <w:szCs w:val="18"/>
                <w:color w:val="auto"/>
              </w:rPr>
            </w:pPr>
          </w:p>
        </w:tc>
        <w:tc>
          <w:tcPr>
            <w:tcW w:w="3400" w:type="dxa"/>
            <w:vAlign w:val="bottom"/>
            <w:gridSpan w:val="4"/>
          </w:tcPr>
          <w:p>
            <w:pPr>
              <w:spacing w:after="0"/>
              <w:rPr>
                <w:sz w:val="18"/>
                <w:szCs w:val="18"/>
                <w:color w:val="auto"/>
              </w:rPr>
            </w:pPr>
          </w:p>
        </w:tc>
        <w:tc>
          <w:tcPr>
            <w:tcW w:w="980" w:type="dxa"/>
            <w:vAlign w:val="bottom"/>
            <w:gridSpan w:val="4"/>
          </w:tcPr>
          <w:p>
            <w:pPr>
              <w:jc w:val="center"/>
              <w:ind w:left="730"/>
              <w:spacing w:after="0"/>
              <w:rPr>
                <w:sz w:val="20"/>
                <w:szCs w:val="20"/>
                <w:color w:val="auto"/>
              </w:rPr>
            </w:pPr>
            <w:r>
              <w:rPr>
                <w:rFonts w:ascii="Times New Roman" w:cs="Times New Roman" w:eastAsia="Times New Roman" w:hAnsi="Times New Roman"/>
                <w:sz w:val="18"/>
                <w:szCs w:val="18"/>
                <w:color w:val="0000FF"/>
                <w:w w:val="88"/>
              </w:rPr>
              <w:t>11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Unaudited Consolidated Statements of Changes in Equity</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8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0000FF"/>
              </w:rPr>
              <w:t>Evergy Kansas Central, Inc.</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Unaudited Consolidated Balance Sheets</w:t>
            </w:r>
          </w:p>
        </w:tc>
        <w:tc>
          <w:tcPr>
            <w:tcW w:w="5040" w:type="dxa"/>
            <w:vAlign w:val="bottom"/>
            <w:gridSpan w:val="1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7"/>
              </w:rPr>
              <w:t>Unaudited Consolidated Statements of Income</w:t>
            </w:r>
          </w:p>
        </w:tc>
        <w:tc>
          <w:tcPr>
            <w:tcW w:w="4600" w:type="dxa"/>
            <w:vAlign w:val="bottom"/>
            <w:gridSpan w:val="11"/>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Cash Flows</w:t>
            </w:r>
          </w:p>
        </w:tc>
        <w:tc>
          <w:tcPr>
            <w:tcW w:w="4260" w:type="dxa"/>
            <w:vAlign w:val="bottom"/>
            <w:gridSpan w:val="9"/>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Unaudited Consolidated Statements of Changes in Equity</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8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0000FF"/>
              </w:rPr>
              <w:t>Evergy Metro, Inc.</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Unaudited Consolidated Balance Sheets</w:t>
            </w:r>
          </w:p>
        </w:tc>
        <w:tc>
          <w:tcPr>
            <w:tcW w:w="5040" w:type="dxa"/>
            <w:vAlign w:val="bottom"/>
            <w:gridSpan w:val="1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19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w w:val="98"/>
              </w:rPr>
              <w:t>Unaudited Consolidated Statements of Comprehensive Income</w:t>
            </w:r>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Cash Flows</w:t>
            </w:r>
          </w:p>
        </w:tc>
        <w:tc>
          <w:tcPr>
            <w:tcW w:w="860" w:type="dxa"/>
            <w:vAlign w:val="bottom"/>
            <w:gridSpan w:val="5"/>
          </w:tcPr>
          <w:p>
            <w:pPr>
              <w:spacing w:after="0"/>
              <w:rPr>
                <w:sz w:val="18"/>
                <w:szCs w:val="18"/>
                <w:color w:val="auto"/>
              </w:rPr>
            </w:pPr>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Unaudited Consolidated Statements of Changes in Equity</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Combined Notes to Unaudited Consolidated Financial Statements for Evergy, Inc., Evergy Kansas Central,</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24</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540" w:type="dxa"/>
            <w:vAlign w:val="bottom"/>
            <w:tcBorders>
              <w:top w:val="single" w:sz="8" w:color="0000FF"/>
            </w:tcBorders>
            <w:gridSpan w:val="28"/>
          </w:tcPr>
          <w:p>
            <w:pPr>
              <w:spacing w:after="0" w:line="156" w:lineRule="exact"/>
              <w:rPr>
                <w:sz w:val="20"/>
                <w:szCs w:val="20"/>
                <w:color w:val="auto"/>
              </w:rPr>
            </w:pPr>
            <w:r>
              <w:rPr>
                <w:rFonts w:ascii="Times New Roman" w:cs="Times New Roman" w:eastAsia="Times New Roman" w:hAnsi="Times New Roman"/>
                <w:sz w:val="18"/>
                <w:szCs w:val="18"/>
                <w:color w:val="0000FF"/>
              </w:rPr>
              <w:t>Inc. and Evergy Metro, Inc.</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w:t>
            </w:r>
          </w:p>
        </w:tc>
        <w:tc>
          <w:tcPr>
            <w:tcW w:w="28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8"/>
              </w:rPr>
              <w:t>Organization and Basis of Presentation</w:t>
            </w:r>
          </w:p>
        </w:tc>
        <w:tc>
          <w:tcPr>
            <w:tcW w:w="3840" w:type="dxa"/>
            <w:vAlign w:val="bottom"/>
            <w:gridSpan w:val="7"/>
          </w:tcPr>
          <w:p>
            <w:pPr>
              <w:spacing w:after="0"/>
              <w:rPr>
                <w:sz w:val="19"/>
                <w:szCs w:val="19"/>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24</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2:</w:t>
            </w: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5"/>
              </w:rPr>
              <w:t>Revenue</w:t>
            </w:r>
          </w:p>
        </w:tc>
        <w:tc>
          <w:tcPr>
            <w:tcW w:w="2180" w:type="dxa"/>
            <w:vAlign w:val="bottom"/>
            <w:gridSpan w:val="12"/>
          </w:tcPr>
          <w:p>
            <w:pPr>
              <w:spacing w:after="0"/>
              <w:rPr>
                <w:sz w:val="18"/>
                <w:szCs w:val="18"/>
                <w:color w:val="auto"/>
              </w:rPr>
            </w:pPr>
          </w:p>
        </w:tc>
        <w:tc>
          <w:tcPr>
            <w:tcW w:w="3840" w:type="dxa"/>
            <w:vAlign w:val="bottom"/>
            <w:gridSpan w:val="7"/>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29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3:</w:t>
            </w:r>
          </w:p>
        </w:tc>
        <w:tc>
          <w:tcPr>
            <w:tcW w:w="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Receivables</w:t>
            </w:r>
          </w:p>
        </w:tc>
        <w:tc>
          <w:tcPr>
            <w:tcW w:w="5780" w:type="dxa"/>
            <w:vAlign w:val="bottom"/>
            <w:gridSpan w:val="17"/>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4:</w:t>
            </w:r>
          </w:p>
        </w:tc>
        <w:tc>
          <w:tcPr>
            <w:tcW w:w="66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Rate Matters and Regulation</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5:</w:t>
            </w:r>
          </w:p>
        </w:tc>
        <w:tc>
          <w:tcPr>
            <w:tcW w:w="20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Goodwill</w:t>
            </w:r>
          </w:p>
        </w:tc>
        <w:tc>
          <w:tcPr>
            <w:tcW w:w="4600" w:type="dxa"/>
            <w:vAlign w:val="bottom"/>
            <w:gridSpan w:val="11"/>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6:</w:t>
            </w:r>
          </w:p>
        </w:tc>
        <w:tc>
          <w:tcPr>
            <w:tcW w:w="21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Asset Retirement Obligations</w:t>
            </w:r>
          </w:p>
        </w:tc>
        <w:tc>
          <w:tcPr>
            <w:tcW w:w="4520" w:type="dxa"/>
            <w:vAlign w:val="bottom"/>
            <w:gridSpan w:val="10"/>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7:</w:t>
            </w:r>
          </w:p>
        </w:tc>
        <w:tc>
          <w:tcPr>
            <w:tcW w:w="31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Pension Plans and Post-Retirement Benefits</w:t>
            </w:r>
          </w:p>
        </w:tc>
        <w:tc>
          <w:tcPr>
            <w:tcW w:w="3480" w:type="dxa"/>
            <w:vAlign w:val="bottom"/>
            <w:gridSpan w:val="5"/>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8:</w:t>
            </w:r>
          </w:p>
        </w:tc>
        <w:tc>
          <w:tcPr>
            <w:tcW w:w="66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Short-Term Borrowings and Short-Term Bank Lines of Credit</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9:</w:t>
            </w: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6"/>
              </w:rPr>
              <w:t>Long-Term Debt</w:t>
            </w:r>
          </w:p>
        </w:tc>
        <w:tc>
          <w:tcPr>
            <w:tcW w:w="3240" w:type="dxa"/>
            <w:vAlign w:val="bottom"/>
            <w:gridSpan w:val="12"/>
          </w:tcPr>
          <w:p>
            <w:pPr>
              <w:spacing w:after="0"/>
              <w:rPr>
                <w:sz w:val="18"/>
                <w:szCs w:val="18"/>
                <w:color w:val="auto"/>
              </w:rPr>
            </w:pPr>
          </w:p>
        </w:tc>
        <w:tc>
          <w:tcPr>
            <w:tcW w:w="2200" w:type="dxa"/>
            <w:vAlign w:val="bottom"/>
            <w:gridSpan w:val="3"/>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10:</w:t>
            </w:r>
          </w:p>
        </w:tc>
        <w:tc>
          <w:tcPr>
            <w:tcW w:w="1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7"/>
              </w:rPr>
              <w:t>Derivative Instruments</w:t>
            </w:r>
          </w:p>
        </w:tc>
        <w:tc>
          <w:tcPr>
            <w:tcW w:w="5000" w:type="dxa"/>
            <w:vAlign w:val="bottom"/>
            <w:gridSpan w:val="13"/>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38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11:</w:t>
            </w:r>
          </w:p>
        </w:tc>
        <w:tc>
          <w:tcPr>
            <w:tcW w:w="66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Fair Value Measurements</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42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620" w:type="dxa"/>
            <w:vAlign w:val="bottom"/>
            <w:tcBorders>
              <w:left w:val="single" w:sz="8" w:color="0000FF"/>
            </w:tcBorders>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12:</w:t>
            </w:r>
          </w:p>
        </w:tc>
        <w:tc>
          <w:tcPr>
            <w:tcW w:w="66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Commitments and Contingencies</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48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13:</w:t>
            </w:r>
          </w:p>
        </w:tc>
        <w:tc>
          <w:tcPr>
            <w:tcW w:w="66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Related Party Transactions and Relationships</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52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1140" w:type="dxa"/>
            <w:vAlign w:val="bottom"/>
            <w:tcBorders>
              <w:left w:val="single" w:sz="8" w:color="0000FF"/>
            </w:tcBorders>
            <w:gridSpan w:val="6"/>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14:</w:t>
            </w:r>
          </w:p>
        </w:tc>
        <w:tc>
          <w:tcPr>
            <w:tcW w:w="32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Variable Interest Entities</w:t>
            </w:r>
          </w:p>
        </w:tc>
        <w:tc>
          <w:tcPr>
            <w:tcW w:w="3400" w:type="dxa"/>
            <w:vAlign w:val="bottom"/>
            <w:gridSpan w:val="4"/>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50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8"/>
                <w:szCs w:val="18"/>
                <w:color w:val="auto"/>
              </w:rPr>
              <w:t>Note 15:</w:t>
            </w:r>
          </w:p>
        </w:tc>
        <w:tc>
          <w:tcPr>
            <w:tcW w:w="17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Taxes</w:t>
            </w:r>
          </w:p>
        </w:tc>
        <w:tc>
          <w:tcPr>
            <w:tcW w:w="4880" w:type="dxa"/>
            <w:vAlign w:val="bottom"/>
            <w:gridSpan w:val="12"/>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55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640" w:type="dxa"/>
            <w:vAlign w:val="bottom"/>
            <w:gridSpan w:val="2"/>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57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5"/>
            <w:shd w:val="clear" w:color="auto" w:fill="0000FF"/>
          </w:tcPr>
          <w:p>
            <w:pPr>
              <w:spacing w:after="0" w:line="20" w:lineRule="exact"/>
              <w:rPr>
                <w:sz w:val="1"/>
                <w:szCs w:val="1"/>
                <w:color w:val="auto"/>
              </w:rPr>
            </w:pPr>
          </w:p>
        </w:tc>
        <w:tc>
          <w:tcPr>
            <w:tcW w:w="2020" w:type="dxa"/>
            <w:vAlign w:val="bottom"/>
            <w:gridSpan w:val="10"/>
            <w:shd w:val="clear" w:color="auto" w:fill="0000FF"/>
          </w:tcPr>
          <w:p>
            <w:pPr>
              <w:spacing w:after="0" w:line="20" w:lineRule="exact"/>
              <w:rPr>
                <w:sz w:val="1"/>
                <w:szCs w:val="1"/>
                <w:color w:val="auto"/>
              </w:rPr>
            </w:pPr>
          </w:p>
        </w:tc>
        <w:tc>
          <w:tcPr>
            <w:tcW w:w="2100" w:type="dxa"/>
            <w:vAlign w:val="bottom"/>
            <w:tcBorders>
              <w:left w:val="single" w:sz="8" w:color="0000FF"/>
            </w:tcBorders>
            <w:gridSpan w:val="4"/>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00" w:type="dxa"/>
            <w:vAlign w:val="bottom"/>
            <w:gridSpan w:val="4"/>
          </w:tcPr>
          <w:p>
            <w:pPr>
              <w:spacing w:after="0"/>
              <w:rPr>
                <w:sz w:val="18"/>
                <w:szCs w:val="18"/>
                <w:color w:val="auto"/>
              </w:rPr>
            </w:pPr>
          </w:p>
        </w:tc>
        <w:tc>
          <w:tcPr>
            <w:tcW w:w="1640" w:type="dxa"/>
            <w:vAlign w:val="bottom"/>
            <w:gridSpan w:val="2"/>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76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5"/>
            <w:shd w:val="clear" w:color="auto" w:fill="0000FF"/>
          </w:tcPr>
          <w:p>
            <w:pPr>
              <w:spacing w:after="0" w:line="20" w:lineRule="exact"/>
              <w:rPr>
                <w:sz w:val="1"/>
                <w:szCs w:val="1"/>
                <w:color w:val="auto"/>
              </w:rPr>
            </w:pPr>
          </w:p>
        </w:tc>
        <w:tc>
          <w:tcPr>
            <w:tcW w:w="2020" w:type="dxa"/>
            <w:vAlign w:val="bottom"/>
            <w:gridSpan w:val="10"/>
            <w:shd w:val="clear" w:color="auto" w:fill="0000FF"/>
          </w:tcPr>
          <w:p>
            <w:pPr>
              <w:spacing w:after="0" w:line="20" w:lineRule="exact"/>
              <w:rPr>
                <w:sz w:val="1"/>
                <w:szCs w:val="1"/>
                <w:color w:val="auto"/>
              </w:rPr>
            </w:pPr>
          </w:p>
        </w:tc>
        <w:tc>
          <w:tcPr>
            <w:tcW w:w="3740" w:type="dxa"/>
            <w:vAlign w:val="bottom"/>
            <w:tcBorders>
              <w:left w:val="single" w:sz="8" w:color="0000FF"/>
            </w:tcBorders>
            <w:gridSpan w:val="6"/>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740" w:type="dxa"/>
            <w:vAlign w:val="bottom"/>
            <w:gridSpan w:val="6"/>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77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1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50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4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78</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78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0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78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020" w:type="dxa"/>
            <w:vAlign w:val="bottom"/>
            <w:tcBorders>
              <w:left w:val="single" w:sz="8" w:color="0000FF"/>
            </w:tcBorders>
            <w:gridSpan w:val="7"/>
            <w:shd w:val="clear" w:color="auto" w:fill="0000FF"/>
          </w:tcPr>
          <w:p>
            <w:pPr>
              <w:spacing w:after="0" w:line="20" w:lineRule="exact"/>
              <w:rPr>
                <w:sz w:val="1"/>
                <w:szCs w:val="1"/>
                <w:color w:val="auto"/>
              </w:rPr>
            </w:pPr>
          </w:p>
        </w:tc>
        <w:tc>
          <w:tcPr>
            <w:tcW w:w="2020" w:type="dxa"/>
            <w:vAlign w:val="bottom"/>
            <w:gridSpan w:val="10"/>
            <w:shd w:val="clear" w:color="auto" w:fill="0000FF"/>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gridSpan w:val="10"/>
          </w:tcPr>
          <w:p>
            <w:pPr>
              <w:spacing w:after="0"/>
              <w:rPr>
                <w:sz w:val="18"/>
                <w:szCs w:val="18"/>
                <w:color w:val="auto"/>
              </w:rPr>
            </w:pPr>
          </w:p>
        </w:tc>
        <w:tc>
          <w:tcPr>
            <w:tcW w:w="3740" w:type="dxa"/>
            <w:vAlign w:val="bottom"/>
            <w:gridSpan w:val="6"/>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78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020" w:type="dxa"/>
            <w:vAlign w:val="bottom"/>
            <w:tcBorders>
              <w:left w:val="single" w:sz="8" w:color="0000FF"/>
            </w:tcBorders>
            <w:gridSpan w:val="7"/>
            <w:shd w:val="clear" w:color="auto" w:fill="0000FF"/>
          </w:tcPr>
          <w:p>
            <w:pPr>
              <w:spacing w:after="0" w:line="20" w:lineRule="exact"/>
              <w:rPr>
                <w:sz w:val="1"/>
                <w:szCs w:val="1"/>
                <w:color w:val="auto"/>
              </w:rPr>
            </w:pPr>
          </w:p>
        </w:tc>
        <w:tc>
          <w:tcPr>
            <w:tcW w:w="5760" w:type="dxa"/>
            <w:vAlign w:val="bottom"/>
            <w:gridSpan w:val="16"/>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760" w:type="dxa"/>
            <w:vAlign w:val="bottom"/>
            <w:gridSpan w:val="16"/>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79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4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79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5"/>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80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0000FF"/>
                <w:w w:val="99"/>
              </w:rPr>
              <w:t>82</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40"/>
          </w:cols>
          <w:pgMar w:left="320" w:top="118" w:right="8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18" w:right="8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STATEMENTS REGARDING CERTAIN FORWARD-LOOKING INFORMATION</w:t>
      </w:r>
    </w:p>
    <w:p>
      <w:pPr>
        <w:spacing w:after="0" w:line="32"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0"/>
          <w:szCs w:val="20"/>
          <w:color w:val="auto"/>
        </w:rPr>
        <w:t>Statements made in this document that are not based on historical facts are forward-looking, may involve risks and uncertainties, and are intended to be as of the date when made. Forward-looking statements include, but are not limited to, statements relating to Evergy's strategic plan, including, without limitation, those related to earnings per share, dividend, operating and maintenance expense and capital investment goals; the outcome of legislative efforts and regulatory and legal proceedings; future energy demand; future power prices; plans with respect to existing and potential future generation resources; the availability and cost of generation resources and energy storage; target emissions reductions; and other matters relating to expected financial performance or affecting future operations. Forward-looking statements are often accompanied by forward-looking words such as "anticipates," "believes," "expects," "estimates," "forecasts," "should," "could," "may," "seeks," "intends," "proposed," "projects," "planned," "target," "outlook," "remain confident," "goal," "will" or other words of similar meaning. Forward-looking statements involve risks, uncertainties and other factors that could cause actual results to differ materially from the forward-looking information.</w:t>
      </w:r>
    </w:p>
    <w:p>
      <w:pPr>
        <w:spacing w:after="0" w:line="20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In connection with the safe harbor provisions of the Private Securities Litigation Reform Act of 1995, the Evergy Companies are providing a number of risks, uncertainties and other factors that could cause actual results to differ from the forward-looking information. These risks, uncertainties and other factors include, but are not limited to: economic and weather conditions and any impact on sales, prices and costs; changes in business strategy or operations; the impact of federal, state and local political, legislative, judicial and regulatory actions or developments, including deregulation, re-regulation, securitization and restructuring of the electric utility industry; decisions of regulators regarding, among other things, customer rates and the prudency of operational decisions such as capital expenditures and asset retirements; changes in applicable laws, regulations, rules, principles or practices, or the interpretations thereof, governing tax, accounting and environmental matters, including air and water quality and waste management and disposal; the impact of climate change, including increased frequency and severity of significant weather events and the extent to which counterparties are willing to do business with, finance the operations of or purchase energy from the Evergy Companies due to the fact that the Evergy Companies operate coal-fired generation; prices and availability of electricity and natural gas in wholesale markets; market perception of the energy industry and the Evergy Companies; the impact of future pandemic health events on, among other things, sales, results of operations, financial position, liquidity and cash flows, and also on operational issues, such as supply chain issues and the availability and ability of the Evergy Companies' employees and suppliers to perform the functions that are necessary to operate the Evergy Companies; changes in the energy trading markets in which the Evergy Companies participate, including retroactive repricing of transactions by regional transmission organizations (RTO) and independent system operators; financial market conditions and performance, disruptions in the banking industry, including volatility in interest rates and credit spreads and in availability and cost of capital and the effects on derivatives and hedges, nuclear decommissioning trust and pension plan assets and costs; impairments of long-lived assets or goodwill; credit ratings; inflation rates; effectiveness of risk management policies and procedures and the ability of counterparties to satisfy their contractual commitments; impact of physical and cybersecurity breaches, criminal activity, terrorist attacks, acts of war and other disruptions to the Evergy Companies' facilities or information technology infrastructure or the facilities and infrastructure of third-party service providers on which the Evergy Companies rely; impact of geopolitical conflicts on the global energy market, including the ability to contract for non-Russian sourced uranium; ability to carry out marketing and sales plans; cost, availability, quality and timely provision of equipment, supplies, labor and fuel; impacts of tariffs; ability to achieve generation goals and the occurrence and duration of planned and unplanned generation outages; delays and cost increases of generation, transmission, distribution or other projects; the Evergy Companies' ability to manage their transmission and distribution development plans and transmission joint ventures; the inherent risks associated with the ownership and operation of a nuclear facility, including environmental, health, safety, regulatory and financial risks; workforce risks, including those related to the Evergy Companies' ability to attract and retain qualified personnel, maintain satisfactory relationships with their labor unions and manage costs of, or changes in, wages, retirement, health care and other benefits; disruption, costs and uncertainties caused by or related to the actions of individuals or entities, such as activist shareholders or special interest groups, that seek to influence Evergy's strategic plan, financial results or operations; the impact of changing expectations and demands of the Evergy Companies' customers, regulators, investors and stakeholders, including heightened emphasis on environmental, social and governance concerns; the possibility that strategic initiatives, including mergers,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20"/>
          <w:szCs w:val="20"/>
          <w:color w:val="auto"/>
        </w:rPr>
        <w:t>acquisitions and divestitures, and long-term financial plans, may not create the value that they are expected to achieve in a timely manner or at all; difficulties in maintaining relationships with customers, employees, regulators or suppliers; and other risks and uncertainties.</w:t>
      </w:r>
    </w:p>
    <w:p>
      <w:pPr>
        <w:spacing w:after="0" w:line="14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This list of factors is not all-inclusive because it is not possible to predict all factors. You should also carefully consider the information contained in the Evergy Companies' other filings with the Securities and Exchange Commission (SEC). Additional risks and uncertainties are discussed from time to time in current, quarterly and annual reports filed by the Evergy Companies with the SEC. New factors emerge from time to time, and it's not possible for the Evergy Companies to predict all such factors, nor can the Evergy Companies assess the impact of each such factor on the business or the extent to which any factor, or combination of factors, may cause actual results to differ materially from those contained or implied in any forward-looking statement. Given these uncertainties, undue reliance should not be placed on these forward-looking statements. The Evergy Companies undertake no obligation to publicly update or revise any forward-looking statement, whether as a result of new information, future events or otherwise, except as required by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32"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The SEC maintains an internet site that contains reports, proxy and information statements and other information regarding issuers that file electronically with the SEC at 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http://investors.evergy.com. Such reports are accessible at no charge and are made available as soon as reasonably practical after such material is filed with or furnished to the SEC.</w:t>
      </w:r>
    </w:p>
    <w:p>
      <w:pPr>
        <w:spacing w:after="0" w:line="196" w:lineRule="exact"/>
        <w:rPr>
          <w:sz w:val="20"/>
          <w:szCs w:val="20"/>
          <w:color w:val="auto"/>
        </w:rPr>
      </w:pPr>
    </w:p>
    <w:p>
      <w:pPr>
        <w:ind w:right="540"/>
        <w:spacing w:after="0" w:line="254" w:lineRule="auto"/>
        <w:rPr>
          <w:sz w:val="20"/>
          <w:szCs w:val="20"/>
          <w:color w:val="auto"/>
        </w:rPr>
      </w:pPr>
      <w:r>
        <w:rPr>
          <w:rFonts w:ascii="Times New Roman" w:cs="Times New Roman" w:eastAsia="Times New Roman" w:hAnsi="Times New Roman"/>
          <w:sz w:val="20"/>
          <w:szCs w:val="20"/>
          <w:color w:val="auto"/>
        </w:rPr>
        <w:t>Investors should note that the Evergy Companies announce material financial information in SEC filings, press releases and public conference calls. In accordance with SEC guidelines, the Evergy Companies also use the Investor Relations section of their website, http://investors.evergy.com, to communicate with investors. It is possible that the financial and other information posted there could be deemed to be material information. The information on the Evergy Companies' website is not part of this document.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GLOSSARY OF TERMS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glossary of frequently used abbreviations or acronyms that are found throughout this report.</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8"/>
              </w:rPr>
              <w:t>Abbreviation or Acronym</w:t>
            </w:r>
          </w:p>
        </w:tc>
        <w:tc>
          <w:tcPr>
            <w:tcW w:w="11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Definition</w:t>
            </w:r>
          </w:p>
        </w:tc>
        <w:tc>
          <w:tcPr>
            <w:tcW w:w="0" w:type="dxa"/>
            <w:vAlign w:val="bottom"/>
          </w:tcPr>
          <w:p>
            <w:pPr>
              <w:spacing w:after="0"/>
              <w:rPr>
                <w:sz w:val="1"/>
                <w:szCs w:val="1"/>
                <w:color w:val="auto"/>
              </w:rPr>
            </w:pPr>
          </w:p>
        </w:tc>
      </w:tr>
      <w:tr>
        <w:trPr>
          <w:trHeight w:val="534"/>
        </w:trPr>
        <w:tc>
          <w:tcPr>
            <w:tcW w:w="2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AEP</w:t>
            </w:r>
          </w:p>
        </w:tc>
        <w:tc>
          <w:tcPr>
            <w:tcW w:w="1140" w:type="dxa"/>
            <w:vAlign w:val="bottom"/>
          </w:tcPr>
          <w:p>
            <w:pPr>
              <w:spacing w:after="0"/>
              <w:rPr>
                <w:sz w:val="24"/>
                <w:szCs w:val="24"/>
                <w:color w:val="auto"/>
              </w:rPr>
            </w:pPr>
          </w:p>
        </w:tc>
        <w:tc>
          <w:tcPr>
            <w:tcW w:w="35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American Electric Power Company, Inc.</w:t>
            </w:r>
          </w:p>
        </w:tc>
        <w:tc>
          <w:tcPr>
            <w:tcW w:w="840" w:type="dxa"/>
            <w:vAlign w:val="bottom"/>
            <w:tcBorders>
              <w:top w:val="single" w:sz="8" w:color="auto"/>
            </w:tcBorders>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AFUDC</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Allowance for funds used during construction</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AOCI</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Accumulated other comprehensive income</w:t>
            </w:r>
          </w:p>
        </w:tc>
        <w:tc>
          <w:tcPr>
            <w:tcW w:w="0" w:type="dxa"/>
            <w:vAlign w:val="bottom"/>
          </w:tcPr>
          <w:p>
            <w:pPr>
              <w:spacing w:after="0"/>
              <w:rPr>
                <w:sz w:val="1"/>
                <w:szCs w:val="1"/>
                <w:color w:val="auto"/>
              </w:rPr>
            </w:pPr>
          </w:p>
        </w:tc>
      </w:tr>
      <w:tr>
        <w:trPr>
          <w:trHeight w:val="256"/>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AROs</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Asset retirement obligations</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BSER</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Best system of emission reduction</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CAA</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Clean Air Act</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CCRs</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Coal combustion residuals</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CCS</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Carbon capture and sequestration</w:t>
            </w:r>
          </w:p>
        </w:tc>
        <w:tc>
          <w:tcPr>
            <w:tcW w:w="0" w:type="dxa"/>
            <w:vAlign w:val="bottom"/>
          </w:tcPr>
          <w:p>
            <w:pPr>
              <w:spacing w:after="0"/>
              <w:rPr>
                <w:sz w:val="1"/>
                <w:szCs w:val="1"/>
                <w:color w:val="auto"/>
              </w:rPr>
            </w:pPr>
          </w:p>
        </w:tc>
      </w:tr>
      <w:tr>
        <w:trPr>
          <w:trHeight w:val="256"/>
        </w:trPr>
        <w:tc>
          <w:tcPr>
            <w:tcW w:w="3340" w:type="dxa"/>
            <w:vAlign w:val="bottom"/>
            <w:gridSpan w:val="2"/>
          </w:tcPr>
          <w:p>
            <w:pPr>
              <w:spacing w:after="0" w:line="257" w:lineRule="exact"/>
              <w:rPr>
                <w:sz w:val="20"/>
                <w:szCs w:val="20"/>
                <w:color w:val="auto"/>
              </w:rPr>
            </w:pPr>
            <w:r>
              <w:rPr>
                <w:rFonts w:ascii="Times New Roman" w:cs="Times New Roman" w:eastAsia="Times New Roman" w:hAnsi="Times New Roman"/>
                <w:sz w:val="20"/>
                <w:szCs w:val="20"/>
                <w:b w:val="1"/>
                <w:bCs w:val="1"/>
                <w:color w:val="auto"/>
              </w:rPr>
              <w:t>CO</w:t>
            </w:r>
            <w:r>
              <w:rPr>
                <w:rFonts w:ascii="Times New Roman" w:cs="Times New Roman" w:eastAsia="Times New Roman" w:hAnsi="Times New Roman"/>
                <w:sz w:val="25"/>
                <w:szCs w:val="25"/>
                <w:b w:val="1"/>
                <w:bCs w:val="1"/>
                <w:color w:val="auto"/>
                <w:vertAlign w:val="subscript"/>
              </w:rPr>
              <w:t>2</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Carbon dioxide</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COLI</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Corporate-owned life insurance</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Crossroads</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Crossroads Energy Center</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CSAPR</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Cross-State Air Pollution Rule</w:t>
            </w:r>
          </w:p>
        </w:tc>
        <w:tc>
          <w:tcPr>
            <w:tcW w:w="0" w:type="dxa"/>
            <w:vAlign w:val="bottom"/>
          </w:tcPr>
          <w:p>
            <w:pPr>
              <w:spacing w:after="0"/>
              <w:rPr>
                <w:sz w:val="1"/>
                <w:szCs w:val="1"/>
                <w:color w:val="auto"/>
              </w:rPr>
            </w:pPr>
          </w:p>
        </w:tc>
      </w:tr>
      <w:tr>
        <w:trPr>
          <w:trHeight w:val="256"/>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Dogwood</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Dogwood Energy Center</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EPA</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Environmental Protection Agency</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EPS</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Earnings per common share</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ERISA</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Employee Retirement Income Security Act of 1974, as amended</w:t>
            </w:r>
          </w:p>
        </w:tc>
        <w:tc>
          <w:tcPr>
            <w:tcW w:w="0" w:type="dxa"/>
            <w:vAlign w:val="bottom"/>
          </w:tcPr>
          <w:p>
            <w:pPr>
              <w:spacing w:after="0"/>
              <w:rPr>
                <w:sz w:val="1"/>
                <w:szCs w:val="1"/>
                <w:color w:val="auto"/>
              </w:rPr>
            </w:pPr>
          </w:p>
        </w:tc>
      </w:tr>
      <w:tr>
        <w:trPr>
          <w:trHeight w:val="256"/>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Evergy, Inc. and its consolidated subsidiaries</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 Board</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Evergy Board of Directors</w:t>
            </w:r>
          </w:p>
        </w:tc>
        <w:tc>
          <w:tcPr>
            <w:tcW w:w="0" w:type="dxa"/>
            <w:vAlign w:val="bottom"/>
          </w:tcPr>
          <w:p>
            <w:pPr>
              <w:spacing w:after="0"/>
              <w:rPr>
                <w:sz w:val="1"/>
                <w:szCs w:val="1"/>
                <w:color w:val="auto"/>
              </w:rPr>
            </w:pPr>
          </w:p>
        </w:tc>
      </w:tr>
      <w:tr>
        <w:trPr>
          <w:trHeight w:val="206"/>
        </w:trPr>
        <w:tc>
          <w:tcPr>
            <w:tcW w:w="3340" w:type="dxa"/>
            <w:vAlign w:val="bottom"/>
            <w:gridSpan w:val="2"/>
          </w:tcPr>
          <w:p>
            <w:pPr>
              <w:spacing w:after="0" w:line="207" w:lineRule="exact"/>
              <w:rPr>
                <w:sz w:val="20"/>
                <w:szCs w:val="20"/>
                <w:color w:val="auto"/>
              </w:rPr>
            </w:pPr>
            <w:r>
              <w:rPr>
                <w:rFonts w:ascii="Times New Roman" w:cs="Times New Roman" w:eastAsia="Times New Roman" w:hAnsi="Times New Roman"/>
                <w:sz w:val="20"/>
                <w:szCs w:val="20"/>
                <w:b w:val="1"/>
                <w:bCs w:val="1"/>
                <w:color w:val="auto"/>
              </w:rPr>
              <w:t>Evergy Companies</w:t>
            </w:r>
          </w:p>
        </w:tc>
        <w:tc>
          <w:tcPr>
            <w:tcW w:w="7760" w:type="dxa"/>
            <w:vAlign w:val="bottom"/>
            <w:gridSpan w:val="3"/>
          </w:tcPr>
          <w:p>
            <w:pPr>
              <w:ind w:left="140"/>
              <w:spacing w:after="0" w:line="207" w:lineRule="exact"/>
              <w:rPr>
                <w:sz w:val="20"/>
                <w:szCs w:val="20"/>
                <w:color w:val="auto"/>
              </w:rPr>
            </w:pPr>
            <w:r>
              <w:rPr>
                <w:rFonts w:ascii="Times New Roman" w:cs="Times New Roman" w:eastAsia="Times New Roman" w:hAnsi="Times New Roman"/>
                <w:sz w:val="20"/>
                <w:szCs w:val="20"/>
                <w:color w:val="auto"/>
                <w:w w:val="98"/>
              </w:rPr>
              <w:t>Evergy, Evergy Kansas Central, and Evergy Metro, collectively, which are individual registrants</w:t>
            </w:r>
          </w:p>
        </w:tc>
        <w:tc>
          <w:tcPr>
            <w:tcW w:w="0" w:type="dxa"/>
            <w:vAlign w:val="bottom"/>
          </w:tcPr>
          <w:p>
            <w:pPr>
              <w:spacing w:after="0"/>
              <w:rPr>
                <w:sz w:val="1"/>
                <w:szCs w:val="1"/>
                <w:color w:val="auto"/>
              </w:rPr>
            </w:pPr>
          </w:p>
        </w:tc>
      </w:tr>
      <w:tr>
        <w:trPr>
          <w:trHeight w:val="243"/>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Evergy Kansas Central</w:t>
            </w:r>
          </w:p>
        </w:tc>
        <w:tc>
          <w:tcPr>
            <w:tcW w:w="77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within the Evergy consolidated group</w:t>
            </w:r>
          </w:p>
        </w:tc>
        <w:tc>
          <w:tcPr>
            <w:tcW w:w="0" w:type="dxa"/>
            <w:vAlign w:val="bottom"/>
          </w:tcPr>
          <w:p>
            <w:pPr>
              <w:spacing w:after="0"/>
              <w:rPr>
                <w:sz w:val="1"/>
                <w:szCs w:val="1"/>
                <w:color w:val="auto"/>
              </w:rPr>
            </w:pPr>
          </w:p>
        </w:tc>
      </w:tr>
      <w:tr>
        <w:trPr>
          <w:trHeight w:val="203"/>
        </w:trPr>
        <w:tc>
          <w:tcPr>
            <w:tcW w:w="3340" w:type="dxa"/>
            <w:vAlign w:val="bottom"/>
            <w:gridSpan w:val="2"/>
            <w:vMerge w:val="continue"/>
          </w:tcPr>
          <w:p>
            <w:pPr>
              <w:spacing w:after="0"/>
              <w:rPr>
                <w:sz w:val="17"/>
                <w:szCs w:val="17"/>
                <w:color w:val="auto"/>
              </w:rPr>
            </w:pPr>
          </w:p>
        </w:tc>
        <w:tc>
          <w:tcPr>
            <w:tcW w:w="7760" w:type="dxa"/>
            <w:vAlign w:val="bottom"/>
            <w:gridSpan w:val="3"/>
          </w:tcPr>
          <w:p>
            <w:pPr>
              <w:ind w:left="140"/>
              <w:spacing w:after="0" w:line="203" w:lineRule="exact"/>
              <w:rPr>
                <w:sz w:val="20"/>
                <w:szCs w:val="20"/>
                <w:color w:val="auto"/>
              </w:rPr>
            </w:pPr>
            <w:r>
              <w:rPr>
                <w:rFonts w:ascii="Times New Roman" w:cs="Times New Roman" w:eastAsia="Times New Roman" w:hAnsi="Times New Roman"/>
                <w:sz w:val="20"/>
                <w:szCs w:val="20"/>
                <w:color w:val="auto"/>
              </w:rPr>
              <w:t>Evergy Kansas Central, Inc., a wholly-owned subsidiary of Evergy, and its consolidated</w:t>
            </w:r>
          </w:p>
        </w:tc>
        <w:tc>
          <w:tcPr>
            <w:tcW w:w="0" w:type="dxa"/>
            <w:vAlign w:val="bottom"/>
          </w:tcPr>
          <w:p>
            <w:pPr>
              <w:spacing w:after="0"/>
              <w:rPr>
                <w:sz w:val="1"/>
                <w:szCs w:val="1"/>
                <w:color w:val="auto"/>
              </w:rPr>
            </w:pPr>
          </w:p>
        </w:tc>
      </w:tr>
      <w:tr>
        <w:trPr>
          <w:trHeight w:val="243"/>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Evergy Kansas South</w:t>
            </w:r>
          </w:p>
        </w:tc>
        <w:tc>
          <w:tcPr>
            <w:tcW w:w="77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subsidiaries</w:t>
            </w:r>
          </w:p>
        </w:tc>
        <w:tc>
          <w:tcPr>
            <w:tcW w:w="0" w:type="dxa"/>
            <w:vAlign w:val="bottom"/>
          </w:tcPr>
          <w:p>
            <w:pPr>
              <w:spacing w:after="0"/>
              <w:rPr>
                <w:sz w:val="1"/>
                <w:szCs w:val="1"/>
                <w:color w:val="auto"/>
              </w:rPr>
            </w:pPr>
          </w:p>
        </w:tc>
      </w:tr>
      <w:tr>
        <w:trPr>
          <w:trHeight w:val="253"/>
        </w:trPr>
        <w:tc>
          <w:tcPr>
            <w:tcW w:w="3340" w:type="dxa"/>
            <w:vAlign w:val="bottom"/>
            <w:gridSpan w:val="2"/>
            <w:vMerge w:val="continue"/>
          </w:tcPr>
          <w:p>
            <w:pPr>
              <w:spacing w:after="0"/>
              <w:rPr>
                <w:sz w:val="21"/>
                <w:szCs w:val="21"/>
                <w:color w:val="auto"/>
              </w:rPr>
            </w:pP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Evergy Kansas South, Inc., a wholly-owned subsidiary of Evergy Kansas Central</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 Metro</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Evergy Metro, Inc., a wholly-owned subsidiary of Evergy, and its consolidated subsidiaries</w:t>
            </w:r>
          </w:p>
        </w:tc>
        <w:tc>
          <w:tcPr>
            <w:tcW w:w="0" w:type="dxa"/>
            <w:vAlign w:val="bottom"/>
          </w:tcPr>
          <w:p>
            <w:pPr>
              <w:spacing w:after="0"/>
              <w:rPr>
                <w:sz w:val="1"/>
                <w:szCs w:val="1"/>
                <w:color w:val="auto"/>
              </w:rPr>
            </w:pPr>
          </w:p>
        </w:tc>
      </w:tr>
      <w:tr>
        <w:trPr>
          <w:trHeight w:val="256"/>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 Missouri West</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Evergy Missouri West, Inc., a wholly-owned subsidiary of Evergy</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 Missouri West Storm Funding</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Evergy Missouri West Storm Funding I, LLC</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 Transmission Company</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Evergy Transmission Company, LLC</w:t>
            </w:r>
          </w:p>
        </w:tc>
        <w:tc>
          <w:tcPr>
            <w:tcW w:w="0" w:type="dxa"/>
            <w:vAlign w:val="bottom"/>
          </w:tcPr>
          <w:p>
            <w:pPr>
              <w:spacing w:after="0"/>
              <w:rPr>
                <w:sz w:val="1"/>
                <w:szCs w:val="1"/>
                <w:color w:val="auto"/>
              </w:rPr>
            </w:pPr>
          </w:p>
        </w:tc>
      </w:tr>
      <w:tr>
        <w:trPr>
          <w:trHeight w:val="256"/>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Exchange Act</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The Securities Exchange Act of 1934, as amended</w:t>
            </w:r>
          </w:p>
        </w:tc>
        <w:tc>
          <w:tcPr>
            <w:tcW w:w="0" w:type="dxa"/>
            <w:vAlign w:val="bottom"/>
          </w:tcPr>
          <w:p>
            <w:pPr>
              <w:spacing w:after="0"/>
              <w:rPr>
                <w:sz w:val="1"/>
                <w:szCs w:val="1"/>
                <w:color w:val="auto"/>
              </w:rPr>
            </w:pPr>
          </w:p>
        </w:tc>
      </w:tr>
      <w:tr>
        <w:trPr>
          <w:trHeight w:val="206"/>
        </w:trPr>
        <w:tc>
          <w:tcPr>
            <w:tcW w:w="3340" w:type="dxa"/>
            <w:vAlign w:val="bottom"/>
            <w:gridSpan w:val="2"/>
          </w:tcPr>
          <w:p>
            <w:pPr>
              <w:spacing w:after="0" w:line="207" w:lineRule="exact"/>
              <w:rPr>
                <w:sz w:val="20"/>
                <w:szCs w:val="20"/>
                <w:color w:val="auto"/>
              </w:rPr>
            </w:pPr>
            <w:r>
              <w:rPr>
                <w:rFonts w:ascii="Times New Roman" w:cs="Times New Roman" w:eastAsia="Times New Roman" w:hAnsi="Times New Roman"/>
                <w:sz w:val="20"/>
                <w:szCs w:val="20"/>
                <w:b w:val="1"/>
                <w:bCs w:val="1"/>
                <w:color w:val="auto"/>
              </w:rPr>
              <w:t>February 2021 winter weather event</w:t>
            </w:r>
          </w:p>
        </w:tc>
        <w:tc>
          <w:tcPr>
            <w:tcW w:w="7760" w:type="dxa"/>
            <w:vAlign w:val="bottom"/>
            <w:gridSpan w:val="3"/>
          </w:tcPr>
          <w:p>
            <w:pPr>
              <w:ind w:left="140"/>
              <w:spacing w:after="0" w:line="207" w:lineRule="exact"/>
              <w:rPr>
                <w:sz w:val="20"/>
                <w:szCs w:val="20"/>
                <w:color w:val="auto"/>
              </w:rPr>
            </w:pPr>
            <w:r>
              <w:rPr>
                <w:rFonts w:ascii="Times New Roman" w:cs="Times New Roman" w:eastAsia="Times New Roman" w:hAnsi="Times New Roman"/>
                <w:sz w:val="20"/>
                <w:szCs w:val="20"/>
                <w:color w:val="auto"/>
              </w:rPr>
              <w:t>Significant winter weather event in February 2021 that resulted in extremely cold temperatures</w:t>
            </w:r>
          </w:p>
        </w:tc>
        <w:tc>
          <w:tcPr>
            <w:tcW w:w="0" w:type="dxa"/>
            <w:vAlign w:val="bottom"/>
          </w:tcPr>
          <w:p>
            <w:pPr>
              <w:spacing w:after="0"/>
              <w:rPr>
                <w:sz w:val="1"/>
                <w:szCs w:val="1"/>
                <w:color w:val="auto"/>
              </w:rPr>
            </w:pPr>
          </w:p>
        </w:tc>
      </w:tr>
      <w:tr>
        <w:trPr>
          <w:trHeight w:val="243"/>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FERC</w:t>
            </w:r>
          </w:p>
        </w:tc>
        <w:tc>
          <w:tcPr>
            <w:tcW w:w="77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over a multi-day period across much of the central and southern United States</w:t>
            </w:r>
          </w:p>
        </w:tc>
        <w:tc>
          <w:tcPr>
            <w:tcW w:w="0" w:type="dxa"/>
            <w:vAlign w:val="bottom"/>
          </w:tcPr>
          <w:p>
            <w:pPr>
              <w:spacing w:after="0"/>
              <w:rPr>
                <w:sz w:val="1"/>
                <w:szCs w:val="1"/>
                <w:color w:val="auto"/>
              </w:rPr>
            </w:pPr>
          </w:p>
        </w:tc>
      </w:tr>
      <w:tr>
        <w:trPr>
          <w:trHeight w:val="253"/>
        </w:trPr>
        <w:tc>
          <w:tcPr>
            <w:tcW w:w="3340" w:type="dxa"/>
            <w:vAlign w:val="bottom"/>
            <w:gridSpan w:val="2"/>
            <w:vMerge w:val="continue"/>
          </w:tcPr>
          <w:p>
            <w:pPr>
              <w:spacing w:after="0"/>
              <w:rPr>
                <w:sz w:val="21"/>
                <w:szCs w:val="21"/>
                <w:color w:val="auto"/>
              </w:rPr>
            </w:pP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Federal Energy Regulatory Commission</w:t>
            </w:r>
          </w:p>
        </w:tc>
        <w:tc>
          <w:tcPr>
            <w:tcW w:w="0" w:type="dxa"/>
            <w:vAlign w:val="bottom"/>
          </w:tcPr>
          <w:p>
            <w:pPr>
              <w:spacing w:after="0"/>
              <w:rPr>
                <w:sz w:val="1"/>
                <w:szCs w:val="1"/>
                <w:color w:val="auto"/>
              </w:rPr>
            </w:pPr>
          </w:p>
        </w:tc>
      </w:tr>
      <w:tr>
        <w:trPr>
          <w:trHeight w:val="256"/>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FIP</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Federal implementation plan</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FMBs</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First Mortgage Bonds</w:t>
            </w:r>
          </w:p>
        </w:tc>
        <w:tc>
          <w:tcPr>
            <w:tcW w:w="0" w:type="dxa"/>
            <w:vAlign w:val="bottom"/>
          </w:tcPr>
          <w:p>
            <w:pPr>
              <w:spacing w:after="0"/>
              <w:rPr>
                <w:sz w:val="1"/>
                <w:szCs w:val="1"/>
                <w:color w:val="auto"/>
              </w:rPr>
            </w:pPr>
          </w:p>
        </w:tc>
      </w:tr>
      <w:tr>
        <w:trPr>
          <w:trHeight w:val="256"/>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GAAP</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Generally Accepted Accounting Principles</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GHG</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Greenhouse gas</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Great Plains Energy</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Great Plains Energy. Inc.</w:t>
            </w:r>
          </w:p>
        </w:tc>
        <w:tc>
          <w:tcPr>
            <w:tcW w:w="0" w:type="dxa"/>
            <w:vAlign w:val="bottom"/>
          </w:tcPr>
          <w:p>
            <w:pPr>
              <w:spacing w:after="0"/>
              <w:rPr>
                <w:sz w:val="1"/>
                <w:szCs w:val="1"/>
                <w:color w:val="auto"/>
              </w:rPr>
            </w:pPr>
          </w:p>
        </w:tc>
      </w:tr>
      <w:tr>
        <w:trPr>
          <w:trHeight w:val="256"/>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ITFIP</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Interstate Transport Federal Implementation Plans</w:t>
            </w:r>
          </w:p>
        </w:tc>
        <w:tc>
          <w:tcPr>
            <w:tcW w:w="0" w:type="dxa"/>
            <w:vAlign w:val="bottom"/>
          </w:tcPr>
          <w:p>
            <w:pPr>
              <w:spacing w:after="0"/>
              <w:rPr>
                <w:sz w:val="1"/>
                <w:szCs w:val="1"/>
                <w:color w:val="auto"/>
              </w:rPr>
            </w:pPr>
          </w:p>
        </w:tc>
      </w:tr>
      <w:tr>
        <w:trPr>
          <w:trHeight w:val="256"/>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ITSIP</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Interstate Transport State Implementation Plans</w:t>
            </w:r>
          </w:p>
        </w:tc>
        <w:tc>
          <w:tcPr>
            <w:tcW w:w="0" w:type="dxa"/>
            <w:vAlign w:val="bottom"/>
          </w:tcPr>
          <w:p>
            <w:pPr>
              <w:spacing w:after="0"/>
              <w:rPr>
                <w:sz w:val="1"/>
                <w:szCs w:val="1"/>
                <w:color w:val="auto"/>
              </w:rPr>
            </w:pPr>
          </w:p>
        </w:tc>
      </w:tr>
      <w:tr>
        <w:trPr>
          <w:trHeight w:val="262"/>
        </w:trPr>
        <w:tc>
          <w:tcPr>
            <w:tcW w:w="33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JEC</w:t>
            </w:r>
          </w:p>
        </w:tc>
        <w:tc>
          <w:tcPr>
            <w:tcW w:w="77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Jeffrey Energy Center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Table of Contents</w:t>
            </w:r>
          </w:p>
        </w:tc>
        <w:tc>
          <w:tcPr>
            <w:tcW w:w="1440" w:type="dxa"/>
            <w:vAlign w:val="bottom"/>
            <w:gridSpan w:val="2"/>
          </w:tcPr>
          <w:p>
            <w:pPr>
              <w:spacing w:after="0"/>
              <w:rPr>
                <w:sz w:val="19"/>
                <w:szCs w:val="19"/>
                <w:color w:val="auto"/>
              </w:rPr>
            </w:pPr>
          </w:p>
        </w:tc>
        <w:tc>
          <w:tcPr>
            <w:tcW w:w="4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885"/>
        </w:trPr>
        <w:tc>
          <w:tcPr>
            <w:tcW w:w="2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w w:val="98"/>
              </w:rPr>
              <w:t>Abbreviation or Acronym</w:t>
            </w:r>
          </w:p>
        </w:tc>
        <w:tc>
          <w:tcPr>
            <w:tcW w:w="6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Definition</w:t>
            </w:r>
          </w:p>
        </w:tc>
      </w:tr>
      <w:tr>
        <w:trPr>
          <w:trHeight w:val="20"/>
        </w:trPr>
        <w:tc>
          <w:tcPr>
            <w:tcW w:w="20" w:type="dxa"/>
            <w:vAlign w:val="bottom"/>
          </w:tcPr>
          <w:p>
            <w:pPr>
              <w:spacing w:after="0" w:line="20" w:lineRule="exact"/>
              <w:rPr>
                <w:sz w:val="1"/>
                <w:szCs w:val="1"/>
                <w:color w:val="auto"/>
              </w:rPr>
            </w:pPr>
          </w:p>
        </w:tc>
        <w:tc>
          <w:tcPr>
            <w:tcW w:w="220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KCC</w:t>
            </w:r>
          </w:p>
        </w:tc>
        <w:tc>
          <w:tcPr>
            <w:tcW w:w="640" w:type="dxa"/>
            <w:vAlign w:val="bottom"/>
          </w:tcPr>
          <w:p>
            <w:pPr>
              <w:spacing w:after="0"/>
              <w:rPr>
                <w:sz w:val="24"/>
                <w:szCs w:val="24"/>
                <w:color w:val="auto"/>
              </w:rPr>
            </w:pP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State Corporation Commission of the State of Kansas</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kV</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Kilovolt</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MATS</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Mercury and Air Toxics Standards</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MDNR</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Missouri Department of Natural Resources</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MPSC</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Public Service Commission of the State of Missouri</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MW</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Megawatt</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MWh</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Megawatt hour</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NAAQS</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National Ambient Air Quality Standards</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NAV</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Net asset value</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OCI</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Other comprehensive income</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Persimmon Creek</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Persimmon Creek Wind Farm 1, LLC</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PISA</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Plant-in-service accounting</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Prairie Wind</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Prairie Wind Transmission, LLC, 50% owned by Evergy Kansas Central</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RSU</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Restricted share unit</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RTO</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Regional transmission organization</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SEC</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Securities and Exchange Commission</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SIP</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State implementation plan</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SPP</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Southwest Power Pool, Inc.</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TCR</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Transmission congestion rights</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TDC</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Transmission delivery charge</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TFR</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Transmission formula rate</w:t>
            </w:r>
          </w:p>
        </w:tc>
      </w:tr>
      <w:tr>
        <w:trPr>
          <w:trHeight w:val="257"/>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Transource</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Transource Energy, LLC and its subsidiaries, 13.5% owned by Evergy Transmission Company</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VIE</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Variable interest entity</w:t>
            </w:r>
          </w:p>
        </w:tc>
      </w:tr>
      <w:tr>
        <w:trPr>
          <w:trHeight w:val="262"/>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Wolf Creek</w:t>
            </w:r>
          </w:p>
        </w:tc>
        <w:tc>
          <w:tcPr>
            <w:tcW w:w="8380" w:type="dxa"/>
            <w:vAlign w:val="bottom"/>
            <w:gridSpan w:val="3"/>
          </w:tcPr>
          <w:p>
            <w:pPr>
              <w:ind w:left="640"/>
              <w:spacing w:after="0"/>
              <w:rPr>
                <w:sz w:val="20"/>
                <w:szCs w:val="20"/>
                <w:color w:val="auto"/>
              </w:rPr>
            </w:pPr>
            <w:r>
              <w:rPr>
                <w:rFonts w:ascii="Times New Roman" w:cs="Times New Roman" w:eastAsia="Times New Roman" w:hAnsi="Times New Roman"/>
                <w:sz w:val="20"/>
                <w:szCs w:val="20"/>
                <w:color w:val="auto"/>
              </w:rPr>
              <w:t>Wolf Creek Generating Station</w:t>
            </w:r>
          </w:p>
        </w:tc>
      </w:tr>
      <w:tr>
        <w:trPr>
          <w:trHeight w:val="966"/>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6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7</w:t>
            </w:r>
          </w:p>
        </w:tc>
        <w:tc>
          <w:tcPr>
            <w:tcW w:w="8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 -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FINANCIAL STATEMENTS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December 31</w:t>
            </w:r>
          </w:p>
        </w:tc>
      </w:tr>
      <w:tr>
        <w:trPr>
          <w:trHeight w:val="229"/>
        </w:trPr>
        <w:tc>
          <w:tcPr>
            <w:tcW w:w="85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2023</w:t>
            </w:r>
          </w:p>
        </w:tc>
      </w:tr>
      <w:tr>
        <w:trPr>
          <w:trHeight w:val="212"/>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8"/>
                <w:szCs w:val="18"/>
                <w:color w:val="auto"/>
              </w:rPr>
            </w:pPr>
          </w:p>
        </w:tc>
        <w:tc>
          <w:tcPr>
            <w:tcW w:w="2480" w:type="dxa"/>
            <w:vAlign w:val="bottom"/>
            <w:gridSpan w:val="3"/>
          </w:tcPr>
          <w:p>
            <w:pPr>
              <w:jc w:val="right"/>
              <w:ind w:right="399"/>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17"/>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26.1</w:t>
            </w:r>
          </w:p>
        </w:tc>
        <w:tc>
          <w:tcPr>
            <w:tcW w:w="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27.7</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Receivables, net of allowance for credit losses of $18.0 and $24.2, respectively</w:t>
            </w:r>
          </w:p>
        </w:tc>
        <w:tc>
          <w:tcPr>
            <w:tcW w:w="18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429.3</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256.9</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pledged as collateral</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329.0</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342.0</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18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806.7</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776.2</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receivable</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11.5</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Regulatory assets, includes $15.4 and $— related to variable interest entity, respectively</w:t>
            </w:r>
          </w:p>
        </w:tc>
        <w:tc>
          <w:tcPr>
            <w:tcW w:w="18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252.0</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292.1</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73.3</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51.3</w:t>
            </w:r>
          </w:p>
        </w:tc>
      </w:tr>
      <w:tr>
        <w:trPr>
          <w:trHeight w:val="214"/>
        </w:trPr>
        <w:tc>
          <w:tcPr>
            <w:tcW w:w="8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47.6</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31.4</w:t>
            </w:r>
          </w:p>
        </w:tc>
      </w:tr>
      <w:tr>
        <w:trPr>
          <w:trHeight w:val="211"/>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1,964.0</w:t>
            </w: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1,789.1</w:t>
            </w:r>
          </w:p>
        </w:tc>
      </w:tr>
      <w:tr>
        <w:trPr>
          <w:trHeight w:val="208"/>
        </w:trPr>
        <w:tc>
          <w:tcPr>
            <w:tcW w:w="8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 includes $130.0 and $133.6 related to variable interest entity, respectively</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24,301.4</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23,728.7</w:t>
            </w:r>
          </w:p>
        </w:tc>
      </w:tr>
      <w:tr>
        <w:trPr>
          <w:trHeight w:val="211"/>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Regulatory assets, includes $302.6 and $— related to variable interest entity, respectively</w:t>
            </w:r>
          </w:p>
        </w:tc>
        <w:tc>
          <w:tcPr>
            <w:tcW w:w="18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1,843.5</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1,795.3</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Nuclear decommissioning trust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827.7</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766.4</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8"/>
                <w:szCs w:val="18"/>
                <w:color w:val="auto"/>
              </w:rPr>
            </w:pPr>
          </w:p>
        </w:tc>
        <w:tc>
          <w:tcPr>
            <w:tcW w:w="10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2,336.6</w:t>
            </w:r>
          </w:p>
        </w:tc>
        <w:tc>
          <w:tcPr>
            <w:tcW w:w="4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2,336.6</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557.8</w:t>
            </w: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560.0</w:t>
            </w:r>
          </w:p>
        </w:tc>
      </w:tr>
      <w:tr>
        <w:trPr>
          <w:trHeight w:val="208"/>
        </w:trPr>
        <w:tc>
          <w:tcPr>
            <w:tcW w:w="8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Other Assets</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5,565.6</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5,458.3</w:t>
            </w:r>
          </w:p>
        </w:tc>
      </w:tr>
      <w:tr>
        <w:trPr>
          <w:trHeight w:val="218"/>
        </w:trPr>
        <w:tc>
          <w:tcPr>
            <w:tcW w:w="8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31,831.0</w:t>
            </w:r>
          </w:p>
        </w:tc>
        <w:tc>
          <w:tcPr>
            <w:tcW w:w="4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30,976.1</w:t>
            </w: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29"/>
        </w:trPr>
        <w:tc>
          <w:tcPr>
            <w:tcW w:w="86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212"/>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60" w:type="dxa"/>
            <w:vAlign w:val="bottom"/>
          </w:tcPr>
          <w:p>
            <w:pPr>
              <w:spacing w:after="0"/>
              <w:rPr>
                <w:sz w:val="18"/>
                <w:szCs w:val="18"/>
                <w:color w:val="auto"/>
              </w:rPr>
            </w:pPr>
          </w:p>
        </w:tc>
        <w:tc>
          <w:tcPr>
            <w:tcW w:w="2440" w:type="dxa"/>
            <w:vAlign w:val="bottom"/>
            <w:gridSpan w:val="3"/>
          </w:tcPr>
          <w:p>
            <w:pPr>
              <w:jc w:val="right"/>
              <w:ind w:right="379"/>
              <w:spacing w:after="0"/>
              <w:rPr>
                <w:sz w:val="20"/>
                <w:szCs w:val="20"/>
                <w:color w:val="auto"/>
              </w:rPr>
            </w:pPr>
            <w:r>
              <w:rPr>
                <w:rFonts w:ascii="Times New Roman" w:cs="Times New Roman" w:eastAsia="Times New Roman" w:hAnsi="Times New Roman"/>
                <w:sz w:val="14"/>
                <w:szCs w:val="14"/>
                <w:color w:val="auto"/>
              </w:rPr>
              <w:t>(millions, except share amounts)</w:t>
            </w:r>
          </w:p>
        </w:tc>
        <w:tc>
          <w:tcPr>
            <w:tcW w:w="0" w:type="dxa"/>
            <w:vAlign w:val="bottom"/>
          </w:tcPr>
          <w:p>
            <w:pPr>
              <w:spacing w:after="0"/>
              <w:rPr>
                <w:sz w:val="1"/>
                <w:szCs w:val="1"/>
                <w:color w:val="auto"/>
              </w:rPr>
            </w:pPr>
          </w:p>
        </w:tc>
      </w:tr>
      <w:tr>
        <w:trPr>
          <w:trHeight w:val="217"/>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maturities of long-term debt, includes $19.5 and $— related to variable interest entity, respectively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819.5</w:t>
            </w:r>
          </w:p>
        </w:tc>
        <w:tc>
          <w:tcPr>
            <w:tcW w:w="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800.0</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969.7</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951.8</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Collateralized note payable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329.0</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342.0</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374.3</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616.9</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taxes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234.8</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156.7</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interest, includes $6.0 and $— related to variable interest entity, respectively</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117.1</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134.2</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143.5</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183.0</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44.9</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58.3</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74.5</w:t>
            </w:r>
          </w:p>
        </w:tc>
        <w:tc>
          <w:tcPr>
            <w:tcW w:w="0" w:type="dxa"/>
            <w:vAlign w:val="bottom"/>
          </w:tcPr>
          <w:p>
            <w:pPr>
              <w:spacing w:after="0"/>
              <w:rPr>
                <w:sz w:val="1"/>
                <w:szCs w:val="1"/>
                <w:color w:val="auto"/>
              </w:rPr>
            </w:pPr>
          </w:p>
        </w:tc>
      </w:tr>
      <w:tr>
        <w:trPr>
          <w:trHeight w:val="214"/>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219.7</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213.2</w:t>
            </w:r>
          </w:p>
        </w:tc>
        <w:tc>
          <w:tcPr>
            <w:tcW w:w="0" w:type="dxa"/>
            <w:vAlign w:val="bottom"/>
          </w:tcPr>
          <w:p>
            <w:pPr>
              <w:spacing w:after="0"/>
              <w:rPr>
                <w:sz w:val="1"/>
                <w:szCs w:val="1"/>
                <w:color w:val="auto"/>
              </w:rPr>
            </w:pPr>
          </w:p>
        </w:tc>
      </w:tr>
      <w:tr>
        <w:trPr>
          <w:trHeight w:val="211"/>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3,310.8</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3,512.6</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 net, includes $303.6 and $— related to variable interest entity, respectively</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11,954.6</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11,053.3</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2,146.1</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2,097.9</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Unamortized investment tax credits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166.4</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170.0</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2,486.7</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2,542.5</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Pension and post-retirement liability</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486.6</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464.1</w:t>
            </w:r>
          </w:p>
        </w:tc>
        <w:tc>
          <w:tcPr>
            <w:tcW w:w="0" w:type="dxa"/>
            <w:vAlign w:val="bottom"/>
          </w:tcPr>
          <w:p>
            <w:pPr>
              <w:spacing w:after="0"/>
              <w:rPr>
                <w:sz w:val="1"/>
                <w:szCs w:val="1"/>
                <w:color w:val="auto"/>
              </w:rPr>
            </w:pPr>
          </w:p>
        </w:tc>
      </w:tr>
      <w:tr>
        <w:trPr>
          <w:trHeight w:val="214"/>
        </w:trPr>
        <w:tc>
          <w:tcPr>
            <w:tcW w:w="8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1,252.4</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1,162.8</w:t>
            </w:r>
          </w:p>
        </w:tc>
        <w:tc>
          <w:tcPr>
            <w:tcW w:w="0" w:type="dxa"/>
            <w:vAlign w:val="bottom"/>
          </w:tcPr>
          <w:p>
            <w:pPr>
              <w:spacing w:after="0"/>
              <w:rPr>
                <w:sz w:val="1"/>
                <w:szCs w:val="1"/>
                <w:color w:val="auto"/>
              </w:rPr>
            </w:pPr>
          </w:p>
        </w:tc>
      </w:tr>
      <w:tr>
        <w:trPr>
          <w:trHeight w:val="218"/>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295.7</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287.9</w:t>
            </w:r>
          </w:p>
        </w:tc>
        <w:tc>
          <w:tcPr>
            <w:tcW w:w="0" w:type="dxa"/>
            <w:vAlign w:val="bottom"/>
          </w:tcPr>
          <w:p>
            <w:pPr>
              <w:spacing w:after="0"/>
              <w:rPr>
                <w:sz w:val="1"/>
                <w:szCs w:val="1"/>
                <w:color w:val="auto"/>
              </w:rPr>
            </w:pPr>
          </w:p>
        </w:tc>
      </w:tr>
      <w:tr>
        <w:trPr>
          <w:trHeight w:val="208"/>
        </w:trPr>
        <w:tc>
          <w:tcPr>
            <w:tcW w:w="8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18,788.5</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17,778.5</w:t>
            </w:r>
          </w:p>
        </w:tc>
        <w:tc>
          <w:tcPr>
            <w:tcW w:w="0" w:type="dxa"/>
            <w:vAlign w:val="bottom"/>
          </w:tcPr>
          <w:p>
            <w:pPr>
              <w:spacing w:after="0"/>
              <w:rPr>
                <w:sz w:val="1"/>
                <w:szCs w:val="1"/>
                <w:color w:val="auto"/>
              </w:rPr>
            </w:pPr>
          </w:p>
        </w:tc>
      </w:tr>
      <w:tr>
        <w:trPr>
          <w:trHeight w:val="198"/>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Evergy, Inc. Shareholders' Equity:</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64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Common stock - 600,000,000 shares authorized, without par value</w:t>
            </w:r>
          </w:p>
        </w:tc>
        <w:tc>
          <w:tcPr>
            <w:tcW w:w="160" w:type="dxa"/>
            <w:vAlign w:val="bottom"/>
          </w:tcPr>
          <w:p>
            <w:pPr>
              <w:spacing w:after="0"/>
              <w:rPr>
                <w:sz w:val="14"/>
                <w:szCs w:val="14"/>
                <w:color w:val="auto"/>
              </w:rPr>
            </w:pPr>
          </w:p>
        </w:tc>
        <w:tc>
          <w:tcPr>
            <w:tcW w:w="104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7,239.2</w:t>
            </w:r>
          </w:p>
        </w:tc>
        <w:tc>
          <w:tcPr>
            <w:tcW w:w="460" w:type="dxa"/>
            <w:vAlign w:val="bottom"/>
          </w:tcPr>
          <w:p>
            <w:pPr>
              <w:spacing w:after="0"/>
              <w:rPr>
                <w:sz w:val="14"/>
                <w:szCs w:val="14"/>
                <w:color w:val="auto"/>
              </w:rPr>
            </w:pPr>
          </w:p>
        </w:tc>
        <w:tc>
          <w:tcPr>
            <w:tcW w:w="9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7,234.9</w:t>
            </w:r>
          </w:p>
        </w:tc>
        <w:tc>
          <w:tcPr>
            <w:tcW w:w="0" w:type="dxa"/>
            <w:vAlign w:val="bottom"/>
          </w:tcPr>
          <w:p>
            <w:pPr>
              <w:spacing w:after="0"/>
              <w:rPr>
                <w:sz w:val="1"/>
                <w:szCs w:val="1"/>
                <w:color w:val="auto"/>
              </w:rPr>
            </w:pPr>
          </w:p>
        </w:tc>
      </w:tr>
      <w:tr>
        <w:trPr>
          <w:trHeight w:val="213"/>
        </w:trPr>
        <w:tc>
          <w:tcPr>
            <w:tcW w:w="8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229,954,524 and 229,729,296 shares issued, stated value</w:t>
            </w:r>
          </w:p>
        </w:tc>
        <w:tc>
          <w:tcPr>
            <w:tcW w:w="1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2,491.3</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2,457.8</w:t>
            </w:r>
          </w:p>
        </w:tc>
        <w:tc>
          <w:tcPr>
            <w:tcW w:w="0" w:type="dxa"/>
            <w:vAlign w:val="bottom"/>
          </w:tcPr>
          <w:p>
            <w:pPr>
              <w:spacing w:after="0"/>
              <w:rPr>
                <w:sz w:val="1"/>
                <w:szCs w:val="1"/>
                <w:color w:val="auto"/>
              </w:rPr>
            </w:pPr>
          </w:p>
        </w:tc>
      </w:tr>
      <w:tr>
        <w:trPr>
          <w:trHeight w:val="214"/>
        </w:trPr>
        <w:tc>
          <w:tcPr>
            <w:tcW w:w="8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(26.9)</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211"/>
        </w:trPr>
        <w:tc>
          <w:tcPr>
            <w:tcW w:w="8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Evergy, Inc. Shareholders' Equity</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9,703.6</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9,663.1</w:t>
            </w:r>
          </w:p>
        </w:tc>
        <w:tc>
          <w:tcPr>
            <w:tcW w:w="0" w:type="dxa"/>
            <w:vAlign w:val="bottom"/>
          </w:tcPr>
          <w:p>
            <w:pPr>
              <w:spacing w:after="0"/>
              <w:rPr>
                <w:sz w:val="1"/>
                <w:szCs w:val="1"/>
                <w:color w:val="auto"/>
              </w:rPr>
            </w:pPr>
          </w:p>
        </w:tc>
      </w:tr>
      <w:tr>
        <w:trPr>
          <w:trHeight w:val="214"/>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28.1</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11"/>
        </w:trPr>
        <w:tc>
          <w:tcPr>
            <w:tcW w:w="8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Equity</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9,731.7</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9,685.0</w:t>
            </w:r>
          </w:p>
        </w:tc>
        <w:tc>
          <w:tcPr>
            <w:tcW w:w="0" w:type="dxa"/>
            <w:vAlign w:val="bottom"/>
          </w:tcPr>
          <w:p>
            <w:pPr>
              <w:spacing w:after="0"/>
              <w:rPr>
                <w:sz w:val="1"/>
                <w:szCs w:val="1"/>
                <w:color w:val="auto"/>
              </w:rPr>
            </w:pPr>
          </w:p>
        </w:tc>
      </w:tr>
      <w:tr>
        <w:trPr>
          <w:trHeight w:val="217"/>
        </w:trPr>
        <w:tc>
          <w:tcPr>
            <w:tcW w:w="8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31,831.0</w:t>
            </w:r>
          </w:p>
        </w:tc>
        <w:tc>
          <w:tcPr>
            <w:tcW w:w="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30,976.1</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Year to Date</w:t>
            </w:r>
          </w:p>
        </w:tc>
        <w:tc>
          <w:tcPr>
            <w:tcW w:w="700" w:type="dxa"/>
            <w:vAlign w:val="bottom"/>
          </w:tcPr>
          <w:p>
            <w:pPr>
              <w:spacing w:after="0"/>
              <w:rPr>
                <w:sz w:val="16"/>
                <w:szCs w:val="16"/>
                <w:color w:val="auto"/>
              </w:rPr>
            </w:pPr>
          </w:p>
        </w:tc>
      </w:tr>
      <w:tr>
        <w:trPr>
          <w:trHeight w:val="212"/>
        </w:trPr>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00" w:type="dxa"/>
            <w:vAlign w:val="bottom"/>
          </w:tcPr>
          <w:p>
            <w:pPr>
              <w:spacing w:after="0"/>
              <w:rPr>
                <w:sz w:val="18"/>
                <w:szCs w:val="18"/>
                <w:color w:val="auto"/>
              </w:rPr>
            </w:pPr>
          </w:p>
        </w:tc>
      </w:tr>
      <w:tr>
        <w:trPr>
          <w:trHeight w:val="227"/>
        </w:trPr>
        <w:tc>
          <w:tcPr>
            <w:tcW w:w="65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2023</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2023</w:t>
            </w:r>
          </w:p>
        </w:tc>
      </w:tr>
      <w:tr>
        <w:trPr>
          <w:trHeight w:val="195"/>
        </w:trPr>
        <w:tc>
          <w:tcPr>
            <w:tcW w:w="6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40" w:type="dxa"/>
            <w:vAlign w:val="bottom"/>
            <w:gridSpan w:val="4"/>
          </w:tcPr>
          <w:p>
            <w:pPr>
              <w:jc w:val="right"/>
              <w:ind w:right="79"/>
              <w:spacing w:after="0"/>
              <w:rPr>
                <w:sz w:val="20"/>
                <w:szCs w:val="20"/>
                <w:color w:val="auto"/>
              </w:rPr>
            </w:pPr>
            <w:r>
              <w:rPr>
                <w:rFonts w:ascii="Times New Roman" w:cs="Times New Roman" w:eastAsia="Times New Roman" w:hAnsi="Times New Roman"/>
                <w:sz w:val="14"/>
                <w:szCs w:val="14"/>
                <w:color w:val="auto"/>
              </w:rPr>
              <w:t>(millions, except per share amounts)</w:t>
            </w: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1,447.5</w:t>
            </w:r>
          </w:p>
        </w:tc>
        <w:tc>
          <w:tcPr>
            <w:tcW w:w="3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1,354.2</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2,778.5</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2,651.0</w:t>
            </w:r>
          </w:p>
        </w:tc>
      </w:tr>
      <w:tr>
        <w:trPr>
          <w:trHeight w:val="193"/>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Fuel and purchased power</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359.0</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344.8</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735.4</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699.0</w:t>
            </w:r>
          </w:p>
        </w:tc>
      </w:tr>
      <w:tr>
        <w:trPr>
          <w:trHeight w:val="214"/>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SPP network transmission costs</w:t>
            </w:r>
          </w:p>
        </w:tc>
        <w:tc>
          <w:tcPr>
            <w:tcW w:w="2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100.0</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75.4</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172.7</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w:t>
            </w:r>
          </w:p>
        </w:tc>
      </w:tr>
      <w:tr>
        <w:trPr>
          <w:trHeight w:val="218"/>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and maintenance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237.7</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227.6</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469.2</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443.9</w:t>
            </w:r>
          </w:p>
        </w:tc>
      </w:tr>
      <w:tr>
        <w:trPr>
          <w:trHeight w:val="214"/>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280.1</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269.4</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556.2</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532.8</w:t>
            </w:r>
          </w:p>
        </w:tc>
      </w:tr>
      <w:tr>
        <w:trPr>
          <w:trHeight w:val="218"/>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other than income tax</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112.6</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100.4</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226.7</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w:t>
            </w:r>
          </w:p>
        </w:tc>
      </w:tr>
      <w:tr>
        <w:trPr>
          <w:trHeight w:val="208"/>
        </w:trPr>
        <w:tc>
          <w:tcPr>
            <w:tcW w:w="6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1,089.4</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1,017.6</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2,160.2</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2,035.1</w:t>
            </w:r>
          </w:p>
        </w:tc>
      </w:tr>
      <w:tr>
        <w:trPr>
          <w:trHeight w:val="211"/>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358.1</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336.6</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618.3</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615.9</w:t>
            </w:r>
          </w:p>
        </w:tc>
      </w:tr>
      <w:tr>
        <w:trPr>
          <w:trHeight w:val="193"/>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earnings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2.6</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7.9</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14"/>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9.8</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18.3</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18"/>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(11.4)</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(21.0)</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(20.9)</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r>
      <w:tr>
        <w:trPr>
          <w:trHeight w:val="208"/>
        </w:trPr>
        <w:tc>
          <w:tcPr>
            <w:tcW w:w="6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(11.7)</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5.3</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11"/>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143.6</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133.7</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276.8</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256.8</w:t>
            </w:r>
          </w:p>
        </w:tc>
      </w:tr>
      <w:tr>
        <w:trPr>
          <w:trHeight w:val="208"/>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215.5</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191.2</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346.8</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347.4</w:t>
            </w:r>
          </w:p>
        </w:tc>
      </w:tr>
      <w:tr>
        <w:trPr>
          <w:trHeight w:val="21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7.4</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10.8</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14.7</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r>
      <w:tr>
        <w:trPr>
          <w:trHeight w:val="214"/>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in earnings of equity method investees, net of income taxes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3.8</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1"/>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210.1</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182.2</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335.9</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327.9</w:t>
            </w:r>
          </w:p>
        </w:tc>
      </w:tr>
      <w:tr>
        <w:trPr>
          <w:trHeight w:val="214"/>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3.1</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3.1</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6.2</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8"/>
        </w:trPr>
        <w:tc>
          <w:tcPr>
            <w:tcW w:w="6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EVERGY, INC.</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207.0</w:t>
            </w:r>
          </w:p>
        </w:tc>
        <w:tc>
          <w:tcPr>
            <w:tcW w:w="3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179.1</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329.7</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w:t>
            </w:r>
          </w:p>
        </w:tc>
      </w:tr>
      <w:tr>
        <w:trPr>
          <w:trHeight w:val="162"/>
        </w:trPr>
        <w:tc>
          <w:tcPr>
            <w:tcW w:w="6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BASIC AND DILUTED EARNINGS PER AVERAGE COMMON SHARE OUTSTANDING</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13"/>
        </w:trPr>
        <w:tc>
          <w:tcPr>
            <w:tcW w:w="6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ATTRIBUTABLE TO EVERGY, INC. (see Note 1)</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0.90</w:t>
            </w:r>
          </w:p>
        </w:tc>
        <w:tc>
          <w:tcPr>
            <w:tcW w:w="3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0.78</w:t>
            </w:r>
          </w:p>
        </w:tc>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1.43</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14"/>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0.90</w:t>
            </w:r>
          </w:p>
        </w:tc>
        <w:tc>
          <w:tcPr>
            <w:tcW w:w="3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0.78</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1.43</w:t>
            </w:r>
          </w:p>
        </w:tc>
        <w:tc>
          <w:tcPr>
            <w:tcW w:w="4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1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COMMON SHARES OUTSTANDING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4"/>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230.3</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230.1</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230.2</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w:t>
            </w:r>
          </w:p>
        </w:tc>
      </w:tr>
      <w:tr>
        <w:trPr>
          <w:trHeight w:val="225"/>
        </w:trPr>
        <w:tc>
          <w:tcPr>
            <w:tcW w:w="6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230.5</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230.5</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230.5</w:t>
            </w: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230.4</w:t>
            </w:r>
          </w:p>
        </w:tc>
      </w:tr>
      <w:tr>
        <w:trPr>
          <w:trHeight w:val="214"/>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210.1</w:t>
            </w:r>
          </w:p>
        </w:tc>
        <w:tc>
          <w:tcPr>
            <w:tcW w:w="3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182.2</w:t>
            </w:r>
          </w:p>
        </w:tc>
        <w:tc>
          <w:tcPr>
            <w:tcW w:w="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335.9</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327.9</w:t>
            </w:r>
          </w:p>
        </w:tc>
      </w:tr>
      <w:tr>
        <w:trPr>
          <w:trHeight w:val="213"/>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hedging activity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6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Reclassification to expenses, net of tax</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1.4</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2.7</w:t>
            </w: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8"/>
        </w:trPr>
        <w:tc>
          <w:tcPr>
            <w:tcW w:w="6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1.4</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2.7</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1"/>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1.4</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2.7</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8"/>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211.5</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183.5</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338.6</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330.5</w:t>
            </w:r>
          </w:p>
        </w:tc>
      </w:tr>
      <w:tr>
        <w:trPr>
          <w:trHeight w:val="218"/>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3.1</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3.1</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6.2</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7"/>
        </w:trPr>
        <w:tc>
          <w:tcPr>
            <w:tcW w:w="6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EVERGY, INC.</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208.4</w:t>
            </w:r>
          </w:p>
        </w:tc>
        <w:tc>
          <w:tcPr>
            <w:tcW w:w="3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180.4</w:t>
            </w:r>
          </w:p>
        </w:tc>
        <w:tc>
          <w:tcPr>
            <w:tcW w:w="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332.4</w:t>
            </w:r>
          </w:p>
        </w:tc>
        <w:tc>
          <w:tcPr>
            <w:tcW w:w="4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324.3</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to Date June 30</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2023</w:t>
            </w:r>
          </w:p>
        </w:tc>
      </w:tr>
      <w:tr>
        <w:trPr>
          <w:trHeight w:val="213"/>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(USED IN) OPERATING ACTIVITIES:</w:t>
            </w:r>
          </w:p>
        </w:tc>
        <w:tc>
          <w:tcPr>
            <w:tcW w:w="260" w:type="dxa"/>
            <w:vAlign w:val="bottom"/>
          </w:tcPr>
          <w:p>
            <w:pPr>
              <w:spacing w:after="0"/>
              <w:rPr>
                <w:sz w:val="18"/>
                <w:szCs w:val="18"/>
                <w:color w:val="auto"/>
              </w:rPr>
            </w:pP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(millions)</w:t>
            </w:r>
          </w:p>
        </w:tc>
        <w:tc>
          <w:tcPr>
            <w:tcW w:w="880" w:type="dxa"/>
            <w:vAlign w:val="bottom"/>
          </w:tcPr>
          <w:p>
            <w:pPr>
              <w:spacing w:after="0"/>
              <w:rPr>
                <w:sz w:val="18"/>
                <w:szCs w:val="18"/>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335.9</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327.9</w:t>
            </w:r>
          </w:p>
        </w:tc>
      </w:tr>
      <w:tr>
        <w:trPr>
          <w:trHeight w:val="213"/>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income to net cash from operating activities: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556.2</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532.8</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nuclear fuel</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24.4</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refueling outage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9.3</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corporate-owned life insurance</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11.9</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 compensation</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8.1</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deferred income taxes and credits</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(13.5)</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Allowance for equity funds used during construction</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(7.8)</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for asset retirement obligations</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in earnings of equity method investees, net of income taxes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(3.8)</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from corporate-owned life insurance</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(11.4)</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(0.7)</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3"/>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working capital items: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(132.0)</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pledged as collateral</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13.0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(28.7)</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62.0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(129.9)</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w:t>
            </w:r>
          </w:p>
        </w:tc>
      </w:tr>
      <w:tr>
        <w:trPr>
          <w:trHeight w:val="214"/>
        </w:trPr>
        <w:tc>
          <w:tcPr>
            <w:tcW w:w="8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taxes</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89.6</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w:t>
            </w:r>
          </w:p>
        </w:tc>
      </w:tr>
      <w:tr>
        <w:trPr>
          <w:trHeight w:val="218"/>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(118.6)</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w:t>
            </w: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other assets</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(9.6)</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other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(12.6)</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08"/>
        </w:trPr>
        <w:tc>
          <w:tcPr>
            <w:tcW w:w="86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634.8</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715.2</w:t>
            </w:r>
          </w:p>
        </w:tc>
      </w:tr>
      <w:tr>
        <w:trPr>
          <w:trHeight w:val="211"/>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(USED IN) INVESTING ACTIVITIES: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(1,296.1)</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(1,104.2)</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of Persimmon Creek, net of cash acquired</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w:t>
            </w: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securities - trusts</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(60.8)</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 of securities - trusts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56.9</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corporate-owned life insurance</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(15.1)</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investment in corporate-owned life insurance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44.1</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r>
      <w:tr>
        <w:trPr>
          <w:trHeight w:val="214"/>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0.9</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09"/>
        </w:trPr>
        <w:tc>
          <w:tcPr>
            <w:tcW w:w="86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(1,270.1)</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(1,307.4)</w:t>
            </w:r>
          </w:p>
        </w:tc>
      </w:tr>
      <w:tr>
        <w:trPr>
          <w:trHeight w:val="208"/>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(USED IN) FINANCING ACTIVITIES: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debt, net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17.9</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537.4</w:t>
            </w: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Collateralized short-term borrowings, net</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920.7</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690.5</w:t>
            </w: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Retirements of long-term debt</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Borrowings against cash surrender value of corporate-owned life insurance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49.1</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 of borrowings against cash surrender value of corporate-owned life insurance</w:t>
            </w:r>
          </w:p>
        </w:tc>
        <w:tc>
          <w:tcPr>
            <w:tcW w:w="2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(29.6)</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paid</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(295.4)</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(281.3)</w:t>
            </w:r>
          </w:p>
        </w:tc>
      </w:tr>
      <w:tr>
        <w:trPr>
          <w:trHeight w:val="214"/>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(6.6)</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09"/>
        </w:trPr>
        <w:tc>
          <w:tcPr>
            <w:tcW w:w="86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643.1</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598.4</w:t>
            </w:r>
          </w:p>
        </w:tc>
      </w:tr>
      <w:tr>
        <w:trPr>
          <w:trHeight w:val="210"/>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7.8</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4"/>
        </w:trPr>
        <w:tc>
          <w:tcPr>
            <w:tcW w:w="8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Beginning of period</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27.7</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w:t>
            </w:r>
          </w:p>
        </w:tc>
      </w:tr>
      <w:tr>
        <w:trPr>
          <w:trHeight w:val="218"/>
        </w:trPr>
        <w:tc>
          <w:tcPr>
            <w:tcW w:w="86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35.5</w:t>
            </w:r>
          </w:p>
        </w:tc>
        <w:tc>
          <w:tcPr>
            <w:tcW w:w="4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Equity</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5140" w:type="dxa"/>
            <w:vAlign w:val="bottom"/>
          </w:tcPr>
          <w:p>
            <w:pPr>
              <w:spacing w:after="0"/>
              <w:rPr>
                <w:sz w:val="19"/>
                <w:szCs w:val="19"/>
                <w:color w:val="auto"/>
              </w:rPr>
            </w:pPr>
          </w:p>
        </w:tc>
        <w:tc>
          <w:tcPr>
            <w:tcW w:w="3220" w:type="dxa"/>
            <w:vAlign w:val="bottom"/>
            <w:tcBorders>
              <w:bottom w:val="single" w:sz="8" w:color="auto"/>
            </w:tcBorders>
            <w:gridSpan w:val="5"/>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Evergy, Inc. Shareholders</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2"/>
                <w:szCs w:val="12"/>
                <w:color w:val="auto"/>
              </w:rPr>
            </w:pPr>
          </w:p>
        </w:tc>
        <w:tc>
          <w:tcPr>
            <w:tcW w:w="8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40" w:type="dxa"/>
            <w:vAlign w:val="bottom"/>
          </w:tcPr>
          <w:p>
            <w:pPr>
              <w:spacing w:after="0"/>
              <w:rPr>
                <w:sz w:val="12"/>
                <w:szCs w:val="12"/>
                <w:color w:val="auto"/>
              </w:rPr>
            </w:pPr>
          </w:p>
        </w:tc>
        <w:tc>
          <w:tcPr>
            <w:tcW w:w="8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spacing w:after="0" w:line="148" w:lineRule="exact"/>
              <w:rPr>
                <w:sz w:val="20"/>
                <w:szCs w:val="20"/>
                <w:color w:val="auto"/>
              </w:rPr>
            </w:pPr>
            <w:r>
              <w:rPr>
                <w:rFonts w:ascii="Times New Roman" w:cs="Times New Roman" w:eastAsia="Times New Roman" w:hAnsi="Times New Roman"/>
                <w:sz w:val="16"/>
                <w:szCs w:val="16"/>
                <w:b w:val="1"/>
                <w:bCs w:val="1"/>
                <w:color w:val="auto"/>
              </w:rPr>
              <w:t>Non-</w:t>
            </w: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AOCI</w:t>
            </w:r>
          </w:p>
        </w:tc>
        <w:tc>
          <w:tcPr>
            <w:tcW w:w="140" w:type="dxa"/>
            <w:vAlign w:val="bottom"/>
          </w:tcPr>
          <w:p>
            <w:pPr>
              <w:spacing w:after="0"/>
              <w:rPr>
                <w:sz w:val="14"/>
                <w:szCs w:val="14"/>
                <w:color w:val="auto"/>
              </w:rPr>
            </w:pPr>
          </w:p>
        </w:tc>
        <w:tc>
          <w:tcPr>
            <w:tcW w:w="90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00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(millions, except share amounts)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229,546,105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7,219.7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9,493.3</w:t>
            </w: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0" w:type="dxa"/>
            <w:vAlign w:val="bottom"/>
          </w:tcPr>
          <w:p>
            <w:pPr>
              <w:spacing w:after="0"/>
              <w:rPr>
                <w:sz w:val="1"/>
                <w:szCs w:val="1"/>
                <w:color w:val="auto"/>
              </w:rPr>
            </w:pPr>
          </w:p>
        </w:tc>
      </w:tr>
      <w:tr>
        <w:trPr>
          <w:trHeight w:val="165"/>
        </w:trPr>
        <w:tc>
          <w:tcPr>
            <w:tcW w:w="51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stock compensation and reinvested dividends, net of tax</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130,594</w:t>
            </w: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withholding</w:t>
            </w:r>
          </w:p>
        </w:tc>
        <w:tc>
          <w:tcPr>
            <w:tcW w:w="12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on common stock ($0.6125 per share)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equivalents declared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Unearned compensation</w:t>
            </w: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Compensation expense recognized</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2"/>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229,676,699</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7,222.2</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9,501.7</w:t>
            </w: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179.1</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0" w:type="dxa"/>
            <w:vAlign w:val="bottom"/>
          </w:tcPr>
          <w:p>
            <w:pPr>
              <w:spacing w:after="0"/>
              <w:rPr>
                <w:sz w:val="1"/>
                <w:szCs w:val="1"/>
                <w:color w:val="auto"/>
              </w:rPr>
            </w:pPr>
          </w:p>
        </w:tc>
      </w:tr>
      <w:tr>
        <w:trPr>
          <w:trHeight w:val="165"/>
        </w:trPr>
        <w:tc>
          <w:tcPr>
            <w:tcW w:w="51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stock compensation and reinvested dividends, net of tax</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25,010</w:t>
            </w: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withholding</w:t>
            </w:r>
          </w:p>
        </w:tc>
        <w:tc>
          <w:tcPr>
            <w:tcW w:w="12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on common stock ($0.6125 per share)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equivalents declared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3"/>
        </w:trPr>
        <w:tc>
          <w:tcPr>
            <w:tcW w:w="5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Unearned compensation</w:t>
            </w: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Compensation expense recognized</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9"/>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2023</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229,701,709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7,229.0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2,337.8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3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Equity</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5120" w:type="dxa"/>
            <w:vAlign w:val="bottom"/>
          </w:tcPr>
          <w:p>
            <w:pPr>
              <w:spacing w:after="0"/>
              <w:rPr>
                <w:sz w:val="19"/>
                <w:szCs w:val="19"/>
                <w:color w:val="auto"/>
              </w:rPr>
            </w:pPr>
          </w:p>
        </w:tc>
        <w:tc>
          <w:tcPr>
            <w:tcW w:w="3200" w:type="dxa"/>
            <w:vAlign w:val="bottom"/>
            <w:tcBorders>
              <w:bottom w:val="single" w:sz="8" w:color="auto"/>
            </w:tcBorders>
            <w:gridSpan w:val="5"/>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Evergy, Inc. Shareholders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2"/>
                <w:szCs w:val="12"/>
                <w:color w:val="auto"/>
              </w:rPr>
            </w:pPr>
          </w:p>
        </w:tc>
        <w:tc>
          <w:tcPr>
            <w:tcW w:w="8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40" w:type="dxa"/>
            <w:vAlign w:val="bottom"/>
          </w:tcPr>
          <w:p>
            <w:pPr>
              <w:spacing w:after="0"/>
              <w:rPr>
                <w:sz w:val="12"/>
                <w:szCs w:val="12"/>
                <w:color w:val="auto"/>
              </w:rPr>
            </w:pPr>
          </w:p>
        </w:tc>
        <w:tc>
          <w:tcPr>
            <w:tcW w:w="8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19"/>
              <w:spacing w:after="0" w:line="148" w:lineRule="exact"/>
              <w:rPr>
                <w:sz w:val="20"/>
                <w:szCs w:val="20"/>
                <w:color w:val="auto"/>
              </w:rPr>
            </w:pPr>
            <w:r>
              <w:rPr>
                <w:rFonts w:ascii="Times New Roman" w:cs="Times New Roman" w:eastAsia="Times New Roman" w:hAnsi="Times New Roman"/>
                <w:sz w:val="16"/>
                <w:szCs w:val="16"/>
                <w:b w:val="1"/>
                <w:bCs w:val="1"/>
                <w:color w:val="auto"/>
              </w:rPr>
              <w:t>Non-</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AOCI</w:t>
            </w:r>
          </w:p>
        </w:tc>
        <w:tc>
          <w:tcPr>
            <w:tcW w:w="120" w:type="dxa"/>
            <w:vAlign w:val="bottom"/>
          </w:tcPr>
          <w:p>
            <w:pPr>
              <w:spacing w:after="0"/>
              <w:rPr>
                <w:sz w:val="14"/>
                <w:szCs w:val="14"/>
                <w:color w:val="auto"/>
              </w:rPr>
            </w:pPr>
          </w:p>
        </w:tc>
        <w:tc>
          <w:tcPr>
            <w:tcW w:w="9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00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(millions, except share amounts)</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229,729,296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9,685.0</w:t>
            </w:r>
          </w:p>
        </w:tc>
        <w:tc>
          <w:tcPr>
            <w:tcW w:w="0" w:type="dxa"/>
            <w:vAlign w:val="bottom"/>
          </w:tcPr>
          <w:p>
            <w:pPr>
              <w:spacing w:after="0"/>
              <w:rPr>
                <w:sz w:val="1"/>
                <w:szCs w:val="1"/>
                <w:color w:val="auto"/>
              </w:rPr>
            </w:pPr>
          </w:p>
        </w:tc>
      </w:tr>
      <w:tr>
        <w:trPr>
          <w:trHeight w:val="21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0" w:type="dxa"/>
            <w:vAlign w:val="bottom"/>
          </w:tcPr>
          <w:p>
            <w:pPr>
              <w:spacing w:after="0"/>
              <w:rPr>
                <w:sz w:val="1"/>
                <w:szCs w:val="1"/>
                <w:color w:val="auto"/>
              </w:rPr>
            </w:pPr>
          </w:p>
        </w:tc>
      </w:tr>
      <w:tr>
        <w:trPr>
          <w:trHeight w:val="165"/>
        </w:trPr>
        <w:tc>
          <w:tcPr>
            <w:tcW w:w="512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Issuance of stock compensation and reinvested dividends, net of tax</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193,042</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withholding</w:t>
            </w:r>
          </w:p>
        </w:tc>
        <w:tc>
          <w:tcPr>
            <w:tcW w:w="12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Dividends declared on common stock ($0.6425 per share)</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equivalents declared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229,922,338</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7,235.0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2,432.4</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9,664.1</w:t>
            </w:r>
          </w:p>
        </w:tc>
        <w:tc>
          <w:tcPr>
            <w:tcW w:w="0" w:type="dxa"/>
            <w:vAlign w:val="bottom"/>
          </w:tcPr>
          <w:p>
            <w:pPr>
              <w:spacing w:after="0"/>
              <w:rPr>
                <w:sz w:val="1"/>
                <w:szCs w:val="1"/>
                <w:color w:val="auto"/>
              </w:rPr>
            </w:pPr>
          </w:p>
        </w:tc>
      </w:tr>
      <w:tr>
        <w:trPr>
          <w:trHeight w:val="21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207.0</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0" w:type="dxa"/>
            <w:vAlign w:val="bottom"/>
          </w:tcPr>
          <w:p>
            <w:pPr>
              <w:spacing w:after="0"/>
              <w:rPr>
                <w:sz w:val="1"/>
                <w:szCs w:val="1"/>
                <w:color w:val="auto"/>
              </w:rPr>
            </w:pPr>
          </w:p>
        </w:tc>
      </w:tr>
      <w:tr>
        <w:trPr>
          <w:trHeight w:val="165"/>
        </w:trPr>
        <w:tc>
          <w:tcPr>
            <w:tcW w:w="512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Issuance of stock compensation and reinvested dividends, net of tax</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32,186</w:t>
            </w:r>
          </w:p>
        </w:tc>
        <w:tc>
          <w:tcPr>
            <w:tcW w:w="1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withholding</w:t>
            </w:r>
          </w:p>
        </w:tc>
        <w:tc>
          <w:tcPr>
            <w:tcW w:w="12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Dividends declared on common stock ($0.6425 per share)</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equivalents declared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3"/>
        </w:trPr>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3"/>
        </w:trPr>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9"/>
        </w:trPr>
        <w:tc>
          <w:tcPr>
            <w:tcW w:w="5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229,954,524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7,239.2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2,491.3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9,731.7</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December 31</w:t>
            </w:r>
          </w:p>
        </w:tc>
      </w:tr>
      <w:tr>
        <w:trPr>
          <w:trHeight w:val="229"/>
        </w:trPr>
        <w:tc>
          <w:tcPr>
            <w:tcW w:w="86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2023</w:t>
            </w:r>
          </w:p>
        </w:tc>
      </w:tr>
      <w:tr>
        <w:trPr>
          <w:trHeight w:val="212"/>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8"/>
                <w:szCs w:val="18"/>
                <w:color w:val="auto"/>
              </w:rPr>
            </w:pPr>
          </w:p>
        </w:tc>
        <w:tc>
          <w:tcPr>
            <w:tcW w:w="2480" w:type="dxa"/>
            <w:vAlign w:val="bottom"/>
            <w:gridSpan w:val="3"/>
          </w:tcPr>
          <w:p>
            <w:pPr>
              <w:jc w:val="right"/>
              <w:ind w:right="399"/>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17"/>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7.0</w:t>
            </w:r>
          </w:p>
        </w:tc>
        <w:tc>
          <w:tcPr>
            <w:tcW w:w="4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9.2</w:t>
            </w:r>
          </w:p>
        </w:tc>
      </w:tr>
      <w:tr>
        <w:trPr>
          <w:trHeight w:val="214"/>
        </w:trPr>
        <w:tc>
          <w:tcPr>
            <w:tcW w:w="8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Receivables, net of allowance for credit losses of $8.8 and $11.6, respectively</w:t>
            </w:r>
          </w:p>
        </w:tc>
        <w:tc>
          <w:tcPr>
            <w:tcW w:w="16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238.0</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171.8</w:t>
            </w:r>
          </w:p>
        </w:tc>
      </w:tr>
      <w:tr>
        <w:trPr>
          <w:trHeight w:val="218"/>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17.2</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11.6</w:t>
            </w:r>
          </w:p>
        </w:tc>
      </w:tr>
      <w:tr>
        <w:trPr>
          <w:trHeight w:val="214"/>
        </w:trPr>
        <w:tc>
          <w:tcPr>
            <w:tcW w:w="8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pledged as collateral</w:t>
            </w:r>
          </w:p>
        </w:tc>
        <w:tc>
          <w:tcPr>
            <w:tcW w:w="16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169.0</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166.0</w:t>
            </w:r>
          </w:p>
        </w:tc>
      </w:tr>
      <w:tr>
        <w:trPr>
          <w:trHeight w:val="218"/>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430.8</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411.9</w:t>
            </w:r>
          </w:p>
        </w:tc>
      </w:tr>
      <w:tr>
        <w:trPr>
          <w:trHeight w:val="214"/>
        </w:trPr>
        <w:tc>
          <w:tcPr>
            <w:tcW w:w="8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receivable</w:t>
            </w:r>
          </w:p>
        </w:tc>
        <w:tc>
          <w:tcPr>
            <w:tcW w:w="16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11.5</w:t>
            </w:r>
          </w:p>
        </w:tc>
      </w:tr>
      <w:tr>
        <w:trPr>
          <w:trHeight w:val="218"/>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Regulatory assets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113.3</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127.7</w:t>
            </w:r>
          </w:p>
        </w:tc>
      </w:tr>
      <w:tr>
        <w:trPr>
          <w:trHeight w:val="214"/>
        </w:trPr>
        <w:tc>
          <w:tcPr>
            <w:tcW w:w="8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16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34.6</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22.9</w:t>
            </w:r>
          </w:p>
        </w:tc>
      </w:tr>
      <w:tr>
        <w:trPr>
          <w:trHeight w:val="218"/>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11.9</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13.2</w:t>
            </w:r>
          </w:p>
        </w:tc>
      </w:tr>
      <w:tr>
        <w:trPr>
          <w:trHeight w:val="208"/>
        </w:trPr>
        <w:tc>
          <w:tcPr>
            <w:tcW w:w="8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1,021.8</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945.8</w:t>
            </w:r>
          </w:p>
        </w:tc>
      </w:tr>
      <w:tr>
        <w:trPr>
          <w:trHeight w:val="211"/>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 includes $130.0 and $133.6 related to variable interest entity, respectively</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12,441.7</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12,121.9</w:t>
            </w:r>
          </w:p>
        </w:tc>
      </w:tr>
      <w:tr>
        <w:trPr>
          <w:trHeight w:val="207"/>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Regulatory assets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543.8</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505.2</w:t>
            </w:r>
          </w:p>
        </w:tc>
      </w:tr>
      <w:tr>
        <w:trPr>
          <w:trHeight w:val="214"/>
        </w:trPr>
        <w:tc>
          <w:tcPr>
            <w:tcW w:w="8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Nuclear decommissioning trust</w:t>
            </w:r>
          </w:p>
        </w:tc>
        <w:tc>
          <w:tcPr>
            <w:tcW w:w="16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387.6</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365.1</w:t>
            </w:r>
          </w:p>
        </w:tc>
      </w:tr>
      <w:tr>
        <w:trPr>
          <w:trHeight w:val="218"/>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269.8</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288.6</w:t>
            </w:r>
          </w:p>
        </w:tc>
      </w:tr>
      <w:tr>
        <w:trPr>
          <w:trHeight w:val="208"/>
        </w:trPr>
        <w:tc>
          <w:tcPr>
            <w:tcW w:w="8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Other Assets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1,201.2</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1,158.9</w:t>
            </w:r>
          </w:p>
        </w:tc>
      </w:tr>
      <w:tr>
        <w:trPr>
          <w:trHeight w:val="218"/>
        </w:trPr>
        <w:tc>
          <w:tcPr>
            <w:tcW w:w="8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14,664.7</w:t>
            </w:r>
          </w:p>
        </w:tc>
        <w:tc>
          <w:tcPr>
            <w:tcW w:w="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14,226.6</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December 31</w:t>
            </w:r>
          </w:p>
        </w:tc>
      </w:tr>
      <w:tr>
        <w:trPr>
          <w:trHeight w:val="229"/>
        </w:trPr>
        <w:tc>
          <w:tcPr>
            <w:tcW w:w="85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2023</w:t>
            </w:r>
          </w:p>
        </w:tc>
      </w:tr>
      <w:tr>
        <w:trPr>
          <w:trHeight w:val="212"/>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60" w:type="dxa"/>
            <w:vAlign w:val="bottom"/>
          </w:tcPr>
          <w:p>
            <w:pPr>
              <w:spacing w:after="0"/>
              <w:rPr>
                <w:sz w:val="18"/>
                <w:szCs w:val="18"/>
                <w:color w:val="auto"/>
              </w:rPr>
            </w:pPr>
          </w:p>
        </w:tc>
        <w:tc>
          <w:tcPr>
            <w:tcW w:w="2440" w:type="dxa"/>
            <w:vAlign w:val="bottom"/>
            <w:gridSpan w:val="3"/>
          </w:tcPr>
          <w:p>
            <w:pPr>
              <w:jc w:val="right"/>
              <w:ind w:right="379"/>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17"/>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595.6</w:t>
            </w:r>
          </w:p>
        </w:tc>
        <w:tc>
          <w:tcPr>
            <w:tcW w:w="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230.4</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Collateralized note payable</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169.0</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166.0</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191.9</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244.7</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Related party payables</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193.7</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294.4</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taxes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116.6</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111.1</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interest</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53.8</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79.7</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73.3</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104.1</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25.9</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22.2</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31.0</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37.6</w:t>
            </w:r>
          </w:p>
        </w:tc>
      </w:tr>
      <w:tr>
        <w:trPr>
          <w:trHeight w:val="214"/>
        </w:trPr>
        <w:tc>
          <w:tcPr>
            <w:tcW w:w="8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143.3</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142.4</w:t>
            </w:r>
          </w:p>
        </w:tc>
      </w:tr>
      <w:tr>
        <w:trPr>
          <w:trHeight w:val="211"/>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1,594.1</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1,432.6</w:t>
            </w:r>
          </w:p>
        </w:tc>
      </w:tr>
      <w:tr>
        <w:trPr>
          <w:trHeight w:val="207"/>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 net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4,581.8</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4,580.4</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852.1</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844.2</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Unamortized investment tax credits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54.3</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56.2</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1,400.9</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1,432.4</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Pension and post-retirement liability</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265.9</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256.3</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630.1</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577.1</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157.5</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155.5</w:t>
            </w:r>
          </w:p>
        </w:tc>
      </w:tr>
      <w:tr>
        <w:trPr>
          <w:trHeight w:val="208"/>
        </w:trPr>
        <w:tc>
          <w:tcPr>
            <w:tcW w:w="8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7,942.6</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7,902.1</w:t>
            </w:r>
          </w:p>
        </w:tc>
      </w:tr>
      <w:tr>
        <w:trPr>
          <w:trHeight w:val="198"/>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Evergy Kansas Central, Inc. Shareholder's Equity:</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4"/>
        </w:trPr>
        <w:tc>
          <w:tcPr>
            <w:tcW w:w="8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stock - 1,000 shares authorized, $0.01 par value, 1 share issued</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2,737.6</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2,737.6</w:t>
            </w:r>
          </w:p>
        </w:tc>
      </w:tr>
      <w:tr>
        <w:trPr>
          <w:trHeight w:val="218"/>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2,362.3</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2,132.4</w:t>
            </w:r>
          </w:p>
        </w:tc>
      </w:tr>
      <w:tr>
        <w:trPr>
          <w:trHeight w:val="208"/>
        </w:trPr>
        <w:tc>
          <w:tcPr>
            <w:tcW w:w="85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Evergy Kansas Central, Inc. Shareholder's Equity</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5,099.9</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4,870.0</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28.1</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21.9</w:t>
            </w:r>
          </w:p>
        </w:tc>
      </w:tr>
      <w:tr>
        <w:trPr>
          <w:trHeight w:val="208"/>
        </w:trPr>
        <w:tc>
          <w:tcPr>
            <w:tcW w:w="85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Equity</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5,128.0</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4,891.9</w:t>
            </w:r>
          </w:p>
        </w:tc>
      </w:tr>
      <w:tr>
        <w:trPr>
          <w:trHeight w:val="218"/>
        </w:trPr>
        <w:tc>
          <w:tcPr>
            <w:tcW w:w="8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14,664.7</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14,226.6</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Income</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Year to Date</w:t>
            </w:r>
          </w:p>
        </w:tc>
        <w:tc>
          <w:tcPr>
            <w:tcW w:w="700" w:type="dxa"/>
            <w:vAlign w:val="bottom"/>
          </w:tcPr>
          <w:p>
            <w:pPr>
              <w:spacing w:after="0"/>
              <w:rPr>
                <w:sz w:val="16"/>
                <w:szCs w:val="16"/>
                <w:color w:val="auto"/>
              </w:rPr>
            </w:pPr>
          </w:p>
        </w:tc>
      </w:tr>
      <w:tr>
        <w:trPr>
          <w:trHeight w:val="212"/>
        </w:trPr>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00" w:type="dxa"/>
            <w:vAlign w:val="bottom"/>
          </w:tcPr>
          <w:p>
            <w:pPr>
              <w:spacing w:after="0"/>
              <w:rPr>
                <w:sz w:val="18"/>
                <w:szCs w:val="18"/>
                <w:color w:val="auto"/>
              </w:rPr>
            </w:pPr>
          </w:p>
        </w:tc>
      </w:tr>
      <w:tr>
        <w:trPr>
          <w:trHeight w:val="227"/>
        </w:trPr>
        <w:tc>
          <w:tcPr>
            <w:tcW w:w="65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2023</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2023</w:t>
            </w:r>
          </w:p>
        </w:tc>
      </w:tr>
      <w:tr>
        <w:trPr>
          <w:trHeight w:val="195"/>
        </w:trPr>
        <w:tc>
          <w:tcPr>
            <w:tcW w:w="6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(millions)</w:t>
            </w: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727.3</w:t>
            </w:r>
          </w:p>
        </w:tc>
        <w:tc>
          <w:tcPr>
            <w:tcW w:w="3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639.6</w:t>
            </w:r>
          </w:p>
        </w:tc>
        <w:tc>
          <w:tcPr>
            <w:tcW w:w="3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1,420.5</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1,318.2</w:t>
            </w:r>
          </w:p>
        </w:tc>
      </w:tr>
      <w:tr>
        <w:trPr>
          <w:trHeight w:val="193"/>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Fuel and purchased power</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124.0</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113.8</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262.6</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w:t>
            </w:r>
          </w:p>
        </w:tc>
      </w:tr>
      <w:tr>
        <w:trPr>
          <w:trHeight w:val="214"/>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SPP network transmission costs</w:t>
            </w:r>
          </w:p>
        </w:tc>
        <w:tc>
          <w:tcPr>
            <w:tcW w:w="2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100.0</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75.4</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172.7</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w:t>
            </w:r>
          </w:p>
        </w:tc>
      </w:tr>
      <w:tr>
        <w:trPr>
          <w:trHeight w:val="218"/>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and maintenance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117.3</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115.6</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233.6</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w:t>
            </w:r>
          </w:p>
        </w:tc>
      </w:tr>
      <w:tr>
        <w:trPr>
          <w:trHeight w:val="214"/>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140.6</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128.7</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279.7</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252.8</w:t>
            </w:r>
          </w:p>
        </w:tc>
      </w:tr>
      <w:tr>
        <w:trPr>
          <w:trHeight w:val="218"/>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other than income tax</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62.7</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54.5</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125.9</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w:t>
            </w:r>
          </w:p>
        </w:tc>
      </w:tr>
      <w:tr>
        <w:trPr>
          <w:trHeight w:val="208"/>
        </w:trPr>
        <w:tc>
          <w:tcPr>
            <w:tcW w:w="6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544.6</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488.0</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1,074.5</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1,001.0</w:t>
            </w:r>
          </w:p>
        </w:tc>
      </w:tr>
      <w:tr>
        <w:trPr>
          <w:trHeight w:val="211"/>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182.7</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151.6</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346.0</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317.2</w:t>
            </w:r>
          </w:p>
        </w:tc>
      </w:tr>
      <w:tr>
        <w:trPr>
          <w:trHeight w:val="193"/>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earnings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0.4</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0.4</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1.3</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4"/>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7.5</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15.7</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18"/>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(5.8)</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(9.5)</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08"/>
        </w:trPr>
        <w:tc>
          <w:tcPr>
            <w:tcW w:w="6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2.1</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(7.2)</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7.5</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1"/>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58.2</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54.4</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114.0</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w:t>
            </w:r>
          </w:p>
        </w:tc>
      </w:tr>
      <w:tr>
        <w:trPr>
          <w:trHeight w:val="208"/>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126.6</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90.0</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239.5</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w:t>
            </w:r>
          </w:p>
        </w:tc>
      </w:tr>
      <w:tr>
        <w:trPr>
          <w:trHeight w:val="21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2.9</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3.1</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5.0</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14"/>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in earnings of equity method investees, net of income taxes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0.8</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1.6</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1"/>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124.5</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87.9</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236.1</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w:t>
            </w:r>
          </w:p>
        </w:tc>
      </w:tr>
      <w:tr>
        <w:trPr>
          <w:trHeight w:val="214"/>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3.1</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3.1</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6.2</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8"/>
        </w:trPr>
        <w:tc>
          <w:tcPr>
            <w:tcW w:w="6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EVERGY KANSAS CENTRAL, INC.</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121.4</w:t>
            </w:r>
          </w:p>
        </w:tc>
        <w:tc>
          <w:tcPr>
            <w:tcW w:w="3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84.8</w:t>
            </w:r>
          </w:p>
        </w:tc>
        <w:tc>
          <w:tcPr>
            <w:tcW w:w="3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229.9</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to Date June 30</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2023</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(USED IN) OPERATING ACTIVITIES:</w:t>
            </w:r>
          </w:p>
        </w:tc>
        <w:tc>
          <w:tcPr>
            <w:tcW w:w="260" w:type="dxa"/>
            <w:vAlign w:val="bottom"/>
          </w:tcPr>
          <w:p>
            <w:pPr>
              <w:spacing w:after="0"/>
              <w:rPr>
                <w:sz w:val="18"/>
                <w:szCs w:val="18"/>
                <w:color w:val="auto"/>
              </w:rPr>
            </w:pPr>
          </w:p>
        </w:tc>
        <w:tc>
          <w:tcPr>
            <w:tcW w:w="136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(millions)</w:t>
            </w:r>
          </w:p>
        </w:tc>
        <w:tc>
          <w:tcPr>
            <w:tcW w:w="860" w:type="dxa"/>
            <w:vAlign w:val="bottom"/>
          </w:tcPr>
          <w:p>
            <w:pPr>
              <w:spacing w:after="0"/>
              <w:rPr>
                <w:sz w:val="18"/>
                <w:szCs w:val="18"/>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236.1</w:t>
            </w:r>
          </w:p>
        </w:tc>
        <w:tc>
          <w:tcPr>
            <w:tcW w:w="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income to net cash from operating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279.7</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252.8</w:t>
            </w:r>
          </w:p>
        </w:tc>
      </w:tr>
      <w:tr>
        <w:trPr>
          <w:trHeight w:val="214"/>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nuclear fuel</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12.2</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18"/>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refueling outage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4.7</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4"/>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corporate-owned life insurance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11.9</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18"/>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deferred income taxes and credits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(16.8)</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14"/>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Allowance for equity funds used during construction</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(6.7)</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8"/>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for asset retirement obligations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4"/>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in earnings of equity method investees, net of income taxes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8"/>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from corporate-owned life insurance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4"/>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working capital items: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4"/>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(43.7)</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w:t>
            </w:r>
          </w:p>
        </w:tc>
      </w:tr>
      <w:tr>
        <w:trPr>
          <w:trHeight w:val="218"/>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pledged as collateral</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14"/>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(18.7)</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r>
      <w:tr>
        <w:trPr>
          <w:trHeight w:val="218"/>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27.3</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14"/>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r>
      <w:tr>
        <w:trPr>
          <w:trHeight w:val="218"/>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taxes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17.0</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r>
      <w:tr>
        <w:trPr>
          <w:trHeight w:val="214"/>
        </w:trPr>
        <w:tc>
          <w:tcPr>
            <w:tcW w:w="8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(110.3)</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w:t>
            </w:r>
          </w:p>
        </w:tc>
      </w:tr>
      <w:tr>
        <w:trPr>
          <w:trHeight w:val="21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other assets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4"/>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Changes in other liabilities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(7.8)</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10"/>
        </w:trPr>
        <w:tc>
          <w:tcPr>
            <w:tcW w:w="87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347.9</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390.4</w:t>
            </w:r>
          </w:p>
        </w:tc>
      </w:tr>
      <w:tr>
        <w:trPr>
          <w:trHeight w:val="208"/>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(USED IN) INVESTING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(657.2)</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(579.9)</w:t>
            </w:r>
          </w:p>
        </w:tc>
      </w:tr>
      <w:tr>
        <w:trPr>
          <w:trHeight w:val="214"/>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of Persimmon Creek, net of cash acquired</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w:t>
            </w:r>
          </w:p>
        </w:tc>
      </w:tr>
      <w:tr>
        <w:trPr>
          <w:trHeight w:val="21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securities - trusts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14"/>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 of securities - trusts</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6.8</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corporate-owned life insurance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(15.1)</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14"/>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investment in corporate-owned life insurance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44.1</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r>
      <w:tr>
        <w:trPr>
          <w:trHeight w:val="21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08"/>
        </w:trPr>
        <w:tc>
          <w:tcPr>
            <w:tcW w:w="87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(629.7)</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(772.4)</w:t>
            </w:r>
          </w:p>
        </w:tc>
      </w:tr>
      <w:tr>
        <w:trPr>
          <w:trHeight w:val="211"/>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(USED IN) FINANCING ACTIVITIES: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4"/>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debt, net</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365.2</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r>
      <w:tr>
        <w:trPr>
          <w:trHeight w:val="21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Collateralized short-term debt, net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3.0</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14"/>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393.3</w:t>
            </w:r>
          </w:p>
        </w:tc>
      </w:tr>
      <w:tr>
        <w:trPr>
          <w:trHeight w:val="21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Retirements of long-term debt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4"/>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money pool borrowings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(103.6)</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Borrowings against cash surrender value of corporate-owned life insurance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45.9</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r>
      <w:tr>
        <w:trPr>
          <w:trHeight w:val="214"/>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 of borrowings against cash surrender value of corporate-owned life insurance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(29.6)</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r>
      <w:tr>
        <w:trPr>
          <w:trHeight w:val="21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8"/>
        </w:trPr>
        <w:tc>
          <w:tcPr>
            <w:tcW w:w="87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279.6</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385.5</w:t>
            </w:r>
          </w:p>
        </w:tc>
      </w:tr>
      <w:tr>
        <w:trPr>
          <w:trHeight w:val="211"/>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9.2</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6"/>
        </w:trPr>
        <w:tc>
          <w:tcPr>
            <w:tcW w:w="8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End of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7.0</w:t>
            </w:r>
          </w:p>
        </w:tc>
        <w:tc>
          <w:tcPr>
            <w:tcW w:w="3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Equity</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80" w:type="dxa"/>
            <w:vAlign w:val="bottom"/>
          </w:tcPr>
          <w:p>
            <w:pPr>
              <w:spacing w:after="0"/>
              <w:rPr>
                <w:sz w:val="19"/>
                <w:szCs w:val="19"/>
                <w:color w:val="auto"/>
              </w:rPr>
            </w:pPr>
          </w:p>
        </w:tc>
        <w:tc>
          <w:tcPr>
            <w:tcW w:w="3300" w:type="dxa"/>
            <w:vAlign w:val="bottom"/>
            <w:tcBorders>
              <w:bottom w:val="single" w:sz="8" w:color="auto"/>
            </w:tcBorders>
            <w:gridSpan w:val="5"/>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Evergy Kansas Central, Inc. Shareholder</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2"/>
                <w:szCs w:val="12"/>
                <w:color w:val="auto"/>
              </w:rPr>
            </w:pPr>
          </w:p>
        </w:tc>
        <w:tc>
          <w:tcPr>
            <w:tcW w:w="84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60" w:type="dxa"/>
            <w:vAlign w:val="bottom"/>
          </w:tcPr>
          <w:p>
            <w:pPr>
              <w:spacing w:after="0"/>
              <w:rPr>
                <w:sz w:val="12"/>
                <w:szCs w:val="12"/>
                <w:color w:val="auto"/>
              </w:rPr>
            </w:pPr>
          </w:p>
        </w:tc>
        <w:tc>
          <w:tcPr>
            <w:tcW w:w="88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2"/>
                <w:szCs w:val="12"/>
                <w:color w:val="auto"/>
              </w:rPr>
            </w:pPr>
          </w:p>
        </w:tc>
        <w:tc>
          <w:tcPr>
            <w:tcW w:w="920" w:type="dxa"/>
            <w:vAlign w:val="bottom"/>
          </w:tcPr>
          <w:p>
            <w:pPr>
              <w:jc w:val="center"/>
              <w:ind w:right="19"/>
              <w:spacing w:after="0" w:line="148" w:lineRule="exact"/>
              <w:rPr>
                <w:sz w:val="20"/>
                <w:szCs w:val="20"/>
                <w:color w:val="auto"/>
              </w:rPr>
            </w:pPr>
            <w:r>
              <w:rPr>
                <w:rFonts w:ascii="Times New Roman" w:cs="Times New Roman" w:eastAsia="Times New Roman" w:hAnsi="Times New Roman"/>
                <w:sz w:val="16"/>
                <w:szCs w:val="16"/>
                <w:b w:val="1"/>
                <w:bCs w:val="1"/>
                <w:color w:val="auto"/>
              </w:rPr>
              <w:t>Non-</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controlling</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96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20" w:type="dxa"/>
            <w:vAlign w:val="bottom"/>
            <w:gridSpan w:val="5"/>
          </w:tcPr>
          <w:p>
            <w:pPr>
              <w:jc w:val="right"/>
              <w:ind w:right="659"/>
              <w:spacing w:after="0"/>
              <w:rPr>
                <w:sz w:val="20"/>
                <w:szCs w:val="20"/>
                <w:color w:val="auto"/>
              </w:rPr>
            </w:pPr>
            <w:r>
              <w:rPr>
                <w:rFonts w:ascii="Times New Roman" w:cs="Times New Roman" w:eastAsia="Times New Roman" w:hAnsi="Times New Roman"/>
                <w:sz w:val="14"/>
                <w:szCs w:val="14"/>
                <w:color w:val="auto"/>
              </w:rPr>
              <w:t>(millions, except share amounts)</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4,507.4</w:t>
            </w:r>
          </w:p>
        </w:tc>
        <w:tc>
          <w:tcPr>
            <w:tcW w:w="0" w:type="dxa"/>
            <w:vAlign w:val="bottom"/>
          </w:tcPr>
          <w:p>
            <w:pPr>
              <w:spacing w:after="0"/>
              <w:rPr>
                <w:sz w:val="1"/>
                <w:szCs w:val="1"/>
                <w:color w:val="auto"/>
              </w:rPr>
            </w:pPr>
          </w:p>
        </w:tc>
      </w:tr>
      <w:tr>
        <w:trPr>
          <w:trHeight w:val="213"/>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0" w:type="dxa"/>
            <w:vAlign w:val="bottom"/>
          </w:tcPr>
          <w:p>
            <w:pPr>
              <w:spacing w:after="0"/>
              <w:rPr>
                <w:sz w:val="1"/>
                <w:szCs w:val="1"/>
                <w:color w:val="auto"/>
              </w:rPr>
            </w:pPr>
          </w:p>
        </w:tc>
      </w:tr>
      <w:tr>
        <w:trPr>
          <w:trHeight w:val="212"/>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1,863.5</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4,613.8</w:t>
            </w:r>
          </w:p>
        </w:tc>
        <w:tc>
          <w:tcPr>
            <w:tcW w:w="0" w:type="dxa"/>
            <w:vAlign w:val="bottom"/>
          </w:tcPr>
          <w:p>
            <w:pPr>
              <w:spacing w:after="0"/>
              <w:rPr>
                <w:sz w:val="1"/>
                <w:szCs w:val="1"/>
                <w:color w:val="auto"/>
              </w:rPr>
            </w:pPr>
          </w:p>
        </w:tc>
      </w:tr>
      <w:tr>
        <w:trPr>
          <w:trHeight w:val="213"/>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0" w:type="dxa"/>
            <w:vAlign w:val="bottom"/>
          </w:tcPr>
          <w:p>
            <w:pPr>
              <w:spacing w:after="0"/>
              <w:rPr>
                <w:sz w:val="1"/>
                <w:szCs w:val="1"/>
                <w:color w:val="auto"/>
              </w:rPr>
            </w:pPr>
          </w:p>
        </w:tc>
      </w:tr>
      <w:tr>
        <w:trPr>
          <w:trHeight w:val="206"/>
        </w:trPr>
        <w:tc>
          <w:tcPr>
            <w:tcW w:w="5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2023</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4,701.7</w:t>
            </w:r>
          </w:p>
        </w:tc>
        <w:tc>
          <w:tcPr>
            <w:tcW w:w="0" w:type="dxa"/>
            <w:vAlign w:val="bottom"/>
          </w:tcPr>
          <w:p>
            <w:pPr>
              <w:spacing w:after="0"/>
              <w:rPr>
                <w:sz w:val="1"/>
                <w:szCs w:val="1"/>
                <w:color w:val="auto"/>
              </w:rPr>
            </w:pPr>
          </w:p>
        </w:tc>
      </w:tr>
      <w:tr>
        <w:trPr>
          <w:trHeight w:val="250"/>
        </w:trPr>
        <w:tc>
          <w:tcPr>
            <w:tcW w:w="58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4,891.9</w:t>
            </w:r>
          </w:p>
        </w:tc>
        <w:tc>
          <w:tcPr>
            <w:tcW w:w="0" w:type="dxa"/>
            <w:vAlign w:val="bottom"/>
          </w:tcPr>
          <w:p>
            <w:pPr>
              <w:spacing w:after="0"/>
              <w:rPr>
                <w:sz w:val="1"/>
                <w:szCs w:val="1"/>
                <w:color w:val="auto"/>
              </w:rPr>
            </w:pPr>
          </w:p>
        </w:tc>
      </w:tr>
      <w:tr>
        <w:trPr>
          <w:trHeight w:val="213"/>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0" w:type="dxa"/>
            <w:vAlign w:val="bottom"/>
          </w:tcPr>
          <w:p>
            <w:pPr>
              <w:spacing w:after="0"/>
              <w:rPr>
                <w:sz w:val="1"/>
                <w:szCs w:val="1"/>
                <w:color w:val="auto"/>
              </w:rPr>
            </w:pPr>
          </w:p>
        </w:tc>
      </w:tr>
      <w:tr>
        <w:trPr>
          <w:trHeight w:val="212"/>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2,240.9</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5,003.5</w:t>
            </w:r>
          </w:p>
        </w:tc>
        <w:tc>
          <w:tcPr>
            <w:tcW w:w="0" w:type="dxa"/>
            <w:vAlign w:val="bottom"/>
          </w:tcPr>
          <w:p>
            <w:pPr>
              <w:spacing w:after="0"/>
              <w:rPr>
                <w:sz w:val="1"/>
                <w:szCs w:val="1"/>
                <w:color w:val="auto"/>
              </w:rPr>
            </w:pPr>
          </w:p>
        </w:tc>
      </w:tr>
      <w:tr>
        <w:trPr>
          <w:trHeight w:val="213"/>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0" w:type="dxa"/>
            <w:vAlign w:val="bottom"/>
          </w:tcPr>
          <w:p>
            <w:pPr>
              <w:spacing w:after="0"/>
              <w:rPr>
                <w:sz w:val="1"/>
                <w:szCs w:val="1"/>
                <w:color w:val="auto"/>
              </w:rPr>
            </w:pPr>
          </w:p>
        </w:tc>
      </w:tr>
      <w:tr>
        <w:trPr>
          <w:trHeight w:val="219"/>
        </w:trPr>
        <w:tc>
          <w:tcPr>
            <w:tcW w:w="5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5,128.0</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Unaudited Notes to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8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4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December 31</w:t>
            </w:r>
          </w:p>
        </w:tc>
      </w:tr>
      <w:tr>
        <w:trPr>
          <w:trHeight w:val="229"/>
        </w:trPr>
        <w:tc>
          <w:tcPr>
            <w:tcW w:w="85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2023</w:t>
            </w:r>
          </w:p>
        </w:tc>
      </w:tr>
      <w:tr>
        <w:trPr>
          <w:trHeight w:val="212"/>
        </w:trPr>
        <w:tc>
          <w:tcPr>
            <w:tcW w:w="8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Pr>
          <w:p>
            <w:pPr>
              <w:spacing w:after="0"/>
              <w:rPr>
                <w:sz w:val="18"/>
                <w:szCs w:val="18"/>
                <w:color w:val="auto"/>
              </w:rPr>
            </w:pPr>
          </w:p>
        </w:tc>
        <w:tc>
          <w:tcPr>
            <w:tcW w:w="2480" w:type="dxa"/>
            <w:vAlign w:val="bottom"/>
            <w:gridSpan w:val="3"/>
          </w:tcPr>
          <w:p>
            <w:pPr>
              <w:jc w:val="right"/>
              <w:ind w:right="379"/>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17"/>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2.6</w:t>
            </w:r>
          </w:p>
        </w:tc>
        <w:tc>
          <w:tcPr>
            <w:tcW w:w="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3.3</w:t>
            </w:r>
          </w:p>
        </w:tc>
      </w:tr>
      <w:tr>
        <w:trPr>
          <w:trHeight w:val="214"/>
        </w:trPr>
        <w:tc>
          <w:tcPr>
            <w:tcW w:w="8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Receivables, net of allowance for credit losses of $6.3 and $7.9, respectively</w:t>
            </w:r>
          </w:p>
        </w:tc>
        <w:tc>
          <w:tcPr>
            <w:tcW w:w="140" w:type="dxa"/>
            <w:vAlign w:val="bottom"/>
          </w:tcPr>
          <w:p>
            <w:pPr>
              <w:spacing w:after="0"/>
              <w:rPr>
                <w:sz w:val="18"/>
                <w:szCs w:val="18"/>
                <w:color w:val="auto"/>
              </w:rPr>
            </w:pPr>
          </w:p>
        </w:tc>
        <w:tc>
          <w:tcPr>
            <w:tcW w:w="104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123.0</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55.0</w:t>
            </w:r>
          </w:p>
        </w:tc>
      </w:tr>
      <w:tr>
        <w:trPr>
          <w:trHeight w:val="218"/>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114.5</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128.5</w:t>
            </w:r>
          </w:p>
        </w:tc>
      </w:tr>
      <w:tr>
        <w:trPr>
          <w:trHeight w:val="214"/>
        </w:trPr>
        <w:tc>
          <w:tcPr>
            <w:tcW w:w="8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pledged as collateral</w:t>
            </w:r>
          </w:p>
        </w:tc>
        <w:tc>
          <w:tcPr>
            <w:tcW w:w="140" w:type="dxa"/>
            <w:vAlign w:val="bottom"/>
          </w:tcPr>
          <w:p>
            <w:pPr>
              <w:spacing w:after="0"/>
              <w:rPr>
                <w:sz w:val="18"/>
                <w:szCs w:val="18"/>
                <w:color w:val="auto"/>
              </w:rPr>
            </w:pPr>
          </w:p>
        </w:tc>
        <w:tc>
          <w:tcPr>
            <w:tcW w:w="104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110.0</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126.0</w:t>
            </w:r>
          </w:p>
        </w:tc>
      </w:tr>
      <w:tr>
        <w:trPr>
          <w:trHeight w:val="218"/>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269.9</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264.6</w:t>
            </w:r>
          </w:p>
        </w:tc>
      </w:tr>
      <w:tr>
        <w:trPr>
          <w:trHeight w:val="214"/>
        </w:trPr>
        <w:tc>
          <w:tcPr>
            <w:tcW w:w="8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Regulatory assets</w:t>
            </w:r>
          </w:p>
        </w:tc>
        <w:tc>
          <w:tcPr>
            <w:tcW w:w="140" w:type="dxa"/>
            <w:vAlign w:val="bottom"/>
          </w:tcPr>
          <w:p>
            <w:pPr>
              <w:spacing w:after="0"/>
              <w:rPr>
                <w:sz w:val="18"/>
                <w:szCs w:val="18"/>
                <w:color w:val="auto"/>
              </w:rPr>
            </w:pPr>
          </w:p>
        </w:tc>
        <w:tc>
          <w:tcPr>
            <w:tcW w:w="104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52.0</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53.2</w:t>
            </w:r>
          </w:p>
        </w:tc>
      </w:tr>
      <w:tr>
        <w:trPr>
          <w:trHeight w:val="218"/>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Prepaid expenses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28.1</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20.9</w:t>
            </w:r>
          </w:p>
        </w:tc>
      </w:tr>
      <w:tr>
        <w:trPr>
          <w:trHeight w:val="214"/>
        </w:trPr>
        <w:tc>
          <w:tcPr>
            <w:tcW w:w="8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22.3</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14.7</w:t>
            </w:r>
          </w:p>
        </w:tc>
      </w:tr>
      <w:tr>
        <w:trPr>
          <w:trHeight w:val="211"/>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722.4</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666.2</w:t>
            </w:r>
          </w:p>
        </w:tc>
      </w:tr>
      <w:tr>
        <w:trPr>
          <w:trHeight w:val="208"/>
        </w:trPr>
        <w:tc>
          <w:tcPr>
            <w:tcW w:w="8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8,205.8</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8,131.2</w:t>
            </w:r>
          </w:p>
        </w:tc>
      </w:tr>
      <w:tr>
        <w:trPr>
          <w:trHeight w:val="211"/>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4"/>
        </w:trPr>
        <w:tc>
          <w:tcPr>
            <w:tcW w:w="8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Regulatory assets</w:t>
            </w:r>
          </w:p>
        </w:tc>
        <w:tc>
          <w:tcPr>
            <w:tcW w:w="140" w:type="dxa"/>
            <w:vAlign w:val="bottom"/>
          </w:tcPr>
          <w:p>
            <w:pPr>
              <w:spacing w:after="0"/>
              <w:rPr>
                <w:sz w:val="18"/>
                <w:szCs w:val="18"/>
                <w:color w:val="auto"/>
              </w:rPr>
            </w:pPr>
          </w:p>
        </w:tc>
        <w:tc>
          <w:tcPr>
            <w:tcW w:w="104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423.4</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380.8</w:t>
            </w:r>
          </w:p>
        </w:tc>
      </w:tr>
      <w:tr>
        <w:trPr>
          <w:trHeight w:val="218"/>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Nuclear decommissioning trust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440.1</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401.3</w:t>
            </w:r>
          </w:p>
        </w:tc>
      </w:tr>
      <w:tr>
        <w:trPr>
          <w:trHeight w:val="214"/>
        </w:trPr>
        <w:tc>
          <w:tcPr>
            <w:tcW w:w="8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83.8</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77.0</w:t>
            </w:r>
          </w:p>
        </w:tc>
      </w:tr>
      <w:tr>
        <w:trPr>
          <w:trHeight w:val="211"/>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947.3</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859.1</w:t>
            </w:r>
          </w:p>
        </w:tc>
      </w:tr>
      <w:tr>
        <w:trPr>
          <w:trHeight w:val="217"/>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9,875.5</w:t>
            </w:r>
          </w:p>
        </w:tc>
        <w:tc>
          <w:tcPr>
            <w:tcW w:w="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9,656.5</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4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December 31</w:t>
            </w:r>
          </w:p>
        </w:tc>
      </w:tr>
      <w:tr>
        <w:trPr>
          <w:trHeight w:val="229"/>
        </w:trPr>
        <w:tc>
          <w:tcPr>
            <w:tcW w:w="85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2023</w:t>
            </w:r>
          </w:p>
        </w:tc>
      </w:tr>
      <w:tr>
        <w:trPr>
          <w:trHeight w:val="212"/>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60" w:type="dxa"/>
            <w:vAlign w:val="bottom"/>
          </w:tcPr>
          <w:p>
            <w:pPr>
              <w:spacing w:after="0"/>
              <w:rPr>
                <w:sz w:val="18"/>
                <w:szCs w:val="18"/>
                <w:color w:val="auto"/>
              </w:rPr>
            </w:pPr>
          </w:p>
        </w:tc>
        <w:tc>
          <w:tcPr>
            <w:tcW w:w="2440" w:type="dxa"/>
            <w:vAlign w:val="bottom"/>
            <w:gridSpan w:val="3"/>
          </w:tcPr>
          <w:p>
            <w:pPr>
              <w:jc w:val="right"/>
              <w:ind w:right="379"/>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17"/>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264.3</w:t>
            </w:r>
          </w:p>
        </w:tc>
        <w:tc>
          <w:tcPr>
            <w:tcW w:w="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423.3</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Collateralized note payable</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110.0</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126.0</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148.9</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272.5</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Related party payables</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taxes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94.8</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45.7</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interest</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30.3</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27.4</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34.1</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43.0</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16.6</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16.0</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27.4</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36.9</w:t>
            </w:r>
          </w:p>
        </w:tc>
      </w:tr>
      <w:tr>
        <w:trPr>
          <w:trHeight w:val="214"/>
        </w:trPr>
        <w:tc>
          <w:tcPr>
            <w:tcW w:w="8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60.8</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58.3</w:t>
            </w:r>
          </w:p>
        </w:tc>
      </w:tr>
      <w:tr>
        <w:trPr>
          <w:trHeight w:val="211"/>
        </w:trPr>
        <w:tc>
          <w:tcPr>
            <w:tcW w:w="8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787.2</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1,050.2</w:t>
            </w:r>
          </w:p>
        </w:tc>
      </w:tr>
      <w:tr>
        <w:trPr>
          <w:trHeight w:val="207"/>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 net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3,222.5</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2,924.4</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823.4</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797.2</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Unamortized investment tax credits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109.7</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111.3</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866.4</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860.2</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Pension and post-retirement liability</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203.3</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190.8</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475.9</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444.4</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87.0</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85.0</w:t>
            </w:r>
          </w:p>
        </w:tc>
      </w:tr>
      <w:tr>
        <w:trPr>
          <w:trHeight w:val="208"/>
        </w:trPr>
        <w:tc>
          <w:tcPr>
            <w:tcW w:w="8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5,788.2</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5,413.3</w:t>
            </w:r>
          </w:p>
        </w:tc>
      </w:tr>
      <w:tr>
        <w:trPr>
          <w:trHeight w:val="198"/>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 - 1,000 shares authorized, without par value, 1 share issued, stated value</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1,563.1</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1,563.1</w:t>
            </w:r>
          </w:p>
        </w:tc>
      </w:tr>
      <w:tr>
        <w:trPr>
          <w:trHeight w:val="214"/>
        </w:trPr>
        <w:tc>
          <w:tcPr>
            <w:tcW w:w="8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1,733.5</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1,626.2</w:t>
            </w:r>
          </w:p>
        </w:tc>
      </w:tr>
      <w:tr>
        <w:trPr>
          <w:trHeight w:val="218"/>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3.5</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3.7</w:t>
            </w:r>
          </w:p>
        </w:tc>
      </w:tr>
      <w:tr>
        <w:trPr>
          <w:trHeight w:val="208"/>
        </w:trPr>
        <w:tc>
          <w:tcPr>
            <w:tcW w:w="8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Equity</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3,300.1</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3,193.0</w:t>
            </w:r>
          </w:p>
        </w:tc>
      </w:tr>
      <w:tr>
        <w:trPr>
          <w:trHeight w:val="218"/>
        </w:trPr>
        <w:tc>
          <w:tcPr>
            <w:tcW w:w="8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9,875.5</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9,656.5</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Year to Date</w:t>
            </w:r>
          </w:p>
        </w:tc>
        <w:tc>
          <w:tcPr>
            <w:tcW w:w="700" w:type="dxa"/>
            <w:vAlign w:val="bottom"/>
          </w:tcPr>
          <w:p>
            <w:pPr>
              <w:spacing w:after="0"/>
              <w:rPr>
                <w:sz w:val="16"/>
                <w:szCs w:val="16"/>
                <w:color w:val="auto"/>
              </w:rPr>
            </w:pPr>
          </w:p>
        </w:tc>
      </w:tr>
      <w:tr>
        <w:trPr>
          <w:trHeight w:val="212"/>
        </w:trPr>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00" w:type="dxa"/>
            <w:vAlign w:val="bottom"/>
          </w:tcPr>
          <w:p>
            <w:pPr>
              <w:spacing w:after="0"/>
              <w:rPr>
                <w:sz w:val="18"/>
                <w:szCs w:val="18"/>
                <w:color w:val="auto"/>
              </w:rPr>
            </w:pPr>
          </w:p>
        </w:tc>
      </w:tr>
      <w:tr>
        <w:trPr>
          <w:trHeight w:val="227"/>
        </w:trPr>
        <w:tc>
          <w:tcPr>
            <w:tcW w:w="65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2023</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2023</w:t>
            </w:r>
          </w:p>
        </w:tc>
      </w:tr>
      <w:tr>
        <w:trPr>
          <w:trHeight w:val="195"/>
        </w:trPr>
        <w:tc>
          <w:tcPr>
            <w:tcW w:w="6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(millions)</w:t>
            </w: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474.0</w:t>
            </w:r>
          </w:p>
        </w:tc>
        <w:tc>
          <w:tcPr>
            <w:tcW w:w="3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485.3</w:t>
            </w:r>
          </w:p>
        </w:tc>
        <w:tc>
          <w:tcPr>
            <w:tcW w:w="3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894.9</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891.7</w:t>
            </w:r>
          </w:p>
        </w:tc>
      </w:tr>
      <w:tr>
        <w:trPr>
          <w:trHeight w:val="207"/>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Fuel and purchased power</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145.5</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142.0</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282.1</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257.4</w:t>
            </w:r>
          </w:p>
        </w:tc>
      </w:tr>
      <w:tr>
        <w:trPr>
          <w:trHeight w:val="214"/>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and maintenance</w:t>
            </w:r>
          </w:p>
        </w:tc>
        <w:tc>
          <w:tcPr>
            <w:tcW w:w="2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67.6</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66.8</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135.5</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w:t>
            </w:r>
          </w:p>
        </w:tc>
      </w:tr>
      <w:tr>
        <w:trPr>
          <w:trHeight w:val="218"/>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101.9</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105.4</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w:t>
            </w:r>
          </w:p>
        </w:tc>
      </w:tr>
      <w:tr>
        <w:trPr>
          <w:trHeight w:val="214"/>
        </w:trPr>
        <w:tc>
          <w:tcPr>
            <w:tcW w:w="6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Taxes other than income tax</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36.2</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32.2</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73.5</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w:t>
            </w:r>
          </w:p>
        </w:tc>
      </w:tr>
      <w:tr>
        <w:trPr>
          <w:trHeight w:val="211"/>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351.2</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346.4</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693.5</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663.0</w:t>
            </w:r>
          </w:p>
        </w:tc>
      </w:tr>
      <w:tr>
        <w:trPr>
          <w:trHeight w:val="208"/>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122.8</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138.9</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201.4</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228.7</w:t>
            </w:r>
          </w:p>
        </w:tc>
      </w:tr>
      <w:tr>
        <w:trPr>
          <w:trHeight w:val="19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4"/>
        </w:trPr>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earnings</w:t>
            </w:r>
          </w:p>
        </w:tc>
        <w:tc>
          <w:tcPr>
            <w:tcW w:w="2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2.8</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8"/>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2.3</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2.4</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4"/>
        </w:trPr>
        <w:tc>
          <w:tcPr>
            <w:tcW w:w="6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(3.6)</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(9.8)</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(7.2)</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211"/>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Other Expense, Net</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(0.1)</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08"/>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38.4</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35.0</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76.0</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w:t>
            </w:r>
          </w:p>
        </w:tc>
      </w:tr>
      <w:tr>
        <w:trPr>
          <w:trHeight w:val="211"/>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84.3</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96.5</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123.4</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w:t>
            </w:r>
          </w:p>
        </w:tc>
      </w:tr>
      <w:tr>
        <w:trPr>
          <w:trHeight w:val="214"/>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9.7</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11.7</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16.1</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18"/>
        </w:trPr>
        <w:tc>
          <w:tcPr>
            <w:tcW w:w="6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74.6</w:t>
            </w:r>
          </w:p>
        </w:tc>
        <w:tc>
          <w:tcPr>
            <w:tcW w:w="3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84.8</w:t>
            </w:r>
          </w:p>
        </w:tc>
        <w:tc>
          <w:tcPr>
            <w:tcW w:w="3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107.3</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w:t>
            </w:r>
          </w:p>
        </w:tc>
      </w:tr>
      <w:tr>
        <w:trPr>
          <w:trHeight w:val="214"/>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74.6</w:t>
            </w:r>
          </w:p>
        </w:tc>
        <w:tc>
          <w:tcPr>
            <w:tcW w:w="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84.8</w:t>
            </w:r>
          </w:p>
        </w:tc>
        <w:tc>
          <w:tcPr>
            <w:tcW w:w="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107.3</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w:t>
            </w:r>
          </w:p>
        </w:tc>
      </w:tr>
      <w:tr>
        <w:trPr>
          <w:trHeight w:val="213"/>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hedging activity</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4"/>
        </w:trPr>
        <w:tc>
          <w:tcPr>
            <w:tcW w:w="6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Reclassification to expenses, net of tax</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(0.1)</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(0.2)</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1"/>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(0.1)</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(0.2)</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08"/>
        </w:trPr>
        <w:tc>
          <w:tcPr>
            <w:tcW w:w="6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other comprehensive loss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(0.1)</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(0.2)</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8"/>
        </w:trPr>
        <w:tc>
          <w:tcPr>
            <w:tcW w:w="6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74.5</w:t>
            </w:r>
          </w:p>
        </w:tc>
        <w:tc>
          <w:tcPr>
            <w:tcW w:w="3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84.8</w:t>
            </w:r>
          </w:p>
        </w:tc>
        <w:tc>
          <w:tcPr>
            <w:tcW w:w="3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107.1</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8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to Date June 30</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2023</w:t>
            </w:r>
          </w:p>
        </w:tc>
      </w:tr>
      <w:tr>
        <w:trPr>
          <w:trHeight w:val="213"/>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(USED IN) OPERATING ACTIVITIES:</w:t>
            </w:r>
          </w:p>
        </w:tc>
        <w:tc>
          <w:tcPr>
            <w:tcW w:w="280" w:type="dxa"/>
            <w:vAlign w:val="bottom"/>
          </w:tcPr>
          <w:p>
            <w:pPr>
              <w:spacing w:after="0"/>
              <w:rPr>
                <w:sz w:val="18"/>
                <w:szCs w:val="18"/>
                <w:color w:val="auto"/>
              </w:rPr>
            </w:pPr>
          </w:p>
        </w:tc>
        <w:tc>
          <w:tcPr>
            <w:tcW w:w="146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(millions)</w:t>
            </w:r>
          </w:p>
        </w:tc>
        <w:tc>
          <w:tcPr>
            <w:tcW w:w="900" w:type="dxa"/>
            <w:vAlign w:val="bottom"/>
          </w:tcPr>
          <w:p>
            <w:pPr>
              <w:spacing w:after="0"/>
              <w:rPr>
                <w:sz w:val="18"/>
                <w:szCs w:val="18"/>
                <w:color w:val="auto"/>
              </w:rPr>
            </w:pPr>
          </w:p>
        </w:tc>
      </w:tr>
      <w:tr>
        <w:trPr>
          <w:trHeight w:val="21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107.3</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w:t>
            </w:r>
          </w:p>
        </w:tc>
      </w:tr>
      <w:tr>
        <w:trPr>
          <w:trHeight w:val="213"/>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income to net cash from operating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w:t>
            </w:r>
          </w:p>
        </w:tc>
      </w:tr>
      <w:tr>
        <w:trPr>
          <w:trHeight w:val="214"/>
        </w:trPr>
        <w:tc>
          <w:tcPr>
            <w:tcW w:w="8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nuclear fuel</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12.3</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218"/>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refueling outage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4.7</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4"/>
        </w:trPr>
        <w:tc>
          <w:tcPr>
            <w:tcW w:w="8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deferred income taxes and credits</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3.0</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18"/>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Allowance for equity funds used during construction</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(1.1)</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4"/>
        </w:trPr>
        <w:tc>
          <w:tcPr>
            <w:tcW w:w="8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for asset retirement obligations</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(2.3)</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8"/>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(0.2)</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3"/>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working capital items: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(42.7)</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14"/>
        </w:trPr>
        <w:tc>
          <w:tcPr>
            <w:tcW w:w="8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pledged as collateral</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16.0</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8"/>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(5.3)</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4"/>
        </w:trPr>
        <w:tc>
          <w:tcPr>
            <w:tcW w:w="8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(10.9)</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218"/>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(77.1)</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w:t>
            </w:r>
          </w:p>
        </w:tc>
      </w:tr>
      <w:tr>
        <w:trPr>
          <w:trHeight w:val="214"/>
        </w:trPr>
        <w:tc>
          <w:tcPr>
            <w:tcW w:w="8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taxes</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49.1</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w:t>
            </w:r>
          </w:p>
        </w:tc>
      </w:tr>
      <w:tr>
        <w:trPr>
          <w:trHeight w:val="218"/>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(14.7)</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r>
      <w:tr>
        <w:trPr>
          <w:trHeight w:val="214"/>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other assets</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(10.2)</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other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8.7</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08"/>
        </w:trPr>
        <w:tc>
          <w:tcPr>
            <w:tcW w:w="85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239.0</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280.7</w:t>
            </w:r>
          </w:p>
        </w:tc>
      </w:tr>
      <w:tr>
        <w:trPr>
          <w:trHeight w:val="21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(USED IN) INVESTING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4"/>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(362.3)</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(359.4)</w:t>
            </w:r>
          </w:p>
        </w:tc>
      </w:tr>
      <w:tr>
        <w:trPr>
          <w:trHeight w:val="21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securities - trusts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(53.6)</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14"/>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 of securities - trusts</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50.0</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money pool lending</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r>
      <w:tr>
        <w:trPr>
          <w:trHeight w:val="214"/>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0"/>
        </w:trPr>
        <w:tc>
          <w:tcPr>
            <w:tcW w:w="85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(364.7)</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(330.7)</w:t>
            </w:r>
          </w:p>
        </w:tc>
      </w:tr>
      <w:tr>
        <w:trPr>
          <w:trHeight w:val="208"/>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(USED IN) FINANCING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debt,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(159.0)</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w:t>
            </w:r>
          </w:p>
        </w:tc>
      </w:tr>
      <w:tr>
        <w:trPr>
          <w:trHeight w:val="214"/>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Collateralized short-term debt, net</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(16.0)</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297.0</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297.2</w:t>
            </w:r>
          </w:p>
        </w:tc>
      </w:tr>
      <w:tr>
        <w:trPr>
          <w:trHeight w:val="214"/>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Retirements of long-term debt</w:t>
            </w:r>
          </w:p>
        </w:tc>
        <w:tc>
          <w:tcPr>
            <w:tcW w:w="28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r>
      <w:tr>
        <w:trPr>
          <w:trHeight w:val="21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paid</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214"/>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3.0</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0"/>
        </w:trPr>
        <w:tc>
          <w:tcPr>
            <w:tcW w:w="85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125.0</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w:t>
            </w:r>
          </w:p>
        </w:tc>
      </w:tr>
      <w:tr>
        <w:trPr>
          <w:trHeight w:val="209"/>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28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(0.7)</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8"/>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4"/>
        </w:trPr>
        <w:tc>
          <w:tcPr>
            <w:tcW w:w="8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Beginning of period</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3.3</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8"/>
        </w:trPr>
        <w:tc>
          <w:tcPr>
            <w:tcW w:w="85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2.6</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Equity</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(Unaudited)</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6"/>
                <w:szCs w:val="16"/>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AOCI - Net</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gains (losses) on</w:t>
            </w:r>
          </w:p>
        </w:tc>
        <w:tc>
          <w:tcPr>
            <w:tcW w:w="160" w:type="dxa"/>
            <w:vAlign w:val="bottom"/>
          </w:tcPr>
          <w:p>
            <w:pPr>
              <w:spacing w:after="0"/>
              <w:rPr>
                <w:sz w:val="14"/>
                <w:szCs w:val="14"/>
                <w:color w:val="auto"/>
              </w:rPr>
            </w:pPr>
          </w:p>
        </w:tc>
        <w:tc>
          <w:tcPr>
            <w:tcW w:w="10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rPr>
                <w:sz w:val="1"/>
                <w:szCs w:val="1"/>
                <w:color w:val="auto"/>
              </w:rPr>
            </w:pPr>
          </w:p>
        </w:tc>
      </w:tr>
      <w:tr>
        <w:trPr>
          <w:trHeight w:val="223"/>
        </w:trPr>
        <w:tc>
          <w:tcPr>
            <w:tcW w:w="5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180" w:type="dxa"/>
            <w:vAlign w:val="bottom"/>
            <w:tcBorders>
              <w:bottom w:val="single" w:sz="8" w:color="auto"/>
            </w:tcBorders>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20" w:type="dxa"/>
            <w:vAlign w:val="bottom"/>
            <w:gridSpan w:val="5"/>
          </w:tcPr>
          <w:p>
            <w:pPr>
              <w:jc w:val="right"/>
              <w:ind w:right="719"/>
              <w:spacing w:after="0"/>
              <w:rPr>
                <w:sz w:val="20"/>
                <w:szCs w:val="20"/>
                <w:color w:val="auto"/>
              </w:rPr>
            </w:pPr>
            <w:r>
              <w:rPr>
                <w:rFonts w:ascii="Times New Roman" w:cs="Times New Roman" w:eastAsia="Times New Roman" w:hAnsi="Times New Roman"/>
                <w:sz w:val="14"/>
                <w:szCs w:val="14"/>
                <w:color w:val="auto"/>
              </w:rPr>
              <w:t>(millions, except share amounts)</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1,619.2</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3,186.3</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7"/>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1,666.0</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3,233.0</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0" w:type="dxa"/>
            <w:vAlign w:val="bottom"/>
          </w:tcPr>
          <w:p>
            <w:pPr>
              <w:spacing w:after="0"/>
              <w:rPr>
                <w:sz w:val="1"/>
                <w:szCs w:val="1"/>
                <w:color w:val="auto"/>
              </w:rPr>
            </w:pPr>
          </w:p>
        </w:tc>
      </w:tr>
      <w:tr>
        <w:trPr>
          <w:trHeight w:val="21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Dividends declared on common stock</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0" w:type="dxa"/>
            <w:vAlign w:val="bottom"/>
          </w:tcPr>
          <w:p>
            <w:pPr>
              <w:spacing w:after="0"/>
              <w:rPr>
                <w:sz w:val="1"/>
                <w:szCs w:val="1"/>
                <w:color w:val="auto"/>
              </w:rPr>
            </w:pPr>
          </w:p>
        </w:tc>
      </w:tr>
      <w:tr>
        <w:trPr>
          <w:trHeight w:val="206"/>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1,600.8</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3,167.8</w:t>
            </w:r>
          </w:p>
        </w:tc>
        <w:tc>
          <w:tcPr>
            <w:tcW w:w="0" w:type="dxa"/>
            <w:vAlign w:val="bottom"/>
          </w:tcPr>
          <w:p>
            <w:pPr>
              <w:spacing w:after="0"/>
              <w:rPr>
                <w:sz w:val="1"/>
                <w:szCs w:val="1"/>
                <w:color w:val="auto"/>
              </w:rPr>
            </w:pPr>
          </w:p>
        </w:tc>
      </w:tr>
      <w:tr>
        <w:trPr>
          <w:trHeight w:val="196"/>
        </w:trPr>
        <w:tc>
          <w:tcPr>
            <w:tcW w:w="5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1,626.2</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3,193.0</w:t>
            </w:r>
          </w:p>
        </w:tc>
        <w:tc>
          <w:tcPr>
            <w:tcW w:w="0" w:type="dxa"/>
            <w:vAlign w:val="bottom"/>
          </w:tcPr>
          <w:p>
            <w:pPr>
              <w:spacing w:after="0"/>
              <w:rPr>
                <w:sz w:val="1"/>
                <w:szCs w:val="1"/>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7"/>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1,658.9</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3,225.6</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0" w:type="dxa"/>
            <w:vAlign w:val="bottom"/>
          </w:tcPr>
          <w:p>
            <w:pPr>
              <w:spacing w:after="0"/>
              <w:rPr>
                <w:sz w:val="1"/>
                <w:szCs w:val="1"/>
                <w:color w:val="auto"/>
              </w:rPr>
            </w:pPr>
          </w:p>
        </w:tc>
      </w:tr>
      <w:tr>
        <w:trPr>
          <w:trHeight w:val="21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9"/>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1,733.5</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3,300.1</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METRO, INC.</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Combined Notes to Unaudited Consolidated Financial Statements</w:t>
      </w:r>
    </w:p>
    <w:p>
      <w:pPr>
        <w:spacing w:after="0" w:line="112"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20"/>
          <w:szCs w:val="20"/>
          <w:color w:val="auto"/>
        </w:rPr>
        <w:t>The notes to unaudited consolidated financial statements that follow are a combined presentation for Evergy, Inc., Evergy Kansas Central, Inc. and Evergy Metro, Inc., all registrants under this filing. The terms "Evergy," "Evergy Kansas Central," "Evergy Metro" and "Evergy Companies" are used throughout this report. "Evergy" refers to Evergy, Inc. and its consolidated subsidiaries, unless otherwise indicated. "Evergy Kansas Central" refers to Evergy Kansas Central, Inc. and its consolidated subsidiaries, unless otherwise indicated. "Evergy Metro" refers to Evergy Metro, Inc. and its consolidated subsidiaries, unless otherwise indicated. "Evergy Companies" refers to Evergy, Evergy Kansas Central and Evergy Metro, collectively, which are individual registrants within the Evergy consolidated group.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Organization</w:t>
      </w:r>
    </w:p>
    <w:p>
      <w:pPr>
        <w:spacing w:after="0" w:line="26"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20"/>
          <w:szCs w:val="20"/>
          <w:color w:val="auto"/>
        </w:rPr>
        <w:t>Evergy is a public utility holding company incorporated in 2017 and headquartered in Kansas City, Missouri. Evergy operates primarily through the following wholly-owned direct subsidiaries listed below.</w:t>
      </w:r>
    </w:p>
    <w:p>
      <w:pPr>
        <w:spacing w:after="0" w:line="168" w:lineRule="exact"/>
        <w:rPr>
          <w:sz w:val="20"/>
          <w:szCs w:val="20"/>
          <w:color w:val="auto"/>
        </w:rPr>
      </w:pPr>
    </w:p>
    <w:p>
      <w:pPr>
        <w:ind w:left="660" w:right="120" w:hanging="328"/>
        <w:spacing w:after="0" w:line="268"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Kansas Central, Inc. (Evergy Kansas Central) is an integrated, regulated electric utility that provides electricity to customers in the state of Kansas. Evergy Kansas Central has one active wholly-owned subsidiary with significant operations, Evergy Kansas South, Inc. (Evergy Kansas South).</w:t>
      </w:r>
    </w:p>
    <w:p>
      <w:pPr>
        <w:spacing w:after="0" w:line="53" w:lineRule="exact"/>
        <w:rPr>
          <w:rFonts w:ascii="Times New Roman" w:cs="Times New Roman" w:eastAsia="Times New Roman" w:hAnsi="Times New Roman"/>
          <w:sz w:val="20"/>
          <w:szCs w:val="20"/>
          <w:color w:val="auto"/>
        </w:rPr>
      </w:pPr>
    </w:p>
    <w:p>
      <w:pPr>
        <w:ind w:left="660" w:right="360" w:hanging="328"/>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Metro, Inc. (Evergy Metro) is an integrated, regulated electric utility that provides electricity to customers in the states of Missouri and Kansas.</w:t>
      </w:r>
    </w:p>
    <w:p>
      <w:pPr>
        <w:spacing w:after="0" w:line="38" w:lineRule="exact"/>
        <w:rPr>
          <w:rFonts w:ascii="Times New Roman" w:cs="Times New Roman" w:eastAsia="Times New Roman" w:hAnsi="Times New Roman"/>
          <w:sz w:val="20"/>
          <w:szCs w:val="20"/>
          <w:color w:val="auto"/>
        </w:rPr>
      </w:pPr>
    </w:p>
    <w:p>
      <w:pPr>
        <w:ind w:left="660" w:right="20" w:hanging="328"/>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Missouri West, Inc. (Evergy Missouri West) is an integrated, regulated electric utility that provides electricity to customers in the state of Missouri.</w:t>
      </w:r>
    </w:p>
    <w:p>
      <w:pPr>
        <w:spacing w:after="0" w:line="38" w:lineRule="exact"/>
        <w:rPr>
          <w:rFonts w:ascii="Times New Roman" w:cs="Times New Roman" w:eastAsia="Times New Roman" w:hAnsi="Times New Roman"/>
          <w:sz w:val="20"/>
          <w:szCs w:val="20"/>
          <w:color w:val="auto"/>
        </w:rPr>
      </w:pPr>
    </w:p>
    <w:p>
      <w:pPr>
        <w:ind w:left="660" w:right="40" w:hanging="328"/>
        <w:spacing w:after="0" w:line="258"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Transmission Company, LLC (Evergy Transmission Company) owns 13.5% of Transource Energy, LLC (Transource) with the remaining 86.5% owned by AEP Transmission Holding Company, LLC, a subsidiary of American Electric Power Company, Inc. (AEP). Transource is focused on the development of competitive electric transmission projects. Evergy Transmission Company accounts for its investment in Transource under the equity method.</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Evergy Kansas Central also owns a 50% interest in Prairie Wind Transmission, LLC (Prairie Wind), which is a joint venture between Evergy Kansas Central and subsidiaries of AEP and Berkshire Hathaway Energy Company. Prairie Wind owns a 108-mile, 345 kilovolt (kV) double-circuit transmission line that provides transmission service in the Southwest Power Pool, Inc. (SPP). Evergy Kansas Central accounts for its investment in Prairie Wind under the equity method.</w:t>
      </w:r>
    </w:p>
    <w:p>
      <w:pPr>
        <w:spacing w:after="0" w:line="17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auto"/>
        </w:rPr>
        <w:t>Evergy Kansas Central, Evergy Kansas South, Evergy Metro and Evergy Missouri West conduct business in their respective service territories using the name Evergy. Collectively, the Evergy Companies have approximately 15,800 megawatts (MWs) of owned generating capacity and renewable power purchase agreements and engage in the generation, transmission, distribution and sale of electricity to approximately 1.7 million customers in the states of Kansas and Missouri.</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2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color w:val="auto"/>
        </w:rPr>
        <w:t>These unaudited consolidated financial statements have been prepared in accordance with generally accepted accounting principles (GAAP) for interim financial information and with the instructions to Form 10-Q and Regulation S-X. Accordingly, these unaudited consolidated financial statements do not include all of the information and notes required by GAAP for annual financial statements and should be read in conjunction with the consolidated financial statements in the Evergy Companies' combined 2023 Form 10-K.</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These unaudited consolidated financial statements, in the opinion of management, reflect all normal recurring adjustments necessary to fairly present the unaudited consolidated financial statements for each of the Evergy Companies for these interim periods. In preparing financial statements that conform to GAAP, management must make estimates and assumptions that affect the reported amounts of assets and liabilities, the reported amounts of revenues and expenses, and the disclosure of contingent assets and liabilities at the date of the financial statements. Actual results could differ from those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Principles of Consolidation</w:t>
      </w:r>
    </w:p>
    <w:p>
      <w:pPr>
        <w:spacing w:after="0" w:line="32" w:lineRule="exact"/>
        <w:rPr>
          <w:sz w:val="20"/>
          <w:szCs w:val="20"/>
          <w:color w:val="auto"/>
        </w:rPr>
      </w:pPr>
    </w:p>
    <w:p>
      <w:pPr>
        <w:ind w:right="240"/>
        <w:spacing w:after="0" w:line="248" w:lineRule="auto"/>
        <w:rPr>
          <w:sz w:val="20"/>
          <w:szCs w:val="20"/>
          <w:color w:val="auto"/>
        </w:rPr>
      </w:pPr>
      <w:r>
        <w:rPr>
          <w:rFonts w:ascii="Times New Roman" w:cs="Times New Roman" w:eastAsia="Times New Roman" w:hAnsi="Times New Roman"/>
          <w:sz w:val="20"/>
          <w:szCs w:val="20"/>
          <w:color w:val="auto"/>
        </w:rPr>
        <w:t>Each of Evergy's, Evergy Kansas Central's and Evergy Metro's unaudited consolidated financial statements includes the accounts of their subsidiaries and the variable interest entities (VIE) of which Evergy and Evergy Kansas Central are the primary beneficiaries. Undivided interests in jointly-owned generation facilities are included on a proportionate basis. Intercompany transactions have been eliminated. The Evergy Companies assess financial performance and allocate resources on a consolidated basis (i.e., operate in one segment).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Cash Equivalents and Restricted Cash</w:t>
      </w:r>
    </w:p>
    <w:p>
      <w:pPr>
        <w:spacing w:after="0" w:line="3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Cash equivalents consists of highly liquid investments with original maturities of three months or less at acquisition. Evergy has restricted cash included in Other Current Assets and Other Non-current Assets on Evergy's consolidated balance sheet to facilitate the servicing of Evergy Missouri West Storm Funding I, LLC's (Evergy Missouri West Storm Funding) debt and the funding requirements for a jointly-owned generation facility. See Note 14 for additional information on the VIE. The following table summarizes the cash, cash equivalents and restricted cash included on Evergy's consolidated balance sheet.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June 30</w:t>
            </w:r>
          </w:p>
        </w:tc>
        <w:tc>
          <w:tcPr>
            <w:tcW w:w="6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230"/>
              <w:spacing w:after="0" w:line="202"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74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1200" w:type="dxa"/>
            <w:vAlign w:val="bottom"/>
          </w:tcPr>
          <w:p>
            <w:pPr>
              <w:spacing w:after="0"/>
              <w:rPr>
                <w:sz w:val="19"/>
                <w:szCs w:val="19"/>
                <w:color w:val="auto"/>
              </w:rPr>
            </w:pP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color w:val="auto"/>
              </w:rPr>
              <w:t>(millions)</w:t>
            </w:r>
          </w:p>
        </w:tc>
        <w:tc>
          <w:tcPr>
            <w:tcW w:w="1440" w:type="dxa"/>
            <w:vAlign w:val="bottom"/>
          </w:tcPr>
          <w:p>
            <w:pPr>
              <w:spacing w:after="0"/>
              <w:rPr>
                <w:sz w:val="19"/>
                <w:szCs w:val="19"/>
                <w:color w:val="auto"/>
              </w:rPr>
            </w:pPr>
          </w:p>
        </w:tc>
      </w:tr>
      <w:tr>
        <w:trPr>
          <w:trHeight w:val="229"/>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1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26.1</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30"/>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7.7</w:t>
            </w: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1.7</w:t>
            </w:r>
          </w:p>
        </w:tc>
        <w:tc>
          <w:tcPr>
            <w:tcW w:w="4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2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35.5</w:t>
            </w: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Fuel Inventory and Supplies</w:t>
      </w:r>
    </w:p>
    <w:p>
      <w:pPr>
        <w:spacing w:after="0" w:line="32" w:lineRule="exact"/>
        <w:rPr>
          <w:sz w:val="20"/>
          <w:szCs w:val="20"/>
          <w:color w:val="auto"/>
        </w:rPr>
      </w:pPr>
    </w:p>
    <w:p>
      <w:pPr>
        <w:ind w:right="740"/>
        <w:spacing w:after="0" w:line="253" w:lineRule="auto"/>
        <w:rPr>
          <w:sz w:val="20"/>
          <w:szCs w:val="20"/>
          <w:color w:val="auto"/>
        </w:rPr>
      </w:pPr>
      <w:r>
        <w:rPr>
          <w:rFonts w:ascii="Times New Roman" w:cs="Times New Roman" w:eastAsia="Times New Roman" w:hAnsi="Times New Roman"/>
          <w:sz w:val="20"/>
          <w:szCs w:val="20"/>
          <w:color w:val="auto"/>
        </w:rPr>
        <w:t>The Evergy Companies record fuel inventory and supplies at average cost. The following table separately states the balances for fuel inventory and supplies.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June 30</w:t>
            </w:r>
          </w:p>
        </w:tc>
        <w:tc>
          <w:tcPr>
            <w:tcW w:w="7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230"/>
              <w:spacing w:after="0" w:line="202"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7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1160" w:type="dxa"/>
            <w:vAlign w:val="bottom"/>
          </w:tcPr>
          <w:p>
            <w:pPr>
              <w:spacing w:after="0"/>
              <w:rPr>
                <w:sz w:val="19"/>
                <w:szCs w:val="19"/>
                <w:color w:val="auto"/>
              </w:rPr>
            </w:pP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color w:val="auto"/>
              </w:rPr>
              <w:t>(millions)</w:t>
            </w:r>
          </w:p>
        </w:tc>
        <w:tc>
          <w:tcPr>
            <w:tcW w:w="1440" w:type="dxa"/>
            <w:vAlign w:val="bottom"/>
          </w:tcPr>
          <w:p>
            <w:pPr>
              <w:spacing w:after="0"/>
              <w:rPr>
                <w:sz w:val="19"/>
                <w:szCs w:val="19"/>
                <w:color w:val="auto"/>
              </w:rPr>
            </w:pPr>
          </w:p>
        </w:tc>
      </w:tr>
      <w:tr>
        <w:trPr>
          <w:trHeight w:val="230"/>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Fuel inventory</w:t>
            </w:r>
          </w:p>
        </w:tc>
        <w:tc>
          <w:tcPr>
            <w:tcW w:w="11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247.9</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r>
      <w:tr>
        <w:trPr>
          <w:trHeight w:val="230"/>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Supplies</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558.8</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518.9</w:t>
            </w:r>
          </w:p>
        </w:tc>
      </w:tr>
      <w:tr>
        <w:trPr>
          <w:trHeight w:val="223"/>
        </w:trPr>
        <w:tc>
          <w:tcPr>
            <w:tcW w:w="74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Fuel inventory and supplies</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806.7</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Fuel inventory</w:t>
            </w:r>
          </w:p>
        </w:tc>
        <w:tc>
          <w:tcPr>
            <w:tcW w:w="11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139.7</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r>
      <w:tr>
        <w:trPr>
          <w:trHeight w:val="229"/>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Supplies</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291.1</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w:t>
            </w:r>
          </w:p>
        </w:tc>
      </w:tr>
      <w:tr>
        <w:trPr>
          <w:trHeight w:val="223"/>
        </w:trPr>
        <w:tc>
          <w:tcPr>
            <w:tcW w:w="74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Fuel inventory and supplies</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430.8</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Fuel inventory</w:t>
            </w:r>
          </w:p>
        </w:tc>
        <w:tc>
          <w:tcPr>
            <w:tcW w:w="11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71.5</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30"/>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Supplies</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198.4</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w:t>
            </w:r>
          </w:p>
        </w:tc>
      </w:tr>
      <w:tr>
        <w:trPr>
          <w:trHeight w:val="230"/>
        </w:trPr>
        <w:tc>
          <w:tcPr>
            <w:tcW w:w="74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Fuel inventory and supplies</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269.9</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Property, Plant and Equipment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summarize the property, plant and equipment of Evergy, Evergy Kansas Central and Evergy Metro.</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4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4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760" w:type="dxa"/>
            <w:vAlign w:val="bottom"/>
            <w:tcBorders>
              <w:top w:val="single" w:sz="8" w:color="auto"/>
              <w:bottom w:val="single" w:sz="8" w:color="auto"/>
            </w:tcBorders>
            <w:gridSpan w:val="2"/>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58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8"/>
              </w:rPr>
              <w:t>Evergy Metro</w:t>
            </w:r>
          </w:p>
        </w:tc>
      </w:tr>
      <w:tr>
        <w:trPr>
          <w:trHeight w:val="207"/>
        </w:trPr>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jc w:val="right"/>
              <w:ind w:right="971"/>
              <w:spacing w:after="0"/>
              <w:rPr>
                <w:sz w:val="20"/>
                <w:szCs w:val="20"/>
                <w:color w:val="auto"/>
              </w:rPr>
            </w:pPr>
            <w:r>
              <w:rPr>
                <w:rFonts w:ascii="Times New Roman" w:cs="Times New Roman" w:eastAsia="Times New Roman" w:hAnsi="Times New Roman"/>
                <w:sz w:val="16"/>
                <w:szCs w:val="16"/>
                <w:color w:val="auto"/>
              </w:rPr>
              <w:t>(millions)</w:t>
            </w: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2"/>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Electric plant in service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35,496.2</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17,285.0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13,242.5</w:t>
            </w:r>
          </w:p>
        </w:tc>
      </w:tr>
      <w:tr>
        <w:trPr>
          <w:trHeight w:val="229"/>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Electric plant acquisition adjustment</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742.8</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724.9</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(13,738.4)</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rPr>
              <w:t>(6,690.7)</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(5,578.1)</w:t>
            </w:r>
          </w:p>
        </w:tc>
      </w:tr>
      <w:tr>
        <w:trPr>
          <w:trHeight w:val="223"/>
        </w:trPr>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Plant in service, net</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22,500.6</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11,319.2</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7,664.4</w:t>
            </w:r>
          </w:p>
        </w:tc>
      </w:tr>
      <w:tr>
        <w:trPr>
          <w:trHeight w:val="22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1,618.3</w:t>
            </w:r>
          </w:p>
        </w:tc>
        <w:tc>
          <w:tcPr>
            <w:tcW w:w="9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1,031.2</w:t>
            </w:r>
          </w:p>
        </w:tc>
        <w:tc>
          <w:tcPr>
            <w:tcW w:w="5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450.2</w:t>
            </w:r>
          </w:p>
        </w:tc>
      </w:tr>
      <w:tr>
        <w:trPr>
          <w:trHeight w:val="230"/>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Nuclear fuel, net</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181.8</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90.6</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91.2</w:t>
            </w:r>
          </w:p>
        </w:tc>
      </w:tr>
      <w:tr>
        <w:trPr>
          <w:trHeight w:val="229"/>
        </w:trPr>
        <w:tc>
          <w:tcPr>
            <w:tcW w:w="43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Plant to be retired, net</w:t>
            </w:r>
            <w:r>
              <w:rPr>
                <w:rFonts w:ascii="Times New Roman" w:cs="Times New Roman" w:eastAsia="Times New Roman" w:hAnsi="Times New Roman"/>
                <w:sz w:val="23"/>
                <w:szCs w:val="23"/>
                <w:color w:val="auto"/>
                <w:vertAlign w:val="superscript"/>
              </w:rPr>
              <w:t>(b)</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0.7</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0.7</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24,301.4</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color w:val="auto"/>
              </w:rPr>
              <w:t>12,441.7</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8,205.8</w:t>
            </w:r>
          </w:p>
        </w:tc>
      </w:tr>
    </w:tbl>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4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760" w:type="dxa"/>
            <w:vAlign w:val="bottom"/>
            <w:tcBorders>
              <w:top w:val="single" w:sz="8" w:color="auto"/>
              <w:bottom w:val="single" w:sz="8" w:color="auto"/>
            </w:tcBorders>
            <w:gridSpan w:val="2"/>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58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8"/>
              </w:rPr>
              <w:t>Evergy Metro</w:t>
            </w:r>
          </w:p>
        </w:tc>
      </w:tr>
      <w:tr>
        <w:trPr>
          <w:trHeight w:val="207"/>
        </w:trPr>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jc w:val="right"/>
              <w:ind w:right="971"/>
              <w:spacing w:after="0"/>
              <w:rPr>
                <w:sz w:val="20"/>
                <w:szCs w:val="20"/>
                <w:color w:val="auto"/>
              </w:rPr>
            </w:pPr>
            <w:r>
              <w:rPr>
                <w:rFonts w:ascii="Times New Roman" w:cs="Times New Roman" w:eastAsia="Times New Roman" w:hAnsi="Times New Roman"/>
                <w:sz w:val="16"/>
                <w:szCs w:val="16"/>
                <w:color w:val="auto"/>
              </w:rPr>
              <w:t>(millions)</w:t>
            </w: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2"/>
        </w:trPr>
        <w:tc>
          <w:tcPr>
            <w:tcW w:w="4340" w:type="dxa"/>
            <w:vAlign w:val="bottom"/>
            <w:shd w:val="clear" w:color="auto" w:fill="CCEEFF"/>
          </w:tcPr>
          <w:p>
            <w:pPr>
              <w:ind w:left="140"/>
              <w:spacing w:after="0" w:line="232" w:lineRule="exact"/>
              <w:rPr>
                <w:sz w:val="20"/>
                <w:szCs w:val="20"/>
                <w:color w:val="auto"/>
              </w:rPr>
            </w:pPr>
            <w:r>
              <w:rPr>
                <w:rFonts w:ascii="Times New Roman" w:cs="Times New Roman" w:eastAsia="Times New Roman" w:hAnsi="Times New Roman"/>
                <w:sz w:val="18"/>
                <w:szCs w:val="18"/>
                <w:color w:val="auto"/>
              </w:rPr>
              <w:t>Electric plant in service</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34,558.1</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16,858.7</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13,005.5</w:t>
            </w:r>
          </w:p>
        </w:tc>
      </w:tr>
      <w:tr>
        <w:trPr>
          <w:trHeight w:val="230"/>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Electric plant acquisition adjustment</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724.9</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724.9</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Accumulated depreciation</w:t>
            </w:r>
            <w:r>
              <w:rPr>
                <w:rFonts w:ascii="Times New Roman" w:cs="Times New Roman" w:eastAsia="Times New Roman" w:hAnsi="Times New Roman"/>
                <w:sz w:val="23"/>
                <w:szCs w:val="23"/>
                <w:color w:val="auto"/>
                <w:vertAlign w:val="superscript"/>
              </w:rPr>
              <w:t>(a)</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(13,301.6)</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rPr>
              <w:t>(6,502.7)</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(5,404.9)</w:t>
            </w:r>
          </w:p>
        </w:tc>
      </w:tr>
      <w:tr>
        <w:trPr>
          <w:trHeight w:val="223"/>
        </w:trPr>
        <w:tc>
          <w:tcPr>
            <w:tcW w:w="4340" w:type="dxa"/>
            <w:vAlign w:val="bottom"/>
          </w:tcPr>
          <w:p>
            <w:pPr>
              <w:ind w:left="340"/>
              <w:spacing w:after="0" w:line="223" w:lineRule="exact"/>
              <w:rPr>
                <w:sz w:val="20"/>
                <w:szCs w:val="20"/>
                <w:color w:val="auto"/>
              </w:rPr>
            </w:pPr>
            <w:r>
              <w:rPr>
                <w:rFonts w:ascii="Times New Roman" w:cs="Times New Roman" w:eastAsia="Times New Roman" w:hAnsi="Times New Roman"/>
                <w:sz w:val="18"/>
                <w:szCs w:val="18"/>
                <w:color w:val="auto"/>
              </w:rPr>
              <w:t>Plant in service, net</w:t>
            </w:r>
            <w:r>
              <w:rPr>
                <w:rFonts w:ascii="Times New Roman" w:cs="Times New Roman" w:eastAsia="Times New Roman" w:hAnsi="Times New Roman"/>
                <w:sz w:val="23"/>
                <w:szCs w:val="23"/>
                <w:color w:val="auto"/>
                <w:vertAlign w:val="superscript"/>
              </w:rPr>
              <w:t>(a)</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21,981.4</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11,080.9</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7,600.6</w:t>
            </w:r>
          </w:p>
        </w:tc>
      </w:tr>
      <w:tr>
        <w:trPr>
          <w:trHeight w:val="229"/>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1,543.5</w:t>
            </w:r>
          </w:p>
        </w:tc>
        <w:tc>
          <w:tcPr>
            <w:tcW w:w="9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939.1</w:t>
            </w:r>
          </w:p>
        </w:tc>
        <w:tc>
          <w:tcPr>
            <w:tcW w:w="5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428.7</w:t>
            </w:r>
          </w:p>
        </w:tc>
      </w:tr>
      <w:tr>
        <w:trPr>
          <w:trHeight w:val="229"/>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Nuclear fuel, net</w:t>
            </w:r>
          </w:p>
        </w:tc>
        <w:tc>
          <w:tcPr>
            <w:tcW w:w="2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203.0</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101.1</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101.9</w:t>
            </w:r>
          </w:p>
        </w:tc>
      </w:tr>
      <w:tr>
        <w:trPr>
          <w:trHeight w:val="230"/>
        </w:trPr>
        <w:tc>
          <w:tcPr>
            <w:tcW w:w="43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Plant to be retired, net</w:t>
            </w:r>
            <w:r>
              <w:rPr>
                <w:rFonts w:ascii="Times New Roman" w:cs="Times New Roman" w:eastAsia="Times New Roman" w:hAnsi="Times New Roman"/>
                <w:sz w:val="23"/>
                <w:szCs w:val="23"/>
                <w:color w:val="auto"/>
                <w:vertAlign w:val="superscript"/>
              </w:rPr>
              <w:t>(b)</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0.8</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0.8</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40" w:type="dxa"/>
            <w:vAlign w:val="bottom"/>
            <w:tcBorders>
              <w:bottom w:val="single" w:sz="8" w:color="auto"/>
            </w:tcBorders>
          </w:tcPr>
          <w:p>
            <w:pPr>
              <w:ind w:left="340"/>
              <w:spacing w:after="0" w:line="223" w:lineRule="exact"/>
              <w:rPr>
                <w:sz w:val="20"/>
                <w:szCs w:val="20"/>
                <w:color w:val="auto"/>
              </w:rPr>
            </w:pPr>
            <w:r>
              <w:rPr>
                <w:rFonts w:ascii="Times New Roman" w:cs="Times New Roman" w:eastAsia="Times New Roman" w:hAnsi="Times New Roman"/>
                <w:sz w:val="18"/>
                <w:szCs w:val="18"/>
                <w:color w:val="auto"/>
              </w:rPr>
              <w:t>Property, plant and equipment, net</w:t>
            </w:r>
            <w:r>
              <w:rPr>
                <w:rFonts w:ascii="Times New Roman" w:cs="Times New Roman" w:eastAsia="Times New Roman" w:hAnsi="Times New Roman"/>
                <w:sz w:val="23"/>
                <w:szCs w:val="23"/>
                <w:color w:val="auto"/>
                <w:vertAlign w:val="superscript"/>
              </w:rPr>
              <w:t>(a)</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23,728.7</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color w:val="auto"/>
              </w:rPr>
              <w:t>12,121.9</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8,131.2</w:t>
            </w:r>
          </w:p>
        </w:tc>
      </w:tr>
    </w:tbl>
    <w:p>
      <w:pPr>
        <w:spacing w:after="0" w:line="81" w:lineRule="exact"/>
        <w:rPr>
          <w:sz w:val="20"/>
          <w:szCs w:val="20"/>
          <w:color w:val="auto"/>
        </w:rPr>
      </w:pPr>
    </w:p>
    <w:p>
      <w:pPr>
        <w:jc w:val="both"/>
        <w:ind w:left="180" w:right="60" w:hanging="172"/>
        <w:spacing w:after="0" w:line="235" w:lineRule="auto"/>
        <w:tabs>
          <w:tab w:leader="none" w:pos="175"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June 30, 2024, Evergy and Evergy Kansas Central classified Property, Plant and Equipment of VIE, net as Property, Plant and Equipment, net. To conform with the current period presentation, amounts previously reported as Property, Plant and Equipment of VIE, net as of December 31, 2023, have been reclassified to Property, Plant and Equipment, net.</w:t>
      </w:r>
    </w:p>
    <w:p>
      <w:pPr>
        <w:spacing w:after="0" w:line="1" w:lineRule="exact"/>
        <w:rPr>
          <w:rFonts w:ascii="Times New Roman" w:cs="Times New Roman" w:eastAsia="Times New Roman" w:hAnsi="Times New Roman"/>
          <w:sz w:val="21"/>
          <w:szCs w:val="21"/>
          <w:color w:val="auto"/>
          <w:vertAlign w:val="superscript"/>
        </w:rPr>
      </w:pPr>
    </w:p>
    <w:p>
      <w:pPr>
        <w:ind w:left="180" w:hanging="172"/>
        <w:spacing w:after="0" w:line="191" w:lineRule="auto"/>
        <w:tabs>
          <w:tab w:leader="none" w:pos="18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June 30, 2024 and December 31, 2023, represents the planned retirement of Evergy Kansas Central analog meters prior to the end of their remaining useful lives.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Expense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shows the detail of other expense for each of the Evergy Companies.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3"/>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820" w:type="dxa"/>
            <w:vAlign w:val="bottom"/>
            <w:tcBorders>
              <w:top w:val="single" w:sz="8" w:color="auto"/>
            </w:tcBorders>
          </w:tcPr>
          <w:p>
            <w:pPr>
              <w:spacing w:after="0"/>
              <w:rPr>
                <w:sz w:val="18"/>
                <w:szCs w:val="18"/>
                <w:color w:val="auto"/>
              </w:rPr>
            </w:pPr>
          </w:p>
        </w:tc>
      </w:tr>
      <w:tr>
        <w:trPr>
          <w:trHeight w:val="229"/>
        </w:trPr>
        <w:tc>
          <w:tcPr>
            <w:tcW w:w="5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Pr>
          <w:p>
            <w:pPr>
              <w:spacing w:after="0"/>
              <w:rPr>
                <w:sz w:val="19"/>
                <w:szCs w:val="19"/>
                <w:color w:val="auto"/>
              </w:rPr>
            </w:pPr>
          </w:p>
        </w:tc>
      </w:tr>
      <w:tr>
        <w:trPr>
          <w:trHeight w:val="238"/>
        </w:trPr>
        <w:tc>
          <w:tcPr>
            <w:tcW w:w="58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(millions)</w:t>
            </w: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Non-service cost component of net benefit cost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(16.0)</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(9.2)</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29"/>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Corporate-owned life insurance</w:t>
            </w:r>
          </w:p>
        </w:tc>
        <w:tc>
          <w:tcPr>
            <w:tcW w:w="2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42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w:t>
            </w:r>
          </w:p>
        </w:tc>
        <w:tc>
          <w:tcPr>
            <w:tcW w:w="4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(10.8)</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(0.4)</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(0.9)</w:t>
            </w: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5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expense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(21.0)</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(20.9)</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Non-service cost component of net benefit cost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0.6</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Corporate-owned life insurance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5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58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expense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(9.5)</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Non-service cost component of net benefit cost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(9.2)</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3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Corporate-owned life insurance</w:t>
            </w:r>
          </w:p>
        </w:tc>
        <w:tc>
          <w:tcPr>
            <w:tcW w:w="2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42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4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(0.4)</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(0.5)</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(0.7)</w:t>
            </w: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58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Other expense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(9.8)</w:t>
            </w:r>
          </w:p>
        </w:tc>
        <w:tc>
          <w:tcPr>
            <w:tcW w:w="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(7.2)</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Per Share</w:t>
      </w:r>
    </w:p>
    <w:p>
      <w:pPr>
        <w:spacing w:after="0" w:line="2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color w:val="auto"/>
        </w:rPr>
        <w:t>To compute basic earnings per common share (EPS), Evergy divides net income attributable to Evergy, Inc. by the weighted average number of common shares outstanding. Diluted EPS includes the effect of issuable common shares resulting from restricted share units (RSUs), restricted stock, convertible notes and a warrant. Evergy computes the dilutive effects of potential issuances of common shares using the treasury stock method, the contingently issuable share method or the if-converted method, as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reconciles Evergy's basic and diluted EPS.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gridSpan w:val="3"/>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820" w:type="dxa"/>
            <w:vAlign w:val="bottom"/>
            <w:tcBorders>
              <w:top w:val="single" w:sz="8" w:color="auto"/>
            </w:tcBorders>
          </w:tcPr>
          <w:p>
            <w:pPr>
              <w:spacing w:after="0"/>
              <w:rPr>
                <w:sz w:val="18"/>
                <w:szCs w:val="18"/>
                <w:color w:val="auto"/>
              </w:rPr>
            </w:pPr>
          </w:p>
        </w:tc>
      </w:tr>
      <w:tr>
        <w:trPr>
          <w:trHeight w:val="229"/>
        </w:trPr>
        <w:tc>
          <w:tcPr>
            <w:tcW w:w="5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gridSpan w:val="3"/>
          </w:tcPr>
          <w:p>
            <w:pPr>
              <w:jc w:val="right"/>
              <w:ind w:right="99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00" w:type="dxa"/>
            <w:vAlign w:val="bottom"/>
          </w:tcPr>
          <w:p>
            <w:pPr>
              <w:spacing w:after="0"/>
              <w:rPr>
                <w:sz w:val="19"/>
                <w:szCs w:val="19"/>
                <w:color w:val="auto"/>
              </w:rPr>
            </w:pP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Pr>
          <w:p>
            <w:pPr>
              <w:spacing w:after="0"/>
              <w:rPr>
                <w:sz w:val="19"/>
                <w:szCs w:val="19"/>
                <w:color w:val="auto"/>
              </w:rPr>
            </w:pPr>
          </w:p>
        </w:tc>
      </w:tr>
      <w:tr>
        <w:trPr>
          <w:trHeight w:val="238"/>
        </w:trPr>
        <w:tc>
          <w:tcPr>
            <w:tcW w:w="58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80" w:type="dxa"/>
            <w:vAlign w:val="bottom"/>
            <w:gridSpan w:val="3"/>
          </w:tcPr>
          <w:p>
            <w:pPr>
              <w:jc w:val="right"/>
              <w:ind w:right="110"/>
              <w:spacing w:after="0"/>
              <w:rPr>
                <w:sz w:val="20"/>
                <w:szCs w:val="20"/>
                <w:color w:val="auto"/>
              </w:rPr>
            </w:pPr>
            <w:r>
              <w:rPr>
                <w:rFonts w:ascii="Times New Roman" w:cs="Times New Roman" w:eastAsia="Times New Roman" w:hAnsi="Times New Roman"/>
                <w:sz w:val="16"/>
                <w:szCs w:val="16"/>
                <w:color w:val="auto"/>
              </w:rPr>
              <w:t>(millions, except per share amounts)</w:t>
            </w: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210.1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182.2</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335.9</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w:t>
            </w:r>
          </w:p>
        </w:tc>
      </w:tr>
      <w:tr>
        <w:trPr>
          <w:trHeight w:val="23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3.1</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6.2</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5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207.0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179.1</w:t>
            </w:r>
          </w:p>
        </w:tc>
        <w:tc>
          <w:tcPr>
            <w:tcW w:w="4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329.7</w:t>
            </w:r>
          </w:p>
        </w:tc>
        <w:tc>
          <w:tcPr>
            <w:tcW w:w="5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Shares Outstanding</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230.3</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230.1</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230.2</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r>
      <w:tr>
        <w:trPr>
          <w:trHeight w:val="229"/>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0.4</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5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average number of common shares outstanding</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230.5</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230.5</w:t>
            </w: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230.5</w:t>
            </w: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0.90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0.78</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1.43</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6"/>
        </w:trPr>
        <w:tc>
          <w:tcPr>
            <w:tcW w:w="5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0.90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0.78</w:t>
            </w:r>
          </w:p>
        </w:tc>
        <w:tc>
          <w:tcPr>
            <w:tcW w:w="4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1.43</w:t>
            </w:r>
          </w:p>
        </w:tc>
        <w:tc>
          <w:tcPr>
            <w:tcW w:w="5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bl>
    <w:p>
      <w:pPr>
        <w:spacing w:after="0" w:line="28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There were no anti-dilutive shares excluded from the computation of diluted EPS for the three months ended and year to date June 30, 2024. Anti-dilutive securities excluded from the computation of diluted EPS for the three months ended and year to date June 30, 2023 were 3,950,000 common shares issuable pursuant to a warrant. Also, there was no dilution resulting from Evergy's convertible notes for the three months ended and year to date June 30, 2024 and 2023.</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 Declared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August 2024, Evergy's Board of Directors (Evergy Board) declared a quarterly dividend of $0.6425 per share on Evergy's common stock.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common dividend is payable on September 20, 2024, to shareholders of record as of August 20, 2024.</w:t>
      </w:r>
    </w:p>
    <w:p>
      <w:pPr>
        <w:spacing w:after="0" w:line="20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In August 2024, Evergy Kansas Central's Board of Directors declared a cash dividend to Evergy of up to $135.0 million, payable on or before September 19, 2024.</w:t>
      </w:r>
    </w:p>
    <w:p>
      <w:pPr>
        <w:spacing w:after="0" w:line="173" w:lineRule="exact"/>
        <w:rPr>
          <w:sz w:val="20"/>
          <w:szCs w:val="20"/>
          <w:color w:val="auto"/>
        </w:rPr>
      </w:pPr>
    </w:p>
    <w:p>
      <w:pPr>
        <w:ind w:right="740"/>
        <w:spacing w:after="0" w:line="283" w:lineRule="auto"/>
        <w:rPr>
          <w:sz w:val="20"/>
          <w:szCs w:val="20"/>
          <w:color w:val="auto"/>
        </w:rPr>
      </w:pPr>
      <w:r>
        <w:rPr>
          <w:rFonts w:ascii="Times New Roman" w:cs="Times New Roman" w:eastAsia="Times New Roman" w:hAnsi="Times New Roman"/>
          <w:sz w:val="20"/>
          <w:szCs w:val="20"/>
          <w:color w:val="auto"/>
        </w:rPr>
        <w:t>In August 2024, Evergy Metro's Board of Directors declared a cash dividend to Evergy of up to $110.0 million, payable on or before September 19,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Supplemental Cash Flow Information</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Evergy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 w:type="dxa"/>
            <w:vAlign w:val="bottom"/>
          </w:tcPr>
          <w:p>
            <w:pPr>
              <w:spacing w:after="0"/>
              <w:rPr>
                <w:sz w:val="20"/>
                <w:szCs w:val="20"/>
                <w:color w:val="auto"/>
              </w:rPr>
            </w:pPr>
          </w:p>
        </w:tc>
        <w:tc>
          <w:tcPr>
            <w:tcW w:w="7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June 30</w:t>
            </w:r>
          </w:p>
        </w:tc>
        <w:tc>
          <w:tcPr>
            <w:tcW w:w="18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(received from):</w:t>
            </w:r>
          </w:p>
        </w:tc>
        <w:tc>
          <w:tcPr>
            <w:tcW w:w="1840" w:type="dxa"/>
            <w:vAlign w:val="bottom"/>
          </w:tcPr>
          <w:p>
            <w:pPr>
              <w:spacing w:after="0"/>
              <w:rPr>
                <w:sz w:val="19"/>
                <w:szCs w:val="19"/>
                <w:color w:val="auto"/>
              </w:rPr>
            </w:pPr>
          </w:p>
        </w:tc>
        <w:tc>
          <w:tcPr>
            <w:tcW w:w="146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color w:val="auto"/>
              </w:rPr>
              <w:t>(millions)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net of amount capitalized</w:t>
            </w:r>
          </w:p>
        </w:tc>
        <w:tc>
          <w:tcPr>
            <w:tcW w:w="1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265.5</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8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8.1</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18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6.9</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transactions: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40" w:type="dxa"/>
            <w:vAlign w:val="bottom"/>
          </w:tcPr>
          <w:p>
            <w:pPr>
              <w:spacing w:after="0"/>
              <w:rPr>
                <w:sz w:val="20"/>
                <w:szCs w:val="20"/>
                <w:color w:val="auto"/>
              </w:rPr>
            </w:pPr>
          </w:p>
        </w:tc>
        <w:tc>
          <w:tcPr>
            <w:tcW w:w="7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additions</w:t>
            </w:r>
          </w:p>
        </w:tc>
        <w:tc>
          <w:tcPr>
            <w:tcW w:w="18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115.1</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20" w:type="dxa"/>
            <w:vAlign w:val="bottom"/>
          </w:tcPr>
          <w:p>
            <w:pPr>
              <w:spacing w:after="0"/>
              <w:rPr>
                <w:sz w:val="20"/>
                <w:szCs w:val="20"/>
                <w:color w:val="auto"/>
              </w:rPr>
            </w:pPr>
          </w:p>
        </w:tc>
      </w:tr>
      <w:tr>
        <w:trPr>
          <w:trHeight w:val="439"/>
        </w:trPr>
        <w:tc>
          <w:tcPr>
            <w:tcW w:w="40" w:type="dxa"/>
            <w:vAlign w:val="bottom"/>
          </w:tcPr>
          <w:p>
            <w:pPr>
              <w:spacing w:after="0"/>
              <w:rPr>
                <w:sz w:val="24"/>
                <w:szCs w:val="24"/>
                <w:color w:val="auto"/>
              </w:rPr>
            </w:pPr>
          </w:p>
        </w:tc>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1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40" w:type="dxa"/>
            <w:vAlign w:val="bottom"/>
          </w:tcPr>
          <w:p>
            <w:pPr>
              <w:spacing w:after="0"/>
              <w:rPr>
                <w:sz w:val="19"/>
                <w:szCs w:val="19"/>
                <w:color w:val="auto"/>
              </w:rPr>
            </w:pPr>
          </w:p>
        </w:tc>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June 30</w:t>
            </w:r>
          </w:p>
        </w:tc>
        <w:tc>
          <w:tcPr>
            <w:tcW w:w="18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(received from):</w:t>
            </w:r>
          </w:p>
        </w:tc>
        <w:tc>
          <w:tcPr>
            <w:tcW w:w="1840" w:type="dxa"/>
            <w:vAlign w:val="bottom"/>
          </w:tcPr>
          <w:p>
            <w:pPr>
              <w:spacing w:after="0"/>
              <w:rPr>
                <w:sz w:val="19"/>
                <w:szCs w:val="19"/>
                <w:color w:val="auto"/>
              </w:rPr>
            </w:pPr>
          </w:p>
        </w:tc>
        <w:tc>
          <w:tcPr>
            <w:tcW w:w="146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color w:val="auto"/>
              </w:rPr>
              <w:t>(millions)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net of amount capitalized</w:t>
            </w:r>
          </w:p>
        </w:tc>
        <w:tc>
          <w:tcPr>
            <w:tcW w:w="1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108.1</w:t>
            </w:r>
          </w:p>
        </w:tc>
        <w:tc>
          <w:tcPr>
            <w:tcW w:w="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8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7.3</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18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4.9</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transactions: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6"/>
        </w:trPr>
        <w:tc>
          <w:tcPr>
            <w:tcW w:w="40" w:type="dxa"/>
            <w:vAlign w:val="bottom"/>
          </w:tcPr>
          <w:p>
            <w:pPr>
              <w:spacing w:after="0"/>
              <w:rPr>
                <w:sz w:val="20"/>
                <w:szCs w:val="20"/>
                <w:color w:val="auto"/>
              </w:rPr>
            </w:pPr>
          </w:p>
        </w:tc>
        <w:tc>
          <w:tcPr>
            <w:tcW w:w="7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additions</w:t>
            </w:r>
          </w:p>
        </w:tc>
        <w:tc>
          <w:tcPr>
            <w:tcW w:w="18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72.5</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0" w:type="dxa"/>
            <w:vAlign w:val="bottom"/>
          </w:tcPr>
          <w:p>
            <w:pPr>
              <w:spacing w:after="0"/>
              <w:rPr>
                <w:sz w:val="20"/>
                <w:szCs w:val="20"/>
                <w:color w:val="auto"/>
              </w:rPr>
            </w:pPr>
          </w:p>
        </w:tc>
      </w:tr>
      <w:tr>
        <w:trPr>
          <w:trHeight w:val="453"/>
        </w:trPr>
        <w:tc>
          <w:tcPr>
            <w:tcW w:w="7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1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30"/>
        </w:trPr>
        <w:tc>
          <w:tcPr>
            <w:tcW w:w="7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June 30</w:t>
            </w:r>
          </w:p>
        </w:tc>
        <w:tc>
          <w:tcPr>
            <w:tcW w:w="18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19"/>
                <w:szCs w:val="19"/>
                <w:color w:val="auto"/>
              </w:rPr>
            </w:pPr>
          </w:p>
        </w:tc>
      </w:tr>
      <w:tr>
        <w:trPr>
          <w:trHeight w:val="223"/>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for (received from):</w:t>
            </w:r>
          </w:p>
        </w:tc>
        <w:tc>
          <w:tcPr>
            <w:tcW w:w="184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7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net of amount capitalized</w:t>
            </w:r>
          </w:p>
        </w:tc>
        <w:tc>
          <w:tcPr>
            <w:tcW w:w="1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71.7</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84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3.5</w:t>
            </w:r>
          </w:p>
        </w:tc>
        <w:tc>
          <w:tcPr>
            <w:tcW w:w="4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w:t>
            </w:r>
          </w:p>
        </w:tc>
      </w:tr>
      <w:tr>
        <w:trPr>
          <w:trHeight w:val="229"/>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1.6</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shd w:val="clear" w:color="auto" w:fill="CCEEFF"/>
          </w:tcPr>
          <w:p>
            <w:pPr>
              <w:spacing w:after="0"/>
              <w:rPr>
                <w:sz w:val="19"/>
                <w:szCs w:val="19"/>
                <w:color w:val="auto"/>
              </w:rPr>
            </w:pPr>
          </w:p>
        </w:tc>
      </w:tr>
      <w:tr>
        <w:trPr>
          <w:trHeight w:val="23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184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transactions: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6"/>
        </w:trPr>
        <w:tc>
          <w:tcPr>
            <w:tcW w:w="40" w:type="dxa"/>
            <w:vAlign w:val="bottom"/>
            <w:tcBorders>
              <w:bottom w:val="single" w:sz="8" w:color="auto"/>
            </w:tcBorders>
          </w:tcPr>
          <w:p>
            <w:pPr>
              <w:spacing w:after="0"/>
              <w:rPr>
                <w:sz w:val="20"/>
                <w:szCs w:val="20"/>
                <w:color w:val="auto"/>
              </w:rPr>
            </w:pPr>
          </w:p>
        </w:tc>
        <w:tc>
          <w:tcPr>
            <w:tcW w:w="7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additions</w:t>
            </w:r>
          </w:p>
        </w:tc>
        <w:tc>
          <w:tcPr>
            <w:tcW w:w="18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25.9</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0" w:type="dxa"/>
            <w:vAlign w:val="bottom"/>
            <w:tcBorders>
              <w:bottom w:val="single" w:sz="8" w:color="auto"/>
            </w:tcBorders>
          </w:tcPr>
          <w:p>
            <w:pPr>
              <w:spacing w:after="0"/>
              <w:rPr>
                <w:sz w:val="20"/>
                <w:szCs w:val="20"/>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Natural Gas Plant Investment</w:t>
      </w:r>
    </w:p>
    <w:p>
      <w:pPr>
        <w:spacing w:after="0" w:line="26"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20"/>
          <w:szCs w:val="20"/>
          <w:color w:val="auto"/>
        </w:rPr>
        <w:t>In April 2024, Evergy Missouri West purchased a 22% ownership interest representing approximately 145 MW in Dogwood Energy Center (Dogwood), an operational natural gas combined cycle facility located in Missouri, for approximately $60 million. The purchase was recorded as an asset acquisition to property, plant and equipment, net, on Evergy's consolidated balance sheet. The purchase was subject to terms and conditions listed in a stipulation and agreement approved by the Public Service Commission of the State of Missouri (MPSC) allowing Evergy Missouri West to recover in rates a return of and return on the original cost, net of accumulated depreciation, of</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right="280"/>
        <w:spacing w:after="0" w:line="253" w:lineRule="auto"/>
        <w:rPr>
          <w:sz w:val="20"/>
          <w:szCs w:val="20"/>
          <w:color w:val="auto"/>
        </w:rPr>
      </w:pPr>
      <w:r>
        <w:rPr>
          <w:rFonts w:ascii="Times New Roman" w:cs="Times New Roman" w:eastAsia="Times New Roman" w:hAnsi="Times New Roman"/>
          <w:sz w:val="20"/>
          <w:szCs w:val="20"/>
          <w:color w:val="auto"/>
        </w:rPr>
        <w:t>Dogwood. Evergy Missouri West shall also be allowed to recover in rates over two years a return of, but not a return on, the amount of the purchase price paid in excess of the original cost, net of accumulated depreciation, of Dogwood. In addition, net revenues generated from Evergy Missouri West's ownership of Dogwood from the date of closing to the date new rates become effective in Evergy Missouri West's current rate case shall not impact rates and shall be retained by Evergy Missouri West and reduce the amount of the purchase price paid in excess of the original cost, net of accumulated depreciation, of Dogwood to be recovered from customers.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REVENUE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Evergy's, Evergy Kansas Central's and Evergy Metro's revenues disaggregated by customer class are summarized in the following tables.</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300" w:type="dxa"/>
            <w:vAlign w:val="bottom"/>
            <w:tcBorders>
              <w:top w:val="single" w:sz="8" w:color="auto"/>
            </w:tcBorders>
            <w:gridSpan w:val="3"/>
          </w:tcPr>
          <w:p>
            <w:pPr>
              <w:jc w:val="center"/>
              <w:ind w:right="151"/>
              <w:spacing w:after="0" w:line="182" w:lineRule="exact"/>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jc w:val="center"/>
              <w:ind w:left="330"/>
              <w:spacing w:after="0" w:line="182" w:lineRule="exact"/>
              <w:rPr>
                <w:sz w:val="20"/>
                <w:szCs w:val="20"/>
                <w:color w:val="auto"/>
              </w:rPr>
            </w:pPr>
            <w:r>
              <w:rPr>
                <w:rFonts w:ascii="Times New Roman" w:cs="Times New Roman" w:eastAsia="Times New Roman" w:hAnsi="Times New Roman"/>
                <w:sz w:val="18"/>
                <w:szCs w:val="18"/>
                <w:b w:val="1"/>
                <w:bCs w:val="1"/>
                <w:color w:val="auto"/>
                <w:w w:val="97"/>
              </w:rPr>
              <w:t>Year to Date</w:t>
            </w:r>
          </w:p>
        </w:tc>
        <w:tc>
          <w:tcPr>
            <w:tcW w:w="820" w:type="dxa"/>
            <w:vAlign w:val="bottom"/>
            <w:tcBorders>
              <w:top w:val="single" w:sz="8" w:color="auto"/>
            </w:tcBorders>
          </w:tcPr>
          <w:p>
            <w:pPr>
              <w:spacing w:after="0"/>
              <w:rPr>
                <w:sz w:val="15"/>
                <w:szCs w:val="15"/>
                <w:color w:val="auto"/>
              </w:rPr>
            </w:pPr>
          </w:p>
        </w:tc>
      </w:tr>
      <w:tr>
        <w:trPr>
          <w:trHeight w:val="234"/>
        </w:trPr>
        <w:tc>
          <w:tcPr>
            <w:tcW w:w="6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7"/>
              </w:rPr>
              <w:t>June 30</w:t>
            </w: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Pr>
          <w:p>
            <w:pPr>
              <w:spacing w:after="0"/>
              <w:rPr>
                <w:sz w:val="20"/>
                <w:szCs w:val="20"/>
                <w:color w:val="auto"/>
              </w:rPr>
            </w:pPr>
          </w:p>
        </w:tc>
      </w:tr>
      <w:tr>
        <w:trPr>
          <w:trHeight w:val="238"/>
        </w:trPr>
        <w:tc>
          <w:tcPr>
            <w:tcW w:w="6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536.7</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1,015.7</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951.3</w:t>
            </w:r>
          </w:p>
        </w:tc>
      </w:tr>
      <w:tr>
        <w:trPr>
          <w:trHeight w:val="229"/>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485.8</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4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918.5</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890.7</w:t>
            </w:r>
          </w:p>
        </w:tc>
      </w:tr>
      <w:tr>
        <w:trPr>
          <w:trHeight w:val="23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174.7</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335.1</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w:t>
            </w:r>
          </w:p>
        </w:tc>
      </w:tr>
      <w:tr>
        <w:trPr>
          <w:trHeight w:val="229"/>
        </w:trPr>
        <w:tc>
          <w:tcPr>
            <w:tcW w:w="6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retail</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10.2</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22.1</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3"/>
        </w:trPr>
        <w:tc>
          <w:tcPr>
            <w:tcW w:w="6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electric retail</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1,207.4</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1,119.6</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2,291.4</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2,178.6</w:t>
            </w:r>
          </w:p>
        </w:tc>
      </w:tr>
      <w:tr>
        <w:trPr>
          <w:trHeight w:val="230"/>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28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73.3</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4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144.3</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r>
      <w:tr>
        <w:trPr>
          <w:trHeight w:val="229"/>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Transmission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122.4</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237.8</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r>
      <w:tr>
        <w:trPr>
          <w:trHeight w:val="230"/>
        </w:trPr>
        <w:tc>
          <w:tcPr>
            <w:tcW w:w="6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Industrial steam and other</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14.2</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1,407.1</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1,309.0</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2,687.7</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2,555.9</w:t>
            </w:r>
          </w:p>
        </w:tc>
      </w:tr>
      <w:tr>
        <w:trPr>
          <w:trHeight w:val="230"/>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40.4</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90.8</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30"/>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1,447.5</w:t>
            </w:r>
          </w:p>
        </w:tc>
        <w:tc>
          <w:tcPr>
            <w:tcW w:w="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1,354.2</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2,778.5</w:t>
            </w:r>
          </w:p>
        </w:tc>
        <w:tc>
          <w:tcPr>
            <w:tcW w:w="5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2,651.0</w:t>
            </w:r>
          </w:p>
        </w:tc>
      </w:tr>
      <w:tr>
        <w:trPr>
          <w:trHeight w:val="345"/>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75"/>
        </w:trPr>
        <w:tc>
          <w:tcPr>
            <w:tcW w:w="6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gridSpan w:val="3"/>
          </w:tcPr>
          <w:p>
            <w:pPr>
              <w:jc w:val="center"/>
              <w:ind w:right="151"/>
              <w:spacing w:after="0" w:line="176" w:lineRule="exact"/>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00" w:type="dxa"/>
            <w:vAlign w:val="bottom"/>
          </w:tcPr>
          <w:p>
            <w:pPr>
              <w:spacing w:after="0"/>
              <w:rPr>
                <w:sz w:val="15"/>
                <w:szCs w:val="15"/>
                <w:color w:val="auto"/>
              </w:rPr>
            </w:pPr>
          </w:p>
        </w:tc>
        <w:tc>
          <w:tcPr>
            <w:tcW w:w="1420" w:type="dxa"/>
            <w:vAlign w:val="bottom"/>
            <w:gridSpan w:val="2"/>
          </w:tcPr>
          <w:p>
            <w:pPr>
              <w:jc w:val="center"/>
              <w:ind w:left="330"/>
              <w:spacing w:after="0" w:line="176" w:lineRule="exact"/>
              <w:rPr>
                <w:sz w:val="20"/>
                <w:szCs w:val="20"/>
                <w:color w:val="auto"/>
              </w:rPr>
            </w:pPr>
            <w:r>
              <w:rPr>
                <w:rFonts w:ascii="Times New Roman" w:cs="Times New Roman" w:eastAsia="Times New Roman" w:hAnsi="Times New Roman"/>
                <w:sz w:val="18"/>
                <w:szCs w:val="18"/>
                <w:b w:val="1"/>
                <w:bCs w:val="1"/>
                <w:color w:val="auto"/>
                <w:w w:val="97"/>
              </w:rPr>
              <w:t>Year to Date</w:t>
            </w:r>
          </w:p>
        </w:tc>
        <w:tc>
          <w:tcPr>
            <w:tcW w:w="820" w:type="dxa"/>
            <w:vAlign w:val="bottom"/>
          </w:tcPr>
          <w:p>
            <w:pPr>
              <w:spacing w:after="0"/>
              <w:rPr>
                <w:sz w:val="15"/>
                <w:szCs w:val="15"/>
                <w:color w:val="auto"/>
              </w:rPr>
            </w:pPr>
          </w:p>
        </w:tc>
      </w:tr>
      <w:tr>
        <w:trPr>
          <w:trHeight w:val="234"/>
        </w:trPr>
        <w:tc>
          <w:tcPr>
            <w:tcW w:w="6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7"/>
              </w:rPr>
              <w:t>June 30</w:t>
            </w: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Pr>
          <w:p>
            <w:pPr>
              <w:spacing w:after="0"/>
              <w:rPr>
                <w:sz w:val="20"/>
                <w:szCs w:val="20"/>
                <w:color w:val="auto"/>
              </w:rPr>
            </w:pPr>
          </w:p>
        </w:tc>
      </w:tr>
      <w:tr>
        <w:trPr>
          <w:trHeight w:val="238"/>
        </w:trPr>
        <w:tc>
          <w:tcPr>
            <w:tcW w:w="6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233.7</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448.0</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w:t>
            </w:r>
          </w:p>
        </w:tc>
      </w:tr>
      <w:tr>
        <w:trPr>
          <w:trHeight w:val="230"/>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208.3</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4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391.9</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r>
      <w:tr>
        <w:trPr>
          <w:trHeight w:val="229"/>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114.2</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220.2</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r>
      <w:tr>
        <w:trPr>
          <w:trHeight w:val="230"/>
        </w:trPr>
        <w:tc>
          <w:tcPr>
            <w:tcW w:w="6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retail</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6.0</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12.1</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6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electric retail</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562.2</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1,072.2</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956.7</w:t>
            </w:r>
          </w:p>
        </w:tc>
      </w:tr>
      <w:tr>
        <w:trPr>
          <w:trHeight w:val="230"/>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28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47.7</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4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115.8</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r>
      <w:tr>
        <w:trPr>
          <w:trHeight w:val="23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Transmission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115.4</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224.3</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r>
      <w:tr>
        <w:trPr>
          <w:trHeight w:val="230"/>
        </w:trPr>
        <w:tc>
          <w:tcPr>
            <w:tcW w:w="6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725.3</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1,414.1</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1,282.0</w:t>
            </w:r>
          </w:p>
        </w:tc>
      </w:tr>
      <w:tr>
        <w:trPr>
          <w:trHeight w:val="229"/>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6.4</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30"/>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727.3</w:t>
            </w:r>
          </w:p>
        </w:tc>
        <w:tc>
          <w:tcPr>
            <w:tcW w:w="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1,420.5</w:t>
            </w:r>
          </w:p>
        </w:tc>
        <w:tc>
          <w:tcPr>
            <w:tcW w:w="5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300" w:type="dxa"/>
            <w:vAlign w:val="bottom"/>
            <w:tcBorders>
              <w:top w:val="single" w:sz="8" w:color="auto"/>
            </w:tcBorders>
            <w:gridSpan w:val="3"/>
          </w:tcPr>
          <w:p>
            <w:pPr>
              <w:jc w:val="right"/>
              <w:ind w:right="371"/>
              <w:spacing w:after="0" w:line="18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Year to Date</w:t>
            </w:r>
          </w:p>
        </w:tc>
        <w:tc>
          <w:tcPr>
            <w:tcW w:w="820" w:type="dxa"/>
            <w:vAlign w:val="bottom"/>
            <w:tcBorders>
              <w:top w:val="single" w:sz="8" w:color="auto"/>
            </w:tcBorders>
          </w:tcPr>
          <w:p>
            <w:pPr>
              <w:spacing w:after="0"/>
              <w:rPr>
                <w:sz w:val="15"/>
                <w:szCs w:val="15"/>
                <w:color w:val="auto"/>
              </w:rPr>
            </w:pPr>
          </w:p>
        </w:tc>
      </w:tr>
      <w:tr>
        <w:trPr>
          <w:trHeight w:val="234"/>
        </w:trPr>
        <w:tc>
          <w:tcPr>
            <w:tcW w:w="6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Pr>
          <w:p>
            <w:pPr>
              <w:spacing w:after="0"/>
              <w:rPr>
                <w:sz w:val="20"/>
                <w:szCs w:val="20"/>
                <w:color w:val="auto"/>
              </w:rPr>
            </w:pPr>
          </w:p>
        </w:tc>
      </w:tr>
      <w:tr>
        <w:trPr>
          <w:trHeight w:val="238"/>
        </w:trPr>
        <w:tc>
          <w:tcPr>
            <w:tcW w:w="6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184.9</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340.9</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r>
      <w:tr>
        <w:trPr>
          <w:trHeight w:val="230"/>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185.0</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4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356.2</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w:t>
            </w:r>
          </w:p>
        </w:tc>
      </w:tr>
      <w:tr>
        <w:trPr>
          <w:trHeight w:val="229"/>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33.5</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64.7</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30"/>
        </w:trPr>
        <w:tc>
          <w:tcPr>
            <w:tcW w:w="6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retail</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5.5</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6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electric retail</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405.7</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767.3</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w:t>
            </w:r>
          </w:p>
        </w:tc>
      </w:tr>
      <w:tr>
        <w:trPr>
          <w:trHeight w:val="229"/>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28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25.5</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4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31.8</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3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Transmission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9.8</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6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436.1</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811.4</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w:t>
            </w:r>
          </w:p>
        </w:tc>
      </w:tr>
      <w:tr>
        <w:trPr>
          <w:trHeight w:val="229"/>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37.9</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83.5</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30"/>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474.0</w:t>
            </w:r>
          </w:p>
        </w:tc>
        <w:tc>
          <w:tcPr>
            <w:tcW w:w="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894.9</w:t>
            </w:r>
          </w:p>
        </w:tc>
        <w:tc>
          <w:tcPr>
            <w:tcW w:w="5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891.7</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RECEIVABLES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Evergy Companies' receivables are detailed in the following table.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280" w:type="dxa"/>
            <w:vAlign w:val="bottom"/>
            <w:tcBorders>
              <w:top w:val="single" w:sz="8" w:color="auto"/>
            </w:tcBorders>
          </w:tcPr>
          <w:p>
            <w:pPr>
              <w:spacing w:after="0"/>
              <w:rPr>
                <w:sz w:val="21"/>
                <w:szCs w:val="21"/>
                <w:color w:val="auto"/>
              </w:rPr>
            </w:pPr>
          </w:p>
        </w:tc>
        <w:tc>
          <w:tcPr>
            <w:tcW w:w="35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28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360" w:type="dxa"/>
            <w:vAlign w:val="bottom"/>
          </w:tcPr>
          <w:p>
            <w:pPr>
              <w:spacing w:after="0"/>
              <w:rPr>
                <w:sz w:val="19"/>
                <w:szCs w:val="19"/>
                <w:color w:val="auto"/>
              </w:rPr>
            </w:pPr>
          </w:p>
        </w:tc>
      </w:tr>
      <w:tr>
        <w:trPr>
          <w:trHeight w:val="22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accounts receivable - billed</w:t>
            </w:r>
          </w:p>
        </w:tc>
        <w:tc>
          <w:tcPr>
            <w:tcW w:w="4620" w:type="dxa"/>
            <w:vAlign w:val="bottom"/>
            <w:gridSpan w:val="2"/>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7.4</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accounts receivable - unbilled</w:t>
            </w:r>
          </w:p>
        </w:tc>
        <w:tc>
          <w:tcPr>
            <w:tcW w:w="3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279.5</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30"/>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receivables</w:t>
            </w:r>
          </w:p>
        </w:tc>
        <w:tc>
          <w:tcPr>
            <w:tcW w:w="35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160.4</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r>
      <w:tr>
        <w:trPr>
          <w:trHeight w:val="230"/>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5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(18.0)</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3"/>
        </w:trPr>
        <w:tc>
          <w:tcPr>
            <w:tcW w:w="42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5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429.3</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3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accounts receivable - billed</w:t>
            </w:r>
          </w:p>
        </w:tc>
        <w:tc>
          <w:tcPr>
            <w:tcW w:w="4620" w:type="dxa"/>
            <w:vAlign w:val="bottom"/>
            <w:gridSpan w:val="2"/>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accounts receivable - unbilled</w:t>
            </w:r>
          </w:p>
        </w:tc>
        <w:tc>
          <w:tcPr>
            <w:tcW w:w="3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112.4</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30"/>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receivables</w:t>
            </w:r>
          </w:p>
        </w:tc>
        <w:tc>
          <w:tcPr>
            <w:tcW w:w="35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134.4</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r>
      <w:tr>
        <w:trPr>
          <w:trHeight w:val="230"/>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5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(8.8)</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3"/>
        </w:trPr>
        <w:tc>
          <w:tcPr>
            <w:tcW w:w="42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5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238.0</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3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accounts receivable - billed</w:t>
            </w:r>
          </w:p>
        </w:tc>
        <w:tc>
          <w:tcPr>
            <w:tcW w:w="4620" w:type="dxa"/>
            <w:vAlign w:val="bottom"/>
            <w:gridSpan w:val="2"/>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accounts receivable - unbilled</w:t>
            </w:r>
          </w:p>
        </w:tc>
        <w:tc>
          <w:tcPr>
            <w:tcW w:w="3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93.2</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30"/>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receivables</w:t>
            </w:r>
          </w:p>
        </w:tc>
        <w:tc>
          <w:tcPr>
            <w:tcW w:w="35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36.1</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29"/>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5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(6.3)</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42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5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123.0</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1067"/>
        </w:trPr>
        <w:tc>
          <w:tcPr>
            <w:tcW w:w="4280" w:type="dxa"/>
            <w:vAlign w:val="bottom"/>
          </w:tcPr>
          <w:p>
            <w:pPr>
              <w:spacing w:after="0"/>
              <w:rPr>
                <w:sz w:val="24"/>
                <w:szCs w:val="24"/>
                <w:color w:val="auto"/>
              </w:rPr>
            </w:pPr>
          </w:p>
        </w:tc>
        <w:tc>
          <w:tcPr>
            <w:tcW w:w="350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20"/>
          <w:szCs w:val="20"/>
          <w:color w:val="auto"/>
        </w:rPr>
        <w:t>The Evergy Companies' other receivables as of June 30, 2024 and December 31, 2023, consisted primarily of receivables from partners in jointly-owned electric utility plants, wholesale sales receivables and receivables related to alternative revenue programs. The Evergy Companies' other receivables also included receivables from contracts with customers as summarized in the following table.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740" w:type="dxa"/>
            <w:vAlign w:val="bottom"/>
            <w:tcBorders>
              <w:top w:val="single" w:sz="8" w:color="auto"/>
            </w:tcBorders>
          </w:tcPr>
          <w:p>
            <w:pPr>
              <w:spacing w:after="0"/>
              <w:rPr>
                <w:sz w:val="21"/>
                <w:szCs w:val="21"/>
                <w:color w:val="auto"/>
              </w:rPr>
            </w:pPr>
          </w:p>
        </w:tc>
        <w:tc>
          <w:tcPr>
            <w:tcW w:w="4220" w:type="dxa"/>
            <w:vAlign w:val="bottom"/>
            <w:tcBorders>
              <w:top w:val="single" w:sz="8" w:color="auto"/>
            </w:tcBorders>
          </w:tcPr>
          <w:p>
            <w:pPr>
              <w:jc w:val="center"/>
              <w:ind w:left="33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2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74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47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360" w:type="dxa"/>
            <w:vAlign w:val="bottom"/>
          </w:tcPr>
          <w:p>
            <w:pPr>
              <w:spacing w:after="0"/>
              <w:rPr>
                <w:sz w:val="17"/>
                <w:szCs w:val="17"/>
                <w:color w:val="auto"/>
              </w:rPr>
            </w:pPr>
          </w:p>
        </w:tc>
      </w:tr>
      <w:tr>
        <w:trPr>
          <w:trHeight w:val="23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w:t>
            </w:r>
          </w:p>
        </w:tc>
        <w:tc>
          <w:tcPr>
            <w:tcW w:w="422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85.1</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Kansas Central</w:t>
            </w:r>
          </w:p>
        </w:tc>
        <w:tc>
          <w:tcPr>
            <w:tcW w:w="4220" w:type="dxa"/>
            <w:vAlign w:val="bottom"/>
          </w:tcPr>
          <w:p>
            <w:pPr>
              <w:spacing w:after="0"/>
              <w:rPr>
                <w:sz w:val="19"/>
                <w:szCs w:val="19"/>
                <w:color w:val="auto"/>
              </w:rPr>
            </w:pP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76.4</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37"/>
        </w:trPr>
        <w:tc>
          <w:tcPr>
            <w:tcW w:w="4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Metro</w:t>
            </w:r>
          </w:p>
        </w:tc>
        <w:tc>
          <w:tcPr>
            <w:tcW w:w="42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7.4</w:t>
            </w: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change in the Evergy Companies' allowance for credit losses is summarized in the following table.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5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1160" w:type="dxa"/>
            <w:vAlign w:val="bottom"/>
          </w:tcPr>
          <w:p>
            <w:pPr>
              <w:spacing w:after="0"/>
              <w:rPr>
                <w:sz w:val="19"/>
                <w:szCs w:val="19"/>
                <w:color w:val="auto"/>
              </w:rPr>
            </w:pP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6"/>
                <w:szCs w:val="16"/>
                <w:color w:val="auto"/>
              </w:rPr>
              <w:t>(millions)</w:t>
            </w:r>
          </w:p>
        </w:tc>
        <w:tc>
          <w:tcPr>
            <w:tcW w:w="1300" w:type="dxa"/>
            <w:vAlign w:val="bottom"/>
          </w:tcPr>
          <w:p>
            <w:pPr>
              <w:spacing w:after="0"/>
              <w:rPr>
                <w:sz w:val="19"/>
                <w:szCs w:val="19"/>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Beginning balance January 1</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24.2</w:t>
            </w:r>
          </w:p>
        </w:tc>
        <w:tc>
          <w:tcPr>
            <w:tcW w:w="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 expense</w:t>
            </w:r>
          </w:p>
        </w:tc>
        <w:tc>
          <w:tcPr>
            <w:tcW w:w="1160" w:type="dxa"/>
            <w:vAlign w:val="bottom"/>
          </w:tcPr>
          <w:p>
            <w:pPr>
              <w:spacing w:after="0"/>
              <w:rPr>
                <w:sz w:val="19"/>
                <w:szCs w:val="19"/>
                <w:color w:val="auto"/>
              </w:rPr>
            </w:pPr>
          </w:p>
        </w:tc>
        <w:tc>
          <w:tcPr>
            <w:tcW w:w="6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(14.6)</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7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Recoveries of prior write-offs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6.4</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7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Ending balance June 30</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18.0</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Beginning balance January 1</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11.6</w:t>
            </w:r>
          </w:p>
        </w:tc>
        <w:tc>
          <w:tcPr>
            <w:tcW w:w="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 expense (income)</w:t>
            </w:r>
          </w:p>
        </w:tc>
        <w:tc>
          <w:tcPr>
            <w:tcW w:w="1160" w:type="dxa"/>
            <w:vAlign w:val="bottom"/>
          </w:tcPr>
          <w:p>
            <w:pPr>
              <w:spacing w:after="0"/>
              <w:rPr>
                <w:sz w:val="19"/>
                <w:szCs w:val="19"/>
                <w:color w:val="auto"/>
              </w:rPr>
            </w:pPr>
          </w:p>
        </w:tc>
        <w:tc>
          <w:tcPr>
            <w:tcW w:w="6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1.4</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7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Recoveries of prior write-offs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2.9</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7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Ending balance June 30</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8.8</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Beginning balance January 1</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7.9</w:t>
            </w:r>
          </w:p>
        </w:tc>
        <w:tc>
          <w:tcPr>
            <w:tcW w:w="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 expense</w:t>
            </w:r>
          </w:p>
        </w:tc>
        <w:tc>
          <w:tcPr>
            <w:tcW w:w="1160" w:type="dxa"/>
            <w:vAlign w:val="bottom"/>
          </w:tcPr>
          <w:p>
            <w:pPr>
              <w:spacing w:after="0"/>
              <w:rPr>
                <w:sz w:val="19"/>
                <w:szCs w:val="19"/>
                <w:color w:val="auto"/>
              </w:rPr>
            </w:pPr>
          </w:p>
        </w:tc>
        <w:tc>
          <w:tcPr>
            <w:tcW w:w="6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7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Recoveries of prior write-offs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2.4</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7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Ending balance June 30</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6.3</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 of Accounts Receivable</w:t>
      </w:r>
    </w:p>
    <w:p>
      <w:pPr>
        <w:spacing w:after="0" w:line="26"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9"/>
          <w:szCs w:val="19"/>
          <w:color w:val="auto"/>
        </w:rPr>
        <w:t>Evergy Kansas Central, Evergy Metro and Evergy Missouri West sell an undivided percentage ownership interest in their retail electric accounts receivable to independent outside investors. These sales are accounted for as secured borrowings with accounts receivable pledged as collateral and a corresponding short-term collateralized note payable recognized on the balance sheets. The Evergy Companies' accounts receivable pledged as collateral and the corresponding short-term collateralized note payable are summarized in the following table.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600" w:type="dxa"/>
            <w:vAlign w:val="bottom"/>
            <w:tcBorders>
              <w:top w:val="single" w:sz="8" w:color="auto"/>
            </w:tcBorders>
          </w:tcPr>
          <w:p>
            <w:pPr>
              <w:spacing w:after="0"/>
              <w:rPr>
                <w:sz w:val="21"/>
                <w:szCs w:val="21"/>
                <w:color w:val="auto"/>
              </w:rPr>
            </w:pPr>
          </w:p>
        </w:tc>
        <w:tc>
          <w:tcPr>
            <w:tcW w:w="4140" w:type="dxa"/>
            <w:vAlign w:val="bottom"/>
            <w:tcBorders>
              <w:top w:val="single" w:sz="8" w:color="auto"/>
            </w:tcBorders>
          </w:tcPr>
          <w:p>
            <w:pPr>
              <w:jc w:val="center"/>
              <w:ind w:left="3350"/>
              <w:spacing w:after="0"/>
              <w:rPr>
                <w:sz w:val="20"/>
                <w:szCs w:val="20"/>
                <w:color w:val="auto"/>
              </w:rPr>
            </w:pPr>
            <w:r>
              <w:rPr>
                <w:rFonts w:ascii="Times New Roman" w:cs="Times New Roman" w:eastAsia="Times New Roman" w:hAnsi="Times New Roman"/>
                <w:sz w:val="18"/>
                <w:szCs w:val="18"/>
                <w:b w:val="1"/>
                <w:bCs w:val="1"/>
                <w:color w:val="auto"/>
                <w:w w:val="97"/>
              </w:rPr>
              <w:t>June 30</w:t>
            </w:r>
          </w:p>
        </w:tc>
        <w:tc>
          <w:tcPr>
            <w:tcW w:w="6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60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460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460" w:type="dxa"/>
            <w:vAlign w:val="bottom"/>
          </w:tcPr>
          <w:p>
            <w:pPr>
              <w:spacing w:after="0"/>
              <w:rPr>
                <w:sz w:val="17"/>
                <w:szCs w:val="17"/>
                <w:color w:val="auto"/>
              </w:rPr>
            </w:pPr>
          </w:p>
        </w:tc>
      </w:tr>
      <w:tr>
        <w:trPr>
          <w:trHeight w:val="232"/>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w:t>
            </w:r>
          </w:p>
        </w:tc>
        <w:tc>
          <w:tcPr>
            <w:tcW w:w="414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329.0</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Kansas Central</w:t>
            </w:r>
          </w:p>
        </w:tc>
        <w:tc>
          <w:tcPr>
            <w:tcW w:w="4140" w:type="dxa"/>
            <w:vAlign w:val="bottom"/>
          </w:tcPr>
          <w:p>
            <w:pPr>
              <w:spacing w:after="0"/>
              <w:rPr>
                <w:sz w:val="19"/>
                <w:szCs w:val="19"/>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169.0</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r>
      <w:tr>
        <w:trPr>
          <w:trHeight w:val="236"/>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Metro</w:t>
            </w:r>
          </w:p>
        </w:tc>
        <w:tc>
          <w:tcPr>
            <w:tcW w:w="4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110.0</w:t>
            </w:r>
          </w:p>
        </w:tc>
        <w:tc>
          <w:tcPr>
            <w:tcW w:w="4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r>
    </w:tbl>
    <w:p>
      <w:pPr>
        <w:spacing w:after="0" w:line="274"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20"/>
          <w:szCs w:val="20"/>
          <w:color w:val="auto"/>
        </w:rPr>
        <w:t>In February 2024, Evergy Kansas Central, Evergy Metro and Evergy Missouri West amended the terms of their receivable sale facilities, including extending the expiration of each receivable sale facility from 2024 to 2025.</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Prior to the amendment to Evergy Kansas Central's facility, it allowed for $185.0 million in aggregate outstanding principal amount of borrowings from mid-November through mid-July and then $200.0 million from mid-July through mid-November. Prior to the amendment to Evergy Metro's facility, it allowed for $130.0 million in aggregate outstanding principal amount of borrowings at any time. Prior to the amendment to Evergy Missouri West's facility, it allowed for $50.0 million in aggregate outstanding principal amount of borrowings from mid-November through mid-July and then $65.0 million from mid-July through mid-November.</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Under the amended terms, effective in March 2024, Evergy Kansas Central's facility allows up to $185.0 million in aggregate outstanding principal amount to be borrowed at any time. To the extent Evergy Kansas Central has qualifying accounts receivable and subject to the bank's discretion, Evergy Kansas Central's facility allows for an additional $65.0 million in aggregate outstanding principal amount to be borrowed at any time. Evergy Metro's facility allows up to $130.0 million in aggregate outstanding principal amount to be borrowed at any time. To the extent Evergy Metro has qualifying accounts receivable and subject to the bank's discretion, Evergy Metro's facility allows for an additional $70.0 million in aggregate outstanding principal amount to be borrowed at any time. Evergy Missouri West's facility allows up to $50.0 million in aggregate outstanding principal amount to be borrowed at any time. To the extent Evergy Missouri West has qualifying accounts receivable and subject to the bank's discretion, Evergy Missouri West's facility allows for an additional $65.0 million in aggregate outstanding principal amount to be borrowed at any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RATE MATTERS AND REGULATION</w:t>
      </w:r>
    </w:p>
    <w:p>
      <w:pPr>
        <w:spacing w:after="0" w:line="121" w:lineRule="exact"/>
        <w:rPr>
          <w:sz w:val="20"/>
          <w:szCs w:val="20"/>
          <w:color w:val="auto"/>
        </w:rPr>
      </w:pPr>
    </w:p>
    <w:p>
      <w:pPr>
        <w:ind w:right="5040"/>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State Corporation Commission of the State of Kansas (KCC) Proceedings </w:t>
      </w:r>
      <w:r>
        <w:rPr>
          <w:rFonts w:ascii="Times New Roman" w:cs="Times New Roman" w:eastAsia="Times New Roman" w:hAnsi="Times New Roman"/>
          <w:sz w:val="19"/>
          <w:szCs w:val="19"/>
          <w:b w:val="1"/>
          <w:bCs w:val="1"/>
          <w:i w:val="1"/>
          <w:iCs w:val="1"/>
          <w:color w:val="auto"/>
        </w:rPr>
        <w:t>Evergy Kansas Central 2024 Transmission Delivery Charge (TDC)</w:t>
      </w:r>
    </w:p>
    <w:p>
      <w:pPr>
        <w:spacing w:after="0" w:line="1" w:lineRule="exact"/>
        <w:rPr>
          <w:sz w:val="20"/>
          <w:szCs w:val="20"/>
          <w:color w:val="auto"/>
        </w:rPr>
      </w:pPr>
    </w:p>
    <w:p>
      <w:pPr>
        <w:jc w:val="both"/>
        <w:ind w:right="220"/>
        <w:spacing w:after="0" w:line="249" w:lineRule="auto"/>
        <w:rPr>
          <w:sz w:val="20"/>
          <w:szCs w:val="20"/>
          <w:color w:val="auto"/>
        </w:rPr>
      </w:pPr>
      <w:r>
        <w:rPr>
          <w:rFonts w:ascii="Times New Roman" w:cs="Times New Roman" w:eastAsia="Times New Roman" w:hAnsi="Times New Roman"/>
          <w:sz w:val="20"/>
          <w:szCs w:val="20"/>
          <w:color w:val="auto"/>
        </w:rPr>
        <w:t>In April 2024, the KCC issued an order adjusting Evergy Kansas Central's retail prices to include updated transmission costs as reflected in the Federal Energy Regulatory Commission (FERC) transmission formula rate (TFR). The new prices were effective in May 2024 and are expected to increase Evergy Kansas Central's annual retail revenues by $80.1 million when compared to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Metro 2024 TDC</w:t>
      </w:r>
    </w:p>
    <w:p>
      <w:pPr>
        <w:spacing w:after="0" w:line="2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auto"/>
        </w:rPr>
        <w:t>In April 2024, the KCC issued an order adjusting Evergy Metro's retail prices to include updated transmission costs as reflected in the FERC TFR. The new prices were effective in May 2024 and are expected to increase Evergy Metro's annual retail revenues by $7.1 million when compared to 2023.</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MPSC Proceedings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Missouri West's 2024 Rate Case Proceeding</w:t>
      </w:r>
    </w:p>
    <w:p>
      <w:pPr>
        <w:spacing w:after="0" w:line="6"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0"/>
          <w:szCs w:val="20"/>
          <w:color w:val="auto"/>
        </w:rPr>
        <w:t>In February 2024, Evergy Missouri West filed an application with the MPSC to request an increase to its retail revenues of approximately $104 million. Evergy Missouri West's request reflected a return on equity of 10.5% (with a capital structure composed of 52% equity) and increases related to the recovery of infrastructure investments made to improve reliability and enhance customer service and the inclusion of certain costs related to Dogwood and Crossroads Energy Center (Crossroads), two natural gas plants. An evidentiary hearing in the case is scheduled to occur beginning in late September 2024 and new rates are expected to be effective in January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Missouri West February 2021 Winter Weather Event Securitization</w:t>
      </w:r>
    </w:p>
    <w:p>
      <w:pPr>
        <w:spacing w:after="0" w:line="32" w:lineRule="exact"/>
        <w:rPr>
          <w:sz w:val="20"/>
          <w:szCs w:val="20"/>
          <w:color w:val="auto"/>
        </w:rPr>
      </w:pPr>
    </w:p>
    <w:p>
      <w:pPr>
        <w:ind w:right="160"/>
        <w:spacing w:after="0" w:line="293" w:lineRule="auto"/>
        <w:rPr>
          <w:sz w:val="20"/>
          <w:szCs w:val="20"/>
          <w:color w:val="auto"/>
        </w:rPr>
      </w:pPr>
      <w:r>
        <w:rPr>
          <w:rFonts w:ascii="Times New Roman" w:cs="Times New Roman" w:eastAsia="Times New Roman" w:hAnsi="Times New Roman"/>
          <w:sz w:val="19"/>
          <w:szCs w:val="19"/>
          <w:color w:val="auto"/>
        </w:rPr>
        <w:t>In February 2021, much of the central and southern United States, including the service territories of the Evergy Companies, experienced a significant winter weather event that resulted in extremely cold temperatures over a multi-day period (February 2021 winter weather event).</w:t>
      </w:r>
    </w:p>
    <w:p>
      <w:pPr>
        <w:spacing w:after="0" w:line="14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In November 2022, the MPSC issued a revised financing order authorizing Evergy Missouri West to issue securitized bonds to recover its extraordinary fuel and purchased power costs incurred as part of the February 2021 winter weather event. As part of the order, the MPSC found that Evergy Missouri West's costs were prudently incurred, that it should only be allowed to recover 95% of its extraordinary fuel and purchased power costs consistent with the 5% sharing provision of its fuel recovery mechanism, that it should be allowed to recover carrying costs incurred since February 2021 at Evergy Missouri West's long-term debt rate of 5.06% and approved a 15 year repayment period for the bonds with a 17 year legal maturity. Evergy Missouri West continued to record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carrying charges on its February 2021 winter weather event regulatory asset until it issued the securitized bonds in February 2024. See Note 9 for additional information regarding the issuance of the securitized bonds.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FERC Proceedings</w:t>
      </w:r>
    </w:p>
    <w:p>
      <w:pPr>
        <w:spacing w:after="0" w:line="32"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20"/>
          <w:szCs w:val="20"/>
          <w:color w:val="auto"/>
        </w:rPr>
        <w:t>In October of each year, Evergy Kansas Central and Evergy Metro post an updated TFR that includes projected transmission capital expenditures and operating costs for the following year. This rate is the most significant component in the retail rate calculation for Evergy Kansas Central's and Evergy Metro's annual request with the KCC to adjust retail prices to include updated transmission costs through the TDC.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Kansas Central TFR Annual Update</w:t>
      </w:r>
    </w:p>
    <w:p>
      <w:pPr>
        <w:spacing w:after="0" w:line="32" w:lineRule="exact"/>
        <w:rPr>
          <w:sz w:val="20"/>
          <w:szCs w:val="20"/>
          <w:color w:val="auto"/>
        </w:rPr>
      </w:pPr>
    </w:p>
    <w:p>
      <w:pPr>
        <w:ind w:right="1100"/>
        <w:spacing w:after="0" w:line="253" w:lineRule="auto"/>
        <w:rPr>
          <w:sz w:val="20"/>
          <w:szCs w:val="20"/>
          <w:color w:val="auto"/>
        </w:rPr>
      </w:pPr>
      <w:r>
        <w:rPr>
          <w:rFonts w:ascii="Times New Roman" w:cs="Times New Roman" w:eastAsia="Times New Roman" w:hAnsi="Times New Roman"/>
          <w:sz w:val="20"/>
          <w:szCs w:val="20"/>
          <w:color w:val="auto"/>
        </w:rPr>
        <w:t>In the most recent two years, the updated TFR was expected to adjust Evergy Kansas Central's annual transmission revenues by approximately:</w:t>
      </w:r>
    </w:p>
    <w:p>
      <w:pPr>
        <w:spacing w:after="0" w:line="80"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$115.8 million increase effective in January 2024; and</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$21.7 million decrease effective in March 2023.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"Evergy Kansas Central TFR Formal Challenge" within this Note 4 for additional information regarding the March 2023 adjustment.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Kansas Central TFR Formal Challenge</w:t>
      </w:r>
    </w:p>
    <w:p>
      <w:pPr>
        <w:spacing w:after="0" w:line="2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In March 2022, certain Evergy Kansas Central TFR customers submitted a formal challenge regarding the implementation of Evergy Kansas Central's TFR, specifically with regard to how Evergy Kansas Central's capital structure was calculated as part of determining the Annual Transmission Revenue Requirement (ATRR). As part of this challenge, the customers requested that Evergy Kansas Central make refunds for over-collections in rate years 2018 through 2022 as a result of the calculation of its capital structure included in the TFR. Evergy Kansas Central disputed that any refunds for 2018 through 2022 were required because Evergy Kansas Central was following its approved TFR formula.</w:t>
      </w:r>
    </w:p>
    <w:p>
      <w:pPr>
        <w:spacing w:after="0" w:line="19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In December 2022, FERC issued an order addressing the challenge to the 2020 through 2022 over-collections which were refunded to customers as part of Evergy Kansas Central's 2023 TFR effective in March 2023. In February 2023, certain Evergy Kansas Central TFR customers submitted a formal complaint with FERC requesting the refund of over-collections related to the 2018 and 2019 rate years. As of June 30, 2024 and December 31, 2023, Evergy and Evergy Kansas Central had recorded a $7.1 million regulatory liability related to the 2018 and 2019 rate year refund request. A decision from FERC regarding this complaint is expected in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Metro TFR Annual Update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most recent two years, the updated TFR was expected to adjust Evergy Metro's annual transmission revenues by approximately:</w:t>
      </w:r>
    </w:p>
    <w:p>
      <w:pPr>
        <w:spacing w:after="0" w:line="99" w:lineRule="exact"/>
        <w:rPr>
          <w:sz w:val="20"/>
          <w:szCs w:val="20"/>
          <w:color w:val="auto"/>
        </w:rPr>
      </w:pPr>
    </w:p>
    <w:p>
      <w:pPr>
        <w:ind w:left="640" w:hanging="308"/>
        <w:spacing w:after="0"/>
        <w:tabs>
          <w:tab w:leader="none" w:pos="64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$23.7 million increase effective in January 2024; and</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$8.6 million increase effective in January 2023.</w:t>
      </w:r>
    </w:p>
    <w:p>
      <w:pPr>
        <w:spacing w:after="0" w:line="211" w:lineRule="exact"/>
        <w:rPr>
          <w:rFonts w:ascii="Times New Roman" w:cs="Times New Roman" w:eastAsia="Times New Roman" w:hAnsi="Times New Roman"/>
          <w:sz w:val="20"/>
          <w:szCs w:val="20"/>
          <w:color w:val="auto"/>
        </w:rPr>
      </w:pPr>
    </w:p>
    <w:p>
      <w:pPr>
        <w:ind w:left="200" w:hanging="192"/>
        <w:spacing w:after="0"/>
        <w:tabs>
          <w:tab w:leader="none" w:pos="20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GOODWILL</w:t>
      </w:r>
    </w:p>
    <w:p>
      <w:pPr>
        <w:spacing w:after="0" w:line="1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9"/>
          <w:szCs w:val="19"/>
          <w:color w:val="auto"/>
        </w:rPr>
        <w:t>GAAP requires goodwill to be tested for impairment annually and when an event occurs indicating the possibility that an impairment exists. Evergy's impairment test for the $2,336.6 million of goodwill that was recorded as a result of the Great Plains Energy, Inc. (Great Plains Energy) and Evergy Kansas Central merger was conducted as of May 1, 2024. The goodwill impairment test consists of comparing the fair value of a reporting unit to its carrying amount, including goodwill, to identify potential impairment. In the event that the carrying amount exceeds the fair value of the reporting unit, an impairment loss is recognized for the difference between the carrying amount of the reporting unit and its fair value. Evergy's consolidated operations are considered one reporting unit for assessment of impairment, as management assesses financial performance and allocates resources on a consolidated basis. The determination of fair value of the reporting unit consisted of two valuation techniques: an income approach consisting of a discounted cash flow analysis and a market approach consisting of a determination of reporting unit invested capital using a market multiple derived from the historical earnings before interest, income taxes,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20"/>
          <w:szCs w:val="20"/>
          <w:color w:val="auto"/>
        </w:rPr>
        <w:t>depreciation and amortization and market prices of the stock of peer companies. The results of the two techniques were evaluated and weighted to determine a point within the range that management considered representative of fair value for the reporting unit. The fair value of the reporting unit exceeded the carrying amount, including goodwill. As a result, there was no impairment of goodwill.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ASSET RETIREMENT OBLIGATIONS</w:t>
      </w:r>
    </w:p>
    <w:p>
      <w:pPr>
        <w:spacing w:after="0" w:line="112"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20"/>
          <w:szCs w:val="20"/>
          <w:color w:val="auto"/>
        </w:rPr>
        <w:t>Asset retirement obligations (AROs) associated with tangible long-lived assets are legal obligations that exist under enacted laws, statutes and written or oral contracts, including obligations arising under the doctrine of promissory estoppel. These liabilities are recognized at estimated fair value as incurred with a corresponding amount capitalized as part of the cost of the related long-lived assets and depreciated over their useful lives. Accretion of the liabilities due to the passage of time is recorded to a regulatory asset and/or liability. Changes in the estimated fair values of the liabilities are recognized when known.</w:t>
      </w:r>
    </w:p>
    <w:p>
      <w:pPr>
        <w:spacing w:after="0" w:line="173"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20"/>
          <w:szCs w:val="20"/>
          <w:color w:val="auto"/>
        </w:rPr>
        <w:t>Evergy Kansas Central, Evergy Metro and Evergy Missouri West have AROs related to asbestos abatement and the closure and post-closure care of ponds and landfills containing coal combustion residuals (CCRs). In addition, Evergy Kansas Central and Evergy Metro have AROs related to decommissioning Wolf Creek Generating Station (Wolf Creek) and the retirement of wind generation facilities.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change in the Evergy Companies' AROs for the periods ending June 30, 2024 and December 31,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9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260" w:type="dxa"/>
            <w:vAlign w:val="bottom"/>
            <w:tcBorders>
              <w:top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400" w:type="dxa"/>
            <w:vAlign w:val="bottom"/>
            <w:tcBorders>
              <w:top w:val="single" w:sz="8" w:color="auto"/>
            </w:tcBorders>
          </w:tcPr>
          <w:p>
            <w:pPr>
              <w:spacing w:after="0"/>
              <w:rPr>
                <w:sz w:val="21"/>
                <w:szCs w:val="21"/>
                <w:color w:val="auto"/>
              </w:rPr>
            </w:pPr>
          </w:p>
        </w:tc>
        <w:tc>
          <w:tcPr>
            <w:tcW w:w="2240" w:type="dxa"/>
            <w:vAlign w:val="bottom"/>
            <w:tcBorders>
              <w:top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Evergy Metro</w:t>
            </w:r>
          </w:p>
        </w:tc>
      </w:tr>
      <w:tr>
        <w:trPr>
          <w:trHeight w:val="238"/>
        </w:trPr>
        <w:tc>
          <w:tcPr>
            <w:tcW w:w="35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January 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1,203.1</w:t>
            </w: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1,153.2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599.3</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565.1</w:t>
            </w:r>
          </w:p>
        </w:tc>
        <w:tc>
          <w:tcPr>
            <w:tcW w:w="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460.4</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444.2</w:t>
            </w: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72.8</w:t>
            </w:r>
          </w:p>
        </w:tc>
        <w:tc>
          <w:tcPr>
            <w:tcW w:w="400" w:type="dxa"/>
            <w:vAlign w:val="bottom"/>
          </w:tcPr>
          <w:p>
            <w:pPr>
              <w:spacing w:after="0"/>
              <w:rPr>
                <w:sz w:val="19"/>
                <w:szCs w:val="19"/>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9.7</w:t>
            </w:r>
          </w:p>
        </w:tc>
        <w:tc>
          <w:tcPr>
            <w:tcW w:w="360" w:type="dxa"/>
            <w:vAlign w:val="bottom"/>
          </w:tcPr>
          <w:p>
            <w:pPr>
              <w:spacing w:after="0"/>
              <w:rPr>
                <w:sz w:val="19"/>
                <w:szCs w:val="19"/>
                <w:color w:val="auto"/>
              </w:rPr>
            </w:pPr>
          </w:p>
        </w:tc>
        <w:tc>
          <w:tcPr>
            <w:tcW w:w="9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44.8</w:t>
            </w:r>
          </w:p>
        </w:tc>
        <w:tc>
          <w:tcPr>
            <w:tcW w:w="380" w:type="dxa"/>
            <w:vAlign w:val="bottom"/>
          </w:tcPr>
          <w:p>
            <w:pPr>
              <w:spacing w:after="0"/>
              <w:rPr>
                <w:sz w:val="19"/>
                <w:szCs w:val="19"/>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9.7</w:t>
            </w:r>
          </w:p>
        </w:tc>
        <w:tc>
          <w:tcPr>
            <w:tcW w:w="400" w:type="dxa"/>
            <w:vAlign w:val="bottom"/>
          </w:tcPr>
          <w:p>
            <w:pPr>
              <w:spacing w:after="0"/>
              <w:rPr>
                <w:sz w:val="19"/>
                <w:szCs w:val="19"/>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24.1</w:t>
            </w:r>
          </w:p>
        </w:tc>
        <w:tc>
          <w:tcPr>
            <w:tcW w:w="380" w:type="dxa"/>
            <w:vAlign w:val="bottom"/>
          </w:tcPr>
          <w:p>
            <w:pPr>
              <w:spacing w:after="0"/>
              <w:rPr>
                <w:sz w:val="19"/>
                <w:szCs w:val="19"/>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Revision in timing and/or estimates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200" w:type="dxa"/>
            <w:vAlign w:val="bottom"/>
          </w:tcPr>
          <w:p>
            <w:pPr>
              <w:spacing w:after="0"/>
              <w:rPr>
                <w:sz w:val="19"/>
                <w:szCs w:val="19"/>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w:t>
            </w:r>
          </w:p>
        </w:tc>
        <w:tc>
          <w:tcPr>
            <w:tcW w:w="40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(21.8)</w:t>
            </w:r>
          </w:p>
        </w:tc>
        <w:tc>
          <w:tcPr>
            <w:tcW w:w="36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(4.5)</w:t>
            </w:r>
          </w:p>
        </w:tc>
        <w:tc>
          <w:tcPr>
            <w:tcW w:w="38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(9.8)</w:t>
            </w:r>
          </w:p>
        </w:tc>
        <w:tc>
          <w:tcPr>
            <w:tcW w:w="40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28.4</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58.8</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16.4</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32.7</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10.3</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23.2</w:t>
            </w:r>
          </w:p>
        </w:tc>
      </w:tr>
      <w:tr>
        <w:trPr>
          <w:trHeight w:val="22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1,297.3</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1,203.1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656.0</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599.3</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492.5</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460.4</w:t>
            </w:r>
          </w:p>
        </w:tc>
      </w:tr>
      <w:tr>
        <w:trPr>
          <w:trHeight w:val="230"/>
        </w:trPr>
        <w:tc>
          <w:tcPr>
            <w:tcW w:w="3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(44.9)</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(40.3)</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(25.9)</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(22.2)</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(16.6)</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w:t>
            </w:r>
          </w:p>
        </w:tc>
      </w:tr>
      <w:tr>
        <w:trPr>
          <w:trHeight w:val="169"/>
        </w:trPr>
        <w:tc>
          <w:tcPr>
            <w:tcW w:w="3540" w:type="dxa"/>
            <w:vAlign w:val="bottom"/>
          </w:tcPr>
          <w:p>
            <w:pPr>
              <w:ind w:left="140"/>
              <w:spacing w:after="0" w:line="169" w:lineRule="exact"/>
              <w:rPr>
                <w:sz w:val="20"/>
                <w:szCs w:val="20"/>
                <w:color w:val="auto"/>
              </w:rPr>
            </w:pPr>
            <w:r>
              <w:rPr>
                <w:rFonts w:ascii="Times New Roman" w:cs="Times New Roman" w:eastAsia="Times New Roman" w:hAnsi="Times New Roman"/>
                <w:sz w:val="18"/>
                <w:szCs w:val="18"/>
                <w:color w:val="auto"/>
              </w:rPr>
              <w:t>Total noncurrent asset</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50"/>
        </w:trPr>
        <w:tc>
          <w:tcPr>
            <w:tcW w:w="35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retirement obligation</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1,252.4</w:t>
            </w:r>
          </w:p>
        </w:tc>
        <w:tc>
          <w:tcPr>
            <w:tcW w:w="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1,162.8</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630.1</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577.1</w:t>
            </w:r>
          </w:p>
        </w:tc>
        <w:tc>
          <w:tcPr>
            <w:tcW w:w="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475.9</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444.4</w:t>
            </w:r>
          </w:p>
        </w:tc>
      </w:tr>
    </w:tbl>
    <w:p>
      <w:pPr>
        <w:spacing w:after="0" w:line="27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color w:val="auto"/>
        </w:rPr>
        <w:t>In the second quarter of 2024, Evergy, Evergy Kansas Central and Evergy Metro recorded $72.8 million, $44.8 million and $24.1 million of ARO liabilities, respectively, related to the new Environmental Protection Agency (EPA) CCR regulation focused on legacy surface impoundments and historic placements of CCR. This regulation expands applicability of the 2015 CCR regulation to inactive landfills and beneficial use sites not previously regulated. Evergy recorded an equal and offsetting regulatory asset for each ARO liability. See Note 12 for additional information regarding the regulation of CCRs.</w:t>
      </w:r>
    </w:p>
    <w:p>
      <w:pPr>
        <w:spacing w:after="0" w:line="17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In the second quarter of 2023, Evergy and Evergy Kansas Central became contractually obligated to retire the wind facilities and remove the foundations at Persimmon Creek Wind Farm 1, LLC (Persimmon Creek) as part of the acquisition, resulting in a $9.7 million increase to their ARO liabilities.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PENSION PLANS AND POST-RETIREMENT BENEFITS</w:t>
      </w:r>
    </w:p>
    <w:p>
      <w:pPr>
        <w:spacing w:after="0" w:line="125" w:lineRule="exact"/>
        <w:rPr>
          <w:sz w:val="20"/>
          <w:szCs w:val="20"/>
          <w:color w:val="auto"/>
        </w:rPr>
      </w:pPr>
    </w:p>
    <w:p>
      <w:pPr>
        <w:ind w:right="400"/>
        <w:spacing w:after="0" w:line="254" w:lineRule="auto"/>
        <w:rPr>
          <w:sz w:val="20"/>
          <w:szCs w:val="20"/>
          <w:color w:val="auto"/>
        </w:rPr>
      </w:pPr>
      <w:r>
        <w:rPr>
          <w:rFonts w:ascii="Times New Roman" w:cs="Times New Roman" w:eastAsia="Times New Roman" w:hAnsi="Times New Roman"/>
          <w:sz w:val="20"/>
          <w:szCs w:val="20"/>
          <w:color w:val="auto"/>
        </w:rPr>
        <w:t>Evergy and certain of its subsidiaries maintain, and Evergy Kansas Central and Evergy Metro participate in, qualified non-contributory defined benefit pension plans covering the majority of Evergy Kansas Central's and Evergy Metro's employees as well as certain non-qualified plans covering certain active and retired officers. Evergy is also responsible for its indirect 94% ownership share of Wolf Creek defined benefit plans, consisting of Evergy Kansas South's and Evergy Metro's respective 47% ownership shares.</w:t>
      </w:r>
    </w:p>
    <w:p>
      <w:pPr>
        <w:spacing w:after="0" w:line="18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9"/>
          <w:szCs w:val="19"/>
          <w:color w:val="auto"/>
        </w:rPr>
        <w:t>For the majority of employees, pension benefits under these plans reflect the employees' compensation, years of service and age at retirement. However, for the plan covering Evergy Kansas Central's employees, the benefits for non-union employees hired between 2002 and the second quarter of 2018 and union employees hired beginning in 2012 are derived from a cash balance account formula. The plan was closed to future non-union employees in 2018. For the plans covering Evergy Metro's employees, the benefits for union employees hired beginning in 2014 are derived from a cash balance account formula and the plans were closed to future non-union employees in 2014.</w:t>
      </w:r>
    </w:p>
    <w:p>
      <w:pPr>
        <w:spacing w:after="0" w:line="175"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20"/>
          <w:szCs w:val="20"/>
          <w:color w:val="auto"/>
        </w:rPr>
        <w:t>Evergy and its subsidiaries also provide certain post-retirement health care and life insurance benefits for substantially all retired employees of Evergy Kansas Central and Evergy Metro and their respective shares of Wolf Creek's post-retirement benefit plans.</w:t>
      </w:r>
    </w:p>
    <w:p>
      <w:pPr>
        <w:spacing w:after="0" w:line="14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auto"/>
        </w:rPr>
        <w:t>The Evergy Companies record pension and post-retirement expense in accordance with rate orders from the KCC and MPSC that allow the difference between pension and post-retirement costs under GAAP and costs for ratemaking to be recognized as a regulatory asset or liability. This difference between financial and regulatory accounting methods is due to timing and will be eliminated over the life of the plans.</w:t>
      </w:r>
    </w:p>
    <w:p>
      <w:pPr>
        <w:spacing w:after="0" w:line="186"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color w:val="auto"/>
        </w:rPr>
        <w:t>For the three months ended and year to date June 30, 2024, Evergy, Evergy Kansas Central and Evergy Metro recorded no pension settlement charges. For the three months ended June 30, 2023, Evergy, Evergy Kansas Central and Evergy Metro recorded pension settlement (gains) losses of ($2.0) million, $0.2 million and ($2.2) million, respectively. Year to date June 30, 2023, Evergy, Evergy Kansas Central and Evergy Metro recorded pension settlement (gains) losses of ($17.9) million, $0.6 million and ($18.5) million, respectively. These settlement charges were the result of accelerated distributions as a result of employee retirements for certain plan participants. Evergy, Evergy Kansas Central and Evergy Metro deferred substantially all of the charges to regulatory assets or regulatory liabilities and expect to recover these amounts over future periods pursuant to regulatory agreements.</w:t>
      </w:r>
    </w:p>
    <w:p>
      <w:pPr>
        <w:spacing w:after="0" w:line="193"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The following tables provide the components of net periodic benefit costs prior to the effects of capitalization and sharing with joint owners of power plants.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9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Pension Benefits</w:t>
            </w:r>
          </w:p>
        </w:tc>
        <w:tc>
          <w:tcPr>
            <w:tcW w:w="2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2700" w:type="dxa"/>
            <w:vAlign w:val="bottom"/>
            <w:tcBorders>
              <w:top w:val="single" w:sz="8" w:color="auto"/>
            </w:tcBorders>
            <w:gridSpan w:val="4"/>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Post-Retirement Benefits</w:t>
            </w:r>
          </w:p>
        </w:tc>
        <w:tc>
          <w:tcPr>
            <w:tcW w:w="6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3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center"/>
              <w:ind w:right="210"/>
              <w:spacing w:after="0" w:line="184" w:lineRule="exact"/>
              <w:rPr>
                <w:sz w:val="20"/>
                <w:szCs w:val="20"/>
                <w:color w:val="auto"/>
              </w:rPr>
            </w:pPr>
            <w:r>
              <w:rPr>
                <w:rFonts w:ascii="Times New Roman" w:cs="Times New Roman" w:eastAsia="Times New Roman" w:hAnsi="Times New Roman"/>
                <w:sz w:val="18"/>
                <w:szCs w:val="18"/>
                <w:b w:val="1"/>
                <w:bCs w:val="1"/>
                <w:color w:val="auto"/>
              </w:rPr>
              <w:t>Evergy</w:t>
            </w:r>
          </w:p>
        </w:tc>
        <w:tc>
          <w:tcPr>
            <w:tcW w:w="220" w:type="dxa"/>
            <w:vAlign w:val="bottom"/>
          </w:tcPr>
          <w:p>
            <w:pPr>
              <w:spacing w:after="0"/>
              <w:rPr>
                <w:sz w:val="16"/>
                <w:szCs w:val="16"/>
                <w:color w:val="auto"/>
              </w:rPr>
            </w:pPr>
          </w:p>
        </w:tc>
        <w:tc>
          <w:tcPr>
            <w:tcW w:w="980" w:type="dxa"/>
            <w:vAlign w:val="bottom"/>
            <w:vMerge w:val="restart"/>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center"/>
              <w:ind w:right="150"/>
              <w:spacing w:after="0" w:line="184" w:lineRule="exact"/>
              <w:rPr>
                <w:sz w:val="20"/>
                <w:szCs w:val="20"/>
                <w:color w:val="auto"/>
              </w:rPr>
            </w:pPr>
            <w:r>
              <w:rPr>
                <w:rFonts w:ascii="Times New Roman" w:cs="Times New Roman" w:eastAsia="Times New Roman" w:hAnsi="Times New Roman"/>
                <w:sz w:val="18"/>
                <w:szCs w:val="18"/>
                <w:b w:val="1"/>
                <w:bCs w:val="1"/>
                <w:color w:val="auto"/>
                <w:w w:val="98"/>
              </w:rPr>
              <w:t>Evergy</w:t>
            </w: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180" w:type="dxa"/>
            <w:vAlign w:val="bottom"/>
          </w:tcPr>
          <w:p>
            <w:pPr>
              <w:spacing w:after="0"/>
              <w:rPr>
                <w:sz w:val="15"/>
                <w:szCs w:val="15"/>
                <w:color w:val="auto"/>
              </w:rPr>
            </w:pPr>
          </w:p>
        </w:tc>
        <w:tc>
          <w:tcPr>
            <w:tcW w:w="9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00" w:type="dxa"/>
            <w:vAlign w:val="bottom"/>
          </w:tcPr>
          <w:p>
            <w:pPr>
              <w:spacing w:after="0"/>
              <w:rPr>
                <w:sz w:val="15"/>
                <w:szCs w:val="15"/>
                <w:color w:val="auto"/>
              </w:rPr>
            </w:pPr>
          </w:p>
        </w:tc>
        <w:tc>
          <w:tcPr>
            <w:tcW w:w="1020" w:type="dxa"/>
            <w:vAlign w:val="bottom"/>
          </w:tcPr>
          <w:p>
            <w:pPr>
              <w:jc w:val="center"/>
              <w:ind w:right="2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Kansas</w:t>
            </w: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8"/>
              </w:rPr>
              <w:t>Evergy</w:t>
            </w:r>
          </w:p>
        </w:tc>
        <w:tc>
          <w:tcPr>
            <w:tcW w:w="240" w:type="dxa"/>
            <w:vAlign w:val="bottom"/>
          </w:tcPr>
          <w:p>
            <w:pPr>
              <w:spacing w:after="0"/>
              <w:rPr>
                <w:sz w:val="15"/>
                <w:szCs w:val="15"/>
                <w:color w:val="auto"/>
              </w:rPr>
            </w:pPr>
          </w:p>
        </w:tc>
        <w:tc>
          <w:tcPr>
            <w:tcW w:w="98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Kansas</w:t>
            </w: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w w:val="98"/>
              </w:rPr>
              <w:t>Evergy Metro</w:t>
            </w:r>
          </w:p>
        </w:tc>
        <w:tc>
          <w:tcPr>
            <w:tcW w:w="0" w:type="dxa"/>
            <w:vAlign w:val="bottom"/>
          </w:tcPr>
          <w:p>
            <w:pPr>
              <w:spacing w:after="0"/>
              <w:rPr>
                <w:sz w:val="1"/>
                <w:szCs w:val="1"/>
                <w:color w:val="auto"/>
              </w:rPr>
            </w:pPr>
          </w:p>
        </w:tc>
      </w:tr>
      <w:tr>
        <w:trPr>
          <w:trHeight w:val="243"/>
        </w:trPr>
        <w:tc>
          <w:tcPr>
            <w:tcW w:w="398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Central</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Metro</w:t>
            </w: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Central</w:t>
            </w:r>
          </w:p>
        </w:tc>
        <w:tc>
          <w:tcPr>
            <w:tcW w:w="118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6.7</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7"/>
              </w:rPr>
              <w:t>0.2</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w:t>
            </w:r>
          </w:p>
        </w:tc>
        <w:tc>
          <w:tcPr>
            <w:tcW w:w="30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10.8</w:t>
            </w:r>
          </w:p>
        </w:tc>
        <w:tc>
          <w:tcPr>
            <w:tcW w:w="3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580" w:type="dxa"/>
            <w:vAlign w:val="bottom"/>
          </w:tcPr>
          <w:p>
            <w:pPr>
              <w:spacing w:after="0"/>
              <w:rPr>
                <w:sz w:val="19"/>
                <w:szCs w:val="19"/>
                <w:color w:val="auto"/>
              </w:rPr>
            </w:pPr>
          </w:p>
        </w:tc>
        <w:tc>
          <w:tcPr>
            <w:tcW w:w="6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7"/>
              </w:rPr>
              <w:t>1.3</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(11.0)</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1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net actuarial (gain) loss</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155"/>
        </w:trPr>
        <w:tc>
          <w:tcPr>
            <w:tcW w:w="39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periodic benefit costs before regulatory</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and intercompany allocations</w:t>
            </w: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580" w:type="dxa"/>
            <w:vAlign w:val="bottom"/>
          </w:tcPr>
          <w:p>
            <w:pPr>
              <w:spacing w:after="0"/>
              <w:rPr>
                <w:sz w:val="21"/>
                <w:szCs w:val="21"/>
                <w:color w:val="auto"/>
              </w:rPr>
            </w:pPr>
          </w:p>
        </w:tc>
        <w:tc>
          <w:tcPr>
            <w:tcW w:w="6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adjustment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7.8</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Intercompany allocations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(0.6)</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7"/>
              </w:rPr>
              <w:t>0.2</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periodic benefit costs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9.4</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5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9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Pension Benefits</w:t>
            </w:r>
          </w:p>
        </w:tc>
        <w:tc>
          <w:tcPr>
            <w:tcW w:w="9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3320" w:type="dxa"/>
            <w:vAlign w:val="bottom"/>
            <w:tcBorders>
              <w:top w:val="single" w:sz="8" w:color="auto"/>
            </w:tcBorders>
            <w:gridSpan w:val="5"/>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c>
          <w:tcPr>
            <w:tcW w:w="0" w:type="dxa"/>
            <w:vAlign w:val="bottom"/>
          </w:tcPr>
          <w:p>
            <w:pPr>
              <w:spacing w:after="0"/>
              <w:rPr>
                <w:sz w:val="1"/>
                <w:szCs w:val="1"/>
                <w:color w:val="auto"/>
              </w:rPr>
            </w:pPr>
          </w:p>
        </w:tc>
      </w:tr>
      <w:tr>
        <w:trPr>
          <w:trHeight w:val="184"/>
        </w:trPr>
        <w:tc>
          <w:tcPr>
            <w:tcW w:w="3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b w:val="1"/>
                <w:bCs w:val="1"/>
                <w:color w:val="auto"/>
                <w:w w:val="98"/>
              </w:rPr>
              <w:t>Evergy</w:t>
            </w:r>
          </w:p>
        </w:tc>
        <w:tc>
          <w:tcPr>
            <w:tcW w:w="240" w:type="dxa"/>
            <w:vAlign w:val="bottom"/>
          </w:tcPr>
          <w:p>
            <w:pPr>
              <w:spacing w:after="0"/>
              <w:rPr>
                <w:sz w:val="16"/>
                <w:szCs w:val="16"/>
                <w:color w:val="auto"/>
              </w:rPr>
            </w:pPr>
          </w:p>
        </w:tc>
        <w:tc>
          <w:tcPr>
            <w:tcW w:w="980" w:type="dxa"/>
            <w:vAlign w:val="bottom"/>
            <w:vMerge w:val="restart"/>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b w:val="1"/>
                <w:bCs w:val="1"/>
                <w:color w:val="auto"/>
              </w:rPr>
              <w:t>Evergy</w:t>
            </w:r>
          </w:p>
        </w:tc>
        <w:tc>
          <w:tcPr>
            <w:tcW w:w="360" w:type="dxa"/>
            <w:vAlign w:val="bottom"/>
          </w:tcPr>
          <w:p>
            <w:pPr>
              <w:spacing w:after="0"/>
              <w:rPr>
                <w:sz w:val="16"/>
                <w:szCs w:val="16"/>
                <w:color w:val="auto"/>
              </w:rPr>
            </w:pPr>
          </w:p>
        </w:tc>
        <w:tc>
          <w:tcPr>
            <w:tcW w:w="8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4"/>
              </w:rPr>
              <w:t>Evergy</w:t>
            </w:r>
          </w:p>
        </w:tc>
        <w:tc>
          <w:tcPr>
            <w:tcW w:w="0" w:type="dxa"/>
            <w:vAlign w:val="bottom"/>
          </w:tcPr>
          <w:p>
            <w:pPr>
              <w:spacing w:after="0"/>
              <w:rPr>
                <w:sz w:val="1"/>
                <w:szCs w:val="1"/>
                <w:color w:val="auto"/>
              </w:rPr>
            </w:pPr>
          </w:p>
        </w:tc>
      </w:tr>
      <w:tr>
        <w:trPr>
          <w:trHeight w:val="176"/>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June 30, 2024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80" w:type="dxa"/>
            <w:vAlign w:val="bottom"/>
          </w:tcPr>
          <w:p>
            <w:pPr>
              <w:spacing w:after="0"/>
              <w:rPr>
                <w:sz w:val="15"/>
                <w:szCs w:val="15"/>
                <w:color w:val="auto"/>
              </w:rPr>
            </w:pPr>
          </w:p>
        </w:tc>
        <w:tc>
          <w:tcPr>
            <w:tcW w:w="10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Kansas</w:t>
            </w:r>
          </w:p>
        </w:tc>
        <w:tc>
          <w:tcPr>
            <w:tcW w:w="2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40" w:type="dxa"/>
            <w:vAlign w:val="bottom"/>
          </w:tcPr>
          <w:p>
            <w:pPr>
              <w:spacing w:after="0"/>
              <w:rPr>
                <w:sz w:val="15"/>
                <w:szCs w:val="15"/>
                <w:color w:val="auto"/>
              </w:rPr>
            </w:pPr>
          </w:p>
        </w:tc>
        <w:tc>
          <w:tcPr>
            <w:tcW w:w="98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Kansas</w:t>
            </w:r>
          </w:p>
        </w:tc>
        <w:tc>
          <w:tcPr>
            <w:tcW w:w="3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4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Central</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Metro</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Central</w:t>
            </w: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Metro</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gridSpan w:val="3"/>
          </w:tcPr>
          <w:p>
            <w:pPr>
              <w:jc w:val="right"/>
              <w:ind w:right="790"/>
              <w:spacing w:after="0"/>
              <w:rPr>
                <w:sz w:val="20"/>
                <w:szCs w:val="20"/>
                <w:color w:val="auto"/>
              </w:rPr>
            </w:pPr>
            <w:r>
              <w:rPr>
                <w:rFonts w:ascii="Times New Roman" w:cs="Times New Roman" w:eastAsia="Times New Roman" w:hAnsi="Times New Roman"/>
                <w:sz w:val="16"/>
                <w:szCs w:val="16"/>
                <w:color w:val="auto"/>
              </w:rPr>
              <w:t>(millions)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13.5</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21.5</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6"/>
              </w:rPr>
              <w:t>(43.4)</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net actuarial (gain)/loss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156"/>
        </w:trPr>
        <w:tc>
          <w:tcPr>
            <w:tcW w:w="4060" w:type="dxa"/>
            <w:vAlign w:val="bottom"/>
            <w:gridSpan w:val="3"/>
          </w:tcPr>
          <w:p>
            <w:pPr>
              <w:ind w:left="20"/>
              <w:spacing w:after="0" w:line="156" w:lineRule="exact"/>
              <w:rPr>
                <w:sz w:val="20"/>
                <w:szCs w:val="20"/>
                <w:color w:val="auto"/>
              </w:rPr>
            </w:pPr>
            <w:r>
              <w:rPr>
                <w:rFonts w:ascii="Times New Roman" w:cs="Times New Roman" w:eastAsia="Times New Roman" w:hAnsi="Times New Roman"/>
                <w:sz w:val="18"/>
                <w:szCs w:val="18"/>
                <w:color w:val="auto"/>
              </w:rPr>
              <w:t>Net periodic benefit costs before regulatory adjustment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intercompany allocations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adjustment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15.5</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Intercompany allocations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periodic benefit costs (income)</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18.8</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7"/>
        </w:trPr>
        <w:tc>
          <w:tcPr>
            <w:tcW w:w="39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Pension Benefits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Post-Retirement Benefits</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center"/>
              <w:ind w:right="250"/>
              <w:spacing w:after="0" w:line="184" w:lineRule="exact"/>
              <w:rPr>
                <w:sz w:val="20"/>
                <w:szCs w:val="20"/>
                <w:color w:val="auto"/>
              </w:rPr>
            </w:pPr>
            <w:r>
              <w:rPr>
                <w:rFonts w:ascii="Times New Roman" w:cs="Times New Roman" w:eastAsia="Times New Roman" w:hAnsi="Times New Roman"/>
                <w:sz w:val="18"/>
                <w:szCs w:val="18"/>
                <w:b w:val="1"/>
                <w:bCs w:val="1"/>
                <w:color w:val="auto"/>
                <w:w w:val="98"/>
              </w:rPr>
              <w:t>Evergy</w:t>
            </w:r>
          </w:p>
        </w:tc>
        <w:tc>
          <w:tcPr>
            <w:tcW w:w="240" w:type="dxa"/>
            <w:vAlign w:val="bottom"/>
          </w:tcPr>
          <w:p>
            <w:pPr>
              <w:spacing w:after="0"/>
              <w:rPr>
                <w:sz w:val="16"/>
                <w:szCs w:val="16"/>
                <w:color w:val="auto"/>
              </w:rPr>
            </w:pPr>
          </w:p>
        </w:tc>
        <w:tc>
          <w:tcPr>
            <w:tcW w:w="980" w:type="dxa"/>
            <w:vAlign w:val="bottom"/>
            <w:vMerge w:val="restart"/>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rPr>
              <w:t>Evergy</w:t>
            </w: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80" w:type="dxa"/>
            <w:vAlign w:val="bottom"/>
          </w:tcPr>
          <w:p>
            <w:pPr>
              <w:spacing w:after="0"/>
              <w:rPr>
                <w:sz w:val="15"/>
                <w:szCs w:val="15"/>
                <w:color w:val="auto"/>
              </w:rPr>
            </w:pPr>
          </w:p>
        </w:tc>
        <w:tc>
          <w:tcPr>
            <w:tcW w:w="1000" w:type="dxa"/>
            <w:vAlign w:val="bottom"/>
          </w:tcPr>
          <w:p>
            <w:pPr>
              <w:jc w:val="center"/>
              <w:ind w:right="2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Kansas</w:t>
            </w:r>
          </w:p>
        </w:tc>
        <w:tc>
          <w:tcPr>
            <w:tcW w:w="2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8"/>
              </w:rPr>
              <w:t>Evergy</w:t>
            </w:r>
          </w:p>
        </w:tc>
        <w:tc>
          <w:tcPr>
            <w:tcW w:w="240" w:type="dxa"/>
            <w:vAlign w:val="bottom"/>
          </w:tcPr>
          <w:p>
            <w:pPr>
              <w:spacing w:after="0"/>
              <w:rPr>
                <w:sz w:val="15"/>
                <w:szCs w:val="15"/>
                <w:color w:val="auto"/>
              </w:rPr>
            </w:pPr>
          </w:p>
        </w:tc>
        <w:tc>
          <w:tcPr>
            <w:tcW w:w="98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Kansas</w:t>
            </w: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w w:val="98"/>
              </w:rPr>
              <w:t>Evergy Metro</w:t>
            </w:r>
          </w:p>
        </w:tc>
        <w:tc>
          <w:tcPr>
            <w:tcW w:w="0" w:type="dxa"/>
            <w:vAlign w:val="bottom"/>
          </w:tcPr>
          <w:p>
            <w:pPr>
              <w:spacing w:after="0"/>
              <w:rPr>
                <w:sz w:val="1"/>
                <w:szCs w:val="1"/>
                <w:color w:val="auto"/>
              </w:rPr>
            </w:pPr>
          </w:p>
        </w:tc>
      </w:tr>
      <w:tr>
        <w:trPr>
          <w:trHeight w:val="243"/>
        </w:trPr>
        <w:tc>
          <w:tcPr>
            <w:tcW w:w="394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Central</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Metro</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Central</w:t>
            </w:r>
          </w:p>
        </w:tc>
        <w:tc>
          <w:tcPr>
            <w:tcW w:w="118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w w:val="98"/>
              </w:rPr>
              <w:t>(millions)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0.3</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23.0</w:t>
            </w:r>
          </w:p>
        </w:tc>
        <w:tc>
          <w:tcPr>
            <w:tcW w:w="28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tcPr>
          <w:p>
            <w:pPr>
              <w:spacing w:after="0"/>
              <w:rPr>
                <w:sz w:val="19"/>
                <w:szCs w:val="19"/>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10.9</w:t>
            </w:r>
          </w:p>
        </w:tc>
        <w:tc>
          <w:tcPr>
            <w:tcW w:w="3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(10.9)</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spacing w:after="0"/>
              <w:rPr>
                <w:sz w:val="19"/>
                <w:szCs w:val="19"/>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net actuarial (gain)/loss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251"/>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Settlement (gain) loss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251"/>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39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periodic benefit costs before regulatory</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 and intercompany allocations</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adjustment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22.0</w:t>
            </w:r>
          </w:p>
        </w:tc>
        <w:tc>
          <w:tcPr>
            <w:tcW w:w="28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spacing w:after="0"/>
              <w:rPr>
                <w:sz w:val="19"/>
                <w:szCs w:val="19"/>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15.1</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allocations</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251"/>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periodic benefit costs (income)</w:t>
            </w:r>
          </w:p>
        </w:tc>
        <w:tc>
          <w:tcPr>
            <w:tcW w:w="1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29.5</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15.8</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Pension Benefits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Post-Retirement Benefits</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center"/>
              <w:ind w:right="210"/>
              <w:spacing w:after="0" w:line="189" w:lineRule="exact"/>
              <w:rPr>
                <w:sz w:val="20"/>
                <w:szCs w:val="20"/>
                <w:color w:val="auto"/>
              </w:rPr>
            </w:pPr>
            <w:r>
              <w:rPr>
                <w:rFonts w:ascii="Times New Roman" w:cs="Times New Roman" w:eastAsia="Times New Roman" w:hAnsi="Times New Roman"/>
                <w:sz w:val="18"/>
                <w:szCs w:val="18"/>
                <w:b w:val="1"/>
                <w:bCs w:val="1"/>
                <w:color w:val="auto"/>
                <w:w w:val="98"/>
              </w:rPr>
              <w:t>Evergy</w:t>
            </w:r>
          </w:p>
        </w:tc>
        <w:tc>
          <w:tcPr>
            <w:tcW w:w="240" w:type="dxa"/>
            <w:vAlign w:val="bottom"/>
          </w:tcPr>
          <w:p>
            <w:pPr>
              <w:spacing w:after="0"/>
              <w:rPr>
                <w:sz w:val="16"/>
                <w:szCs w:val="16"/>
                <w:color w:val="auto"/>
              </w:rPr>
            </w:pPr>
          </w:p>
        </w:tc>
        <w:tc>
          <w:tcPr>
            <w:tcW w:w="980" w:type="dxa"/>
            <w:vAlign w:val="bottom"/>
            <w:vMerge w:val="restart"/>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b w:val="1"/>
                <w:bCs w:val="1"/>
                <w:color w:val="auto"/>
              </w:rPr>
              <w:t>Evergy</w:t>
            </w: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June 30, 2023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80" w:type="dxa"/>
            <w:vAlign w:val="bottom"/>
          </w:tcPr>
          <w:p>
            <w:pPr>
              <w:spacing w:after="0"/>
              <w:rPr>
                <w:sz w:val="16"/>
                <w:szCs w:val="16"/>
                <w:color w:val="auto"/>
              </w:rPr>
            </w:pPr>
          </w:p>
        </w:tc>
        <w:tc>
          <w:tcPr>
            <w:tcW w:w="1000" w:type="dxa"/>
            <w:vAlign w:val="bottom"/>
          </w:tcPr>
          <w:p>
            <w:pPr>
              <w:jc w:val="center"/>
              <w:ind w:right="2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Kansas</w:t>
            </w: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8"/>
              </w:rPr>
              <w:t>Evergy</w:t>
            </w:r>
          </w:p>
        </w:tc>
        <w:tc>
          <w:tcPr>
            <w:tcW w:w="240" w:type="dxa"/>
            <w:vAlign w:val="bottom"/>
          </w:tcPr>
          <w:p>
            <w:pPr>
              <w:spacing w:after="0"/>
              <w:rPr>
                <w:sz w:val="16"/>
                <w:szCs w:val="16"/>
                <w:color w:val="auto"/>
              </w:rPr>
            </w:pPr>
          </w:p>
        </w:tc>
        <w:tc>
          <w:tcPr>
            <w:tcW w:w="98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Kansas</w:t>
            </w: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w w:val="98"/>
              </w:rPr>
              <w:t>Evergy Metro</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Central</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Metro</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Central</w:t>
            </w:r>
          </w:p>
        </w:tc>
        <w:tc>
          <w:tcPr>
            <w:tcW w:w="118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w w:val="98"/>
              </w:rPr>
              <w:t>(millions)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23.2</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ind w:left="251"/>
              <w:spacing w:after="0"/>
              <w:rPr>
                <w:sz w:val="20"/>
                <w:szCs w:val="20"/>
                <w:color w:val="auto"/>
              </w:rPr>
            </w:pPr>
            <w:r>
              <w:rPr>
                <w:rFonts w:ascii="Times New Roman" w:cs="Times New Roman" w:eastAsia="Times New Roman" w:hAnsi="Times New Roman"/>
                <w:sz w:val="18"/>
                <w:szCs w:val="18"/>
                <w:color w:val="auto"/>
              </w:rPr>
              <w:t>13.6</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0.5</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45.4</w:t>
            </w:r>
          </w:p>
        </w:tc>
        <w:tc>
          <w:tcPr>
            <w:tcW w:w="28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23.2</w:t>
            </w:r>
          </w:p>
        </w:tc>
        <w:tc>
          <w:tcPr>
            <w:tcW w:w="240" w:type="dxa"/>
            <w:vAlign w:val="bottom"/>
          </w:tcPr>
          <w:p>
            <w:pPr>
              <w:spacing w:after="0"/>
              <w:rPr>
                <w:sz w:val="19"/>
                <w:szCs w:val="19"/>
                <w:color w:val="auto"/>
              </w:rPr>
            </w:pPr>
          </w:p>
        </w:tc>
        <w:tc>
          <w:tcPr>
            <w:tcW w:w="98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rPr>
              <w:t>21.7</w:t>
            </w:r>
          </w:p>
        </w:tc>
        <w:tc>
          <w:tcPr>
            <w:tcW w:w="3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(22.2)</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(21.7)</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9"/>
                <w:szCs w:val="19"/>
                <w:color w:val="auto"/>
              </w:rPr>
            </w:pPr>
          </w:p>
        </w:tc>
        <w:tc>
          <w:tcPr>
            <w:tcW w:w="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net actuarial (gain)/loss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Settlement (gain) loss</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(18.5)</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4"/>
        </w:trPr>
        <w:tc>
          <w:tcPr>
            <w:tcW w:w="394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Net periodic benefit costs before regulatory</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 and intercompany allocations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(13.3)</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adjustment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55.5</w:t>
            </w:r>
          </w:p>
        </w:tc>
        <w:tc>
          <w:tcPr>
            <w:tcW w:w="28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Pr>
          <w:p>
            <w:pPr>
              <w:spacing w:after="0"/>
              <w:rPr>
                <w:sz w:val="19"/>
                <w:szCs w:val="19"/>
                <w:color w:val="auto"/>
              </w:rPr>
            </w:pPr>
          </w:p>
        </w:tc>
        <w:tc>
          <w:tcPr>
            <w:tcW w:w="98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rPr>
              <w:t>41.0</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allocations</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periodic benefit costs (income)</w:t>
            </w:r>
          </w:p>
        </w:tc>
        <w:tc>
          <w:tcPr>
            <w:tcW w:w="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53.8</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24.7</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center"/>
              <w:ind w:left="251"/>
              <w:spacing w:after="0"/>
              <w:rPr>
                <w:sz w:val="20"/>
                <w:szCs w:val="20"/>
                <w:color w:val="auto"/>
              </w:rPr>
            </w:pPr>
            <w:r>
              <w:rPr>
                <w:rFonts w:ascii="Times New Roman" w:cs="Times New Roman" w:eastAsia="Times New Roman" w:hAnsi="Times New Roman"/>
                <w:sz w:val="18"/>
                <w:szCs w:val="18"/>
                <w:color w:val="auto"/>
              </w:rPr>
              <w:t>27.2</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20"/>
          <w:szCs w:val="20"/>
          <w:color w:val="auto"/>
        </w:rPr>
        <w:t>The components of net periodic benefit costs other than the service cost component are included in other expense on the Evergy Companies' consolidated statements of income and comprehensive income.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9"/>
          <w:szCs w:val="19"/>
          <w:color w:val="auto"/>
        </w:rPr>
        <w:t>Year to date June 30, 2024, Evergy, Evergy Kansas Central and Evergy Metro made no cash pension contributions. Evergy expects to make cash pension contributions of $36.8 million in 2024 to satisfy the Employee Retirement Income Security Act of 1974, as amended (ERISA) funding requirements and KCC and MPSC rate orders, of which $9.8 million is expected to be paid by Evergy Kansas Central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$27.0 million is expected to be paid by Evergy Metro.</w:t>
      </w:r>
    </w:p>
    <w:p>
      <w:pPr>
        <w:spacing w:after="0" w:line="200"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20"/>
          <w:szCs w:val="20"/>
          <w:color w:val="auto"/>
        </w:rPr>
        <w:t>Year to date June 30, 2024, Evergy, Evergy Kansas Central and Evergy Metro made post-retirement benefit contributions of $0.4 million, $0.2 million and $0.2 million, respectively. Evergy, Evergy Kansas Central and Evergy Metro expect to make additional contributions in 2024 of $0.2 million, $0.1 million and $0.1 million, respectively, to the post-retirement benefit plans.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SHORT-TERM BORROWINGS AND SHORT-TERM BANK LINES OF CREDIT</w:t>
      </w:r>
    </w:p>
    <w:p>
      <w:pPr>
        <w:spacing w:after="0" w:line="1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Evergy's $2.5 billion master credit facility expires in 2027. Evergy, Evergy Kansas Central, Evergy Metro and Evergy Missouri West have borrowing capacity under the master credit facility with specific sublimits for each borrower. These sublimits can be unilaterally adjusted by Evergy for each borrower provided the sublimits remain within minimum and maximum sublimits as specified in the facility. The applicable interest rates and commitment fees of the facility are subject to upward or downward adjustments, within certain limitations, if Evergy achieves, or fails to achieve, certain sustainability-linked targets based on two key performance indicator metrics: (i) Non-Emitting Generation Capacity and (ii) Diverse Supplier Spend (as defined in the facility).</w:t>
      </w:r>
    </w:p>
    <w:p>
      <w:pPr>
        <w:spacing w:after="0" w:line="17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20"/>
          <w:szCs w:val="20"/>
          <w:color w:val="auto"/>
        </w:rPr>
        <w:t>A default by any borrower under the facility or one of its significant subsidiaries on other indebtedness totaling more than $100.0 million constitutes a default by that borrower under the facility. Under the terms of this facility, each of Evergy, Evergy Kansas Central, Evergy Metro and Evergy Missouri West is required to maintain a total indebtedness to total capitalization ratio, as defined in the facility, of not greater than 0.65 to 1.00 at all times. As of June 30, 2024, Evergy, Evergy Kansas Central, Evergy Metro and Evergy Missouri West were in compliance with this covenant.</w:t>
      </w:r>
    </w:p>
    <w:p>
      <w:pPr>
        <w:spacing w:after="0" w:line="173"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20"/>
          <w:szCs w:val="20"/>
          <w:color w:val="auto"/>
        </w:rPr>
        <w:t>The following table summarizes the committed credit facilities (excluding receivable sale facilities discussed in Note 3) available to the Evergy Companies as of June 30, 2024 and December 31, 2023.</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256"/>
        </w:trPr>
        <w:tc>
          <w:tcPr>
            <w:tcW w:w="24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Amounts Drawn</w:t>
            </w:r>
          </w:p>
        </w:tc>
        <w:tc>
          <w:tcPr>
            <w:tcW w:w="1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2080" w:type="dxa"/>
            <w:vAlign w:val="bottom"/>
            <w:tcBorders>
              <w:top w:val="single" w:sz="8" w:color="auto"/>
              <w:bottom w:val="single" w:sz="8" w:color="auto"/>
            </w:tcBorders>
            <w:vMerge w:val="restart"/>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60"/>
        </w:trPr>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Master Credit</w:t>
            </w:r>
          </w:p>
        </w:tc>
        <w:tc>
          <w:tcPr>
            <w:tcW w:w="160" w:type="dxa"/>
            <w:vAlign w:val="bottom"/>
          </w:tcPr>
          <w:p>
            <w:pPr>
              <w:spacing w:after="0"/>
              <w:rPr>
                <w:sz w:val="13"/>
                <w:szCs w:val="13"/>
                <w:color w:val="auto"/>
              </w:rPr>
            </w:pPr>
          </w:p>
        </w:tc>
        <w:tc>
          <w:tcPr>
            <w:tcW w:w="11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1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Available</w:t>
            </w: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Letters of Credit</w:t>
            </w:r>
          </w:p>
        </w:tc>
        <w:tc>
          <w:tcPr>
            <w:tcW w:w="1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2080" w:type="dxa"/>
            <w:vAlign w:val="bottom"/>
          </w:tcPr>
          <w:p>
            <w:pPr>
              <w:jc w:val="center"/>
              <w:ind w:left="1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Interest Rate on Short-</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Paper</w:t>
            </w:r>
          </w:p>
        </w:tc>
        <w:tc>
          <w:tcPr>
            <w:tcW w:w="134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20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Term Borrowings</w:t>
            </w:r>
          </w:p>
        </w:tc>
        <w:tc>
          <w:tcPr>
            <w:tcW w:w="0" w:type="dxa"/>
            <w:vAlign w:val="bottom"/>
          </w:tcPr>
          <w:p>
            <w:pPr>
              <w:spacing w:after="0"/>
              <w:rPr>
                <w:sz w:val="1"/>
                <w:szCs w:val="1"/>
                <w:color w:val="auto"/>
              </w:rPr>
            </w:pPr>
          </w:p>
        </w:tc>
      </w:tr>
      <w:tr>
        <w:trPr>
          <w:trHeight w:val="223"/>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center"/>
              <w:ind w:right="131"/>
              <w:spacing w:after="0"/>
              <w:rPr>
                <w:sz w:val="20"/>
                <w:szCs w:val="20"/>
                <w:color w:val="auto"/>
              </w:rPr>
            </w:pPr>
            <w:r>
              <w:rPr>
                <w:rFonts w:ascii="Times New Roman" w:cs="Times New Roman" w:eastAsia="Times New Roman" w:hAnsi="Times New Roman"/>
                <w:sz w:val="16"/>
                <w:szCs w:val="16"/>
                <w:color w:val="auto"/>
              </w:rPr>
              <w:t>(millions)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Inc.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0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Kansas Central</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c>
          <w:tcPr>
            <w:tcW w:w="13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20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Metro</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20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Evergy Missouri West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590.2</w:t>
            </w:r>
          </w:p>
        </w:tc>
        <w:tc>
          <w:tcPr>
            <w:tcW w:w="2080" w:type="dxa"/>
            <w:vAlign w:val="bottom"/>
            <w:tcBorders>
              <w:bottom w:val="single" w:sz="8" w:color="CCEEFF"/>
            </w:tcBorders>
          </w:tcPr>
          <w:p>
            <w:pPr>
              <w:jc w:val="center"/>
              <w:ind w:left="110"/>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969.7</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1,527.6</w:t>
            </w: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Inc.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20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Kansas Central</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20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Metro</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20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Missouri West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208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Evergy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951.8</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1,546.5</w:t>
            </w:r>
          </w:p>
        </w:tc>
        <w:tc>
          <w:tcPr>
            <w:tcW w:w="2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LONG-TERM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Mortgage Bonds</w:t>
      </w:r>
    </w:p>
    <w:p>
      <w:pPr>
        <w:spacing w:after="0" w:line="26"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20"/>
          <w:szCs w:val="20"/>
          <w:color w:val="auto"/>
        </w:rPr>
        <w:t>In April 2024, Evergy Metro issued, at a discount, $300.0 million of 5.40% Mortgage Bonds, maturing in 2034. Proceeds were used to pay down commercial paper and for general corporate purposes.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May 2024, Evergy Missouri West issued, at a discount, $300.0 million of 5.65% First Mortgage Bonds (FMBs), maturing in 2034.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Proceeds were used to pay down commercial paper and for general corporate purposes.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Securitized Bonds</w:t>
      </w:r>
    </w:p>
    <w:p>
      <w:pPr>
        <w:spacing w:after="0" w:line="2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In 2022, Evergy Missouri West created a special purpose subsidiary, Evergy Missouri West Storm Funding, a wholly-owned, bankruptcy remote entity solely for the purpose of recovering extraordinary fuel and purchased power costs incurred as part of the February 2021 winter weather event. In February 2024, Evergy Missouri West Storm Funding issued, at a discount, $331.1 million of 5.10% Securitized Utility Tariff Bonds (Securitized Bonds) with a final payment scheduled for 2038, maturing in 2040. The obligations of Evergy Missouri West Storm Funding's Securitized Bonds are repaid through charges imposed on customers in Evergy Missouri West's service territory. Creditors of Evergy Missouri West have no recourse to any assets or revenues of Evergy Missouri West Storm Funding, and the bondholders have no recourse to the general credit of Evergy Missouri West. See Note 4 for additional information regarding the February 2021 winter weather event securitization.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DERIVATIVE INSTRUMENTS</w:t>
      </w:r>
    </w:p>
    <w:p>
      <w:pPr>
        <w:spacing w:after="0" w:line="125"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0"/>
          <w:szCs w:val="20"/>
          <w:color w:val="auto"/>
        </w:rPr>
        <w:t>The Evergy Companies engage in the wholesale and retail sale of electricity as part of their regulated electric operations, in addition to limited non-regulated energy marketing activities. These activities expose the Evergy Companies to market risks associated with the price of electricity, natural gas and other energy-related products. Management has established risk management policies and strategies to reduce the potentially adverse effects that the volatility of the markets may have on the Evergy Companies' operating results. The Evergy Companies' commodity risk management activities, which are subject to the management, direction and control of an internal risk management committee, utilize derivative instruments to reduce the effects of fluctuations in wholesale sales and fuel and purchased power expense caused by commodity price volatility.</w:t>
      </w:r>
    </w:p>
    <w:p>
      <w:pPr>
        <w:spacing w:after="0" w:line="19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20"/>
          <w:szCs w:val="20"/>
          <w:color w:val="auto"/>
        </w:rPr>
        <w:t>The Evergy Companies are also exposed to market risks arising from changes in interest rates and may use derivative instruments to manage these risks. The Evergy Companies' interest rate risk management activities have included using derivative instruments to hedge against future interest rate fluctuations on anticipated debt issuances.</w:t>
      </w:r>
    </w:p>
    <w:p>
      <w:pPr>
        <w:spacing w:after="0" w:line="168" w:lineRule="exact"/>
        <w:rPr>
          <w:sz w:val="20"/>
          <w:szCs w:val="20"/>
          <w:color w:val="auto"/>
        </w:rPr>
      </w:pPr>
    </w:p>
    <w:p>
      <w:pPr>
        <w:jc w:val="both"/>
        <w:ind w:right="360"/>
        <w:spacing w:after="0" w:line="268" w:lineRule="auto"/>
        <w:rPr>
          <w:sz w:val="20"/>
          <w:szCs w:val="20"/>
          <w:color w:val="auto"/>
        </w:rPr>
      </w:pPr>
      <w:r>
        <w:rPr>
          <w:rFonts w:ascii="Times New Roman" w:cs="Times New Roman" w:eastAsia="Times New Roman" w:hAnsi="Times New Roman"/>
          <w:sz w:val="20"/>
          <w:szCs w:val="20"/>
          <w:color w:val="auto"/>
        </w:rPr>
        <w:t>The Evergy Companies also engage in non-regulated energy marketing activity for trading purposes, primarily at Evergy Kansas Central, which focuses on seizing market opportunities to create value driven by expected changes in the market prices of commodities, primarily electricity and natural gas.</w:t>
      </w:r>
    </w:p>
    <w:p>
      <w:pPr>
        <w:spacing w:after="0" w:line="16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The Evergy Companies consider various qualitative factors, such as contract and marketplace attributes, in designating derivative instruments at inception. The Evergy Companies may elect the normal purchases and normal sales (NPNS) exception, which requires the effects of the derivative to be recorded when the underlying contract settles under accrual accounting. The Evergy Companies account for derivative instruments that are not designated as NPNS primarily as either economic hedges or trading contracts (non-hedging derivatives) which are recorded as assets or liabilities on the consolidated balance sheets at fair value. See Note 11 for additional information on the Evergy Companies' methods for assessing the fair value of derivative instruments. Changes in the fair value of non-hedging derivatives that are related to the Evergy Companies' regulated operations are deferred to a regulatory asset or regulatory liability when determined to be probable of future recovery or refund from customers. Recovery of the actual costs incurred by regulated activities will not impact earnings but will impact cash flows due to the timing of the recovery mechanism. Cash flows for all derivative instruments are classified as operating activities on the Evergy Companies' statements of cash flows, with the exception of cash flows for interest rate swap agreements accounted for as cash flows hedges of forecasted debt transactions, which are recorded as financing activities. Changes in the fair value of non-hedging derivatives that are not related to the Evergy Companies' regulated operations are recorded in operating revenues on the Evergy Companies' statements of income and comprehensive income.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340"/>
        <w:spacing w:after="0" w:line="283" w:lineRule="auto"/>
        <w:rPr>
          <w:sz w:val="20"/>
          <w:szCs w:val="20"/>
          <w:color w:val="auto"/>
        </w:rPr>
      </w:pPr>
      <w:r>
        <w:rPr>
          <w:rFonts w:ascii="Times New Roman" w:cs="Times New Roman" w:eastAsia="Times New Roman" w:hAnsi="Times New Roman"/>
          <w:sz w:val="20"/>
          <w:szCs w:val="20"/>
          <w:color w:val="auto"/>
        </w:rPr>
        <w:t>The Evergy Companies offset fair value amounts recognized for derivative instruments under master netting arrangements, which include rights to reclaim cash collateral (a receivable), or the obligation to return cash collateral (a payable).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gross notional contract amount by commodity type for derivative instruments is summarized in the following table.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00" w:type="dxa"/>
            <w:vAlign w:val="bottom"/>
            <w:tcBorders>
              <w:top w:val="single" w:sz="8" w:color="auto"/>
            </w:tcBorders>
          </w:tcPr>
          <w:p>
            <w:pPr>
              <w:spacing w:after="0"/>
              <w:rPr>
                <w:sz w:val="21"/>
                <w:szCs w:val="21"/>
                <w:color w:val="auto"/>
              </w:rPr>
            </w:pPr>
          </w:p>
        </w:tc>
        <w:tc>
          <w:tcPr>
            <w:tcW w:w="4520" w:type="dxa"/>
            <w:vAlign w:val="bottom"/>
            <w:tcBorders>
              <w:top w:val="single" w:sz="8" w:color="auto"/>
            </w:tcBorders>
          </w:tcPr>
          <w:p>
            <w:pPr>
              <w:spacing w:after="0"/>
              <w:rPr>
                <w:sz w:val="21"/>
                <w:szCs w:val="21"/>
                <w:color w:val="auto"/>
              </w:rPr>
            </w:pPr>
          </w:p>
        </w:tc>
        <w:tc>
          <w:tcPr>
            <w:tcW w:w="1840" w:type="dxa"/>
            <w:vAlign w:val="bottom"/>
            <w:tcBorders>
              <w:top w:val="single" w:sz="8" w:color="auto"/>
            </w:tcBorders>
          </w:tcPr>
          <w:p>
            <w:pPr>
              <w:jc w:val="right"/>
              <w:ind w:right="81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Non-hedging derivatives</w:t>
            </w:r>
          </w:p>
        </w:tc>
        <w:tc>
          <w:tcPr>
            <w:tcW w:w="4520" w:type="dxa"/>
            <w:vAlign w:val="bottom"/>
            <w:tcBorders>
              <w:bottom w:val="single" w:sz="8" w:color="auto"/>
            </w:tcBorders>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rPr>
              <w:t>Notional volume unit of measure</w:t>
            </w:r>
          </w:p>
        </w:tc>
        <w:tc>
          <w:tcPr>
            <w:tcW w:w="184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36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45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280" w:type="dxa"/>
            <w:vAlign w:val="bottom"/>
          </w:tcPr>
          <w:p>
            <w:pPr>
              <w:spacing w:after="0"/>
              <w:rPr>
                <w:sz w:val="18"/>
                <w:szCs w:val="18"/>
                <w:color w:val="auto"/>
              </w:rPr>
            </w:pPr>
          </w:p>
        </w:tc>
      </w:tr>
      <w:tr>
        <w:trPr>
          <w:trHeight w:val="234"/>
        </w:trPr>
        <w:tc>
          <w:tcPr>
            <w:tcW w:w="360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0"/>
        </w:trPr>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w w:val="97"/>
              </w:rPr>
              <w:t>MWhs</w:t>
            </w:r>
          </w:p>
        </w:tc>
        <w:tc>
          <w:tcPr>
            <w:tcW w:w="18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108.9</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29"/>
        </w:trPr>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452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9"/>
              </w:rPr>
              <w:t>MMBtu</w:t>
            </w:r>
          </w:p>
        </w:tc>
        <w:tc>
          <w:tcPr>
            <w:tcW w:w="18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774.1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559.9</w:t>
            </w:r>
          </w:p>
        </w:tc>
      </w:tr>
      <w:tr>
        <w:trPr>
          <w:trHeight w:val="229"/>
        </w:trPr>
        <w:tc>
          <w:tcPr>
            <w:tcW w:w="3600" w:type="dxa"/>
            <w:vAlign w:val="bottom"/>
            <w:shd w:val="clear" w:color="auto" w:fill="CCEEFF"/>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w w:val="99"/>
              </w:rPr>
              <w:t>Evergy Kansas Central</w:t>
            </w:r>
          </w:p>
        </w:tc>
        <w:tc>
          <w:tcPr>
            <w:tcW w:w="45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360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w w:val="97"/>
              </w:rPr>
              <w:t>MWhs</w:t>
            </w:r>
          </w:p>
        </w:tc>
        <w:tc>
          <w:tcPr>
            <w:tcW w:w="18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63.2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30"/>
        </w:trPr>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w:t>
            </w:r>
          </w:p>
        </w:tc>
        <w:tc>
          <w:tcPr>
            <w:tcW w:w="4520" w:type="dxa"/>
            <w:vAlign w:val="bottom"/>
          </w:tcPr>
          <w:p>
            <w:pPr>
              <w:jc w:val="center"/>
              <w:ind w:left="1250"/>
              <w:spacing w:after="0"/>
              <w:rPr>
                <w:sz w:val="20"/>
                <w:szCs w:val="20"/>
                <w:color w:val="auto"/>
              </w:rPr>
            </w:pPr>
            <w:r>
              <w:rPr>
                <w:rFonts w:ascii="Times New Roman" w:cs="Times New Roman" w:eastAsia="Times New Roman" w:hAnsi="Times New Roman"/>
                <w:sz w:val="18"/>
                <w:szCs w:val="18"/>
                <w:color w:val="auto"/>
                <w:w w:val="99"/>
              </w:rPr>
              <w:t>MMBtu</w:t>
            </w:r>
          </w:p>
        </w:tc>
        <w:tc>
          <w:tcPr>
            <w:tcW w:w="1840" w:type="dxa"/>
            <w:vAlign w:val="bottom"/>
          </w:tcPr>
          <w:p>
            <w:pPr>
              <w:jc w:val="right"/>
              <w:ind w:right="431"/>
              <w:spacing w:after="0"/>
              <w:rPr>
                <w:sz w:val="20"/>
                <w:szCs w:val="20"/>
                <w:color w:val="auto"/>
              </w:rPr>
            </w:pPr>
            <w:r>
              <w:rPr>
                <w:rFonts w:ascii="Times New Roman" w:cs="Times New Roman" w:eastAsia="Times New Roman" w:hAnsi="Times New Roman"/>
                <w:sz w:val="18"/>
                <w:szCs w:val="18"/>
                <w:color w:val="auto"/>
              </w:rPr>
              <w:t>774.1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w:t>
            </w:r>
          </w:p>
        </w:tc>
      </w:tr>
      <w:tr>
        <w:trPr>
          <w:trHeight w:val="229"/>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45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3600" w:type="dxa"/>
            <w:vAlign w:val="bottom"/>
          </w:tcPr>
          <w:p>
            <w:pPr>
              <w:jc w:val="center"/>
              <w:ind w:right="147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7"/>
        </w:trPr>
        <w:tc>
          <w:tcPr>
            <w:tcW w:w="36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tcBorders>
              <w:bottom w:val="single" w:sz="8" w:color="auto"/>
            </w:tcBorders>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w w:val="97"/>
              </w:rPr>
              <w:t>MWhs</w:t>
            </w:r>
          </w:p>
        </w:tc>
        <w:tc>
          <w:tcPr>
            <w:tcW w:w="1840" w:type="dxa"/>
            <w:vAlign w:val="bottom"/>
            <w:tcBorders>
              <w:bottom w:val="single" w:sz="8" w:color="auto"/>
            </w:tcBorders>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34.6</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bl>
    <w:p>
      <w:pPr>
        <w:spacing w:after="0" w:line="261"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20"/>
          <w:szCs w:val="20"/>
          <w:color w:val="auto"/>
        </w:rPr>
        <w:t>The fair values of Evergy's open derivative positions and balance sheet classifications are summarized in the following tables. The fair values below are gross values before netting agreements and netting of cash collateral.</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80" w:type="dxa"/>
            <w:vAlign w:val="bottom"/>
            <w:tcBorders>
              <w:top w:val="single" w:sz="8" w:color="auto"/>
            </w:tcBorders>
          </w:tcPr>
          <w:p>
            <w:pPr>
              <w:spacing w:after="0"/>
              <w:rPr>
                <w:sz w:val="21"/>
                <w:szCs w:val="21"/>
                <w:color w:val="auto"/>
              </w:rPr>
            </w:pPr>
          </w:p>
        </w:tc>
        <w:tc>
          <w:tcPr>
            <w:tcW w:w="45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4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Non-hedging derivatives</w:t>
            </w:r>
          </w:p>
        </w:tc>
        <w:tc>
          <w:tcPr>
            <w:tcW w:w="452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2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280" w:type="dxa"/>
            <w:vAlign w:val="bottom"/>
          </w:tcPr>
          <w:p>
            <w:pPr>
              <w:spacing w:after="0"/>
              <w:rPr>
                <w:sz w:val="19"/>
                <w:szCs w:val="19"/>
                <w:color w:val="auto"/>
              </w:rPr>
            </w:pPr>
          </w:p>
        </w:tc>
      </w:tr>
      <w:tr>
        <w:trPr>
          <w:trHeight w:val="230"/>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assets - current</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23.7</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29"/>
        </w:trPr>
        <w:tc>
          <w:tcPr>
            <w:tcW w:w="3480" w:type="dxa"/>
            <w:vAlign w:val="bottom"/>
          </w:tcPr>
          <w:p>
            <w:pPr>
              <w:spacing w:after="0"/>
              <w:rPr>
                <w:sz w:val="19"/>
                <w:szCs w:val="19"/>
                <w:color w:val="auto"/>
              </w:rPr>
            </w:pPr>
          </w:p>
        </w:tc>
        <w:tc>
          <w:tcPr>
            <w:tcW w:w="45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Other assets - long-term</w:t>
            </w:r>
          </w:p>
        </w:tc>
        <w:tc>
          <w:tcPr>
            <w:tcW w:w="1080" w:type="dxa"/>
            <w:vAlign w:val="bottom"/>
          </w:tcPr>
          <w:p>
            <w:pPr>
              <w:spacing w:after="0"/>
              <w:rPr>
                <w:sz w:val="19"/>
                <w:szCs w:val="19"/>
                <w:color w:val="auto"/>
              </w:rPr>
            </w:pPr>
          </w:p>
        </w:tc>
        <w:tc>
          <w:tcPr>
            <w:tcW w:w="5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40.5</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30"/>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assets - current</w:t>
            </w: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27.2</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30"/>
        </w:trPr>
        <w:tc>
          <w:tcPr>
            <w:tcW w:w="348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tcPr>
          <w:p>
            <w:pPr>
              <w:ind w:left="1580"/>
              <w:spacing w:after="0"/>
              <w:rPr>
                <w:sz w:val="20"/>
                <w:szCs w:val="20"/>
                <w:color w:val="auto"/>
              </w:rPr>
            </w:pPr>
            <w:r>
              <w:rPr>
                <w:rFonts w:ascii="Times New Roman" w:cs="Times New Roman" w:eastAsia="Times New Roman" w:hAnsi="Times New Roman"/>
                <w:sz w:val="18"/>
                <w:szCs w:val="18"/>
                <w:color w:val="auto"/>
              </w:rPr>
              <w:t>Other assets - long-term</w:t>
            </w: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assets</w:t>
            </w:r>
          </w:p>
        </w:tc>
        <w:tc>
          <w:tcPr>
            <w:tcW w:w="4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95.5</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liabilities - current</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13.5</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9"/>
        </w:trPr>
        <w:tc>
          <w:tcPr>
            <w:tcW w:w="3480" w:type="dxa"/>
            <w:vAlign w:val="bottom"/>
          </w:tcPr>
          <w:p>
            <w:pPr>
              <w:spacing w:after="0"/>
              <w:rPr>
                <w:sz w:val="19"/>
                <w:szCs w:val="19"/>
                <w:color w:val="auto"/>
              </w:rPr>
            </w:pPr>
          </w:p>
        </w:tc>
        <w:tc>
          <w:tcPr>
            <w:tcW w:w="45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Other liabilities - long-term</w:t>
            </w:r>
          </w:p>
        </w:tc>
        <w:tc>
          <w:tcPr>
            <w:tcW w:w="1080" w:type="dxa"/>
            <w:vAlign w:val="bottom"/>
          </w:tcPr>
          <w:p>
            <w:pPr>
              <w:spacing w:after="0"/>
              <w:rPr>
                <w:sz w:val="19"/>
                <w:szCs w:val="19"/>
                <w:color w:val="auto"/>
              </w:rPr>
            </w:pPr>
          </w:p>
        </w:tc>
        <w:tc>
          <w:tcPr>
            <w:tcW w:w="5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38.0</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30"/>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liabilities - current</w:t>
            </w: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29.2</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30"/>
        </w:trPr>
        <w:tc>
          <w:tcPr>
            <w:tcW w:w="348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tcPr>
          <w:p>
            <w:pPr>
              <w:ind w:left="1580"/>
              <w:spacing w:after="0"/>
              <w:rPr>
                <w:sz w:val="20"/>
                <w:szCs w:val="20"/>
                <w:color w:val="auto"/>
              </w:rPr>
            </w:pPr>
            <w:r>
              <w:rPr>
                <w:rFonts w:ascii="Times New Roman" w:cs="Times New Roman" w:eastAsia="Times New Roman" w:hAnsi="Times New Roman"/>
                <w:sz w:val="18"/>
                <w:szCs w:val="18"/>
                <w:color w:val="auto"/>
              </w:rPr>
              <w:t>Other liabilities - long-term</w:t>
            </w: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45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85.4</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r>
      <w:tr>
        <w:trPr>
          <w:trHeight w:val="850"/>
        </w:trPr>
        <w:tc>
          <w:tcPr>
            <w:tcW w:w="3480" w:type="dxa"/>
            <w:vAlign w:val="bottom"/>
          </w:tcPr>
          <w:p>
            <w:pPr>
              <w:spacing w:after="0"/>
              <w:rPr>
                <w:sz w:val="24"/>
                <w:szCs w:val="24"/>
                <w:color w:val="auto"/>
              </w:rPr>
            </w:pPr>
          </w:p>
        </w:tc>
        <w:tc>
          <w:tcPr>
            <w:tcW w:w="45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39</w:t>
            </w: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80" w:type="dxa"/>
            <w:vAlign w:val="bottom"/>
            <w:tcBorders>
              <w:top w:val="single" w:sz="8" w:color="auto"/>
            </w:tcBorders>
          </w:tcPr>
          <w:p>
            <w:pPr>
              <w:spacing w:after="0"/>
              <w:rPr>
                <w:sz w:val="21"/>
                <w:szCs w:val="21"/>
                <w:color w:val="auto"/>
              </w:rPr>
            </w:pPr>
          </w:p>
        </w:tc>
        <w:tc>
          <w:tcPr>
            <w:tcW w:w="45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4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Non-hedging derivatives</w:t>
            </w:r>
          </w:p>
        </w:tc>
        <w:tc>
          <w:tcPr>
            <w:tcW w:w="452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2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280" w:type="dxa"/>
            <w:vAlign w:val="bottom"/>
          </w:tcPr>
          <w:p>
            <w:pPr>
              <w:spacing w:after="0"/>
              <w:rPr>
                <w:sz w:val="19"/>
                <w:szCs w:val="19"/>
                <w:color w:val="auto"/>
              </w:rPr>
            </w:pPr>
          </w:p>
        </w:tc>
      </w:tr>
      <w:tr>
        <w:trPr>
          <w:trHeight w:val="230"/>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assets - current</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13.4</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9"/>
        </w:trPr>
        <w:tc>
          <w:tcPr>
            <w:tcW w:w="3480" w:type="dxa"/>
            <w:vAlign w:val="bottom"/>
          </w:tcPr>
          <w:p>
            <w:pPr>
              <w:spacing w:after="0"/>
              <w:rPr>
                <w:sz w:val="19"/>
                <w:szCs w:val="19"/>
                <w:color w:val="auto"/>
              </w:rPr>
            </w:pPr>
          </w:p>
        </w:tc>
        <w:tc>
          <w:tcPr>
            <w:tcW w:w="45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Other assets - long-term</w:t>
            </w:r>
          </w:p>
        </w:tc>
        <w:tc>
          <w:tcPr>
            <w:tcW w:w="1080" w:type="dxa"/>
            <w:vAlign w:val="bottom"/>
          </w:tcPr>
          <w:p>
            <w:pPr>
              <w:spacing w:after="0"/>
              <w:rPr>
                <w:sz w:val="19"/>
                <w:szCs w:val="19"/>
                <w:color w:val="auto"/>
              </w:rPr>
            </w:pPr>
          </w:p>
        </w:tc>
        <w:tc>
          <w:tcPr>
            <w:tcW w:w="5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40.5</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29"/>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assets - current</w:t>
            </w: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27.2</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30"/>
        </w:trPr>
        <w:tc>
          <w:tcPr>
            <w:tcW w:w="348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tcPr>
          <w:p>
            <w:pPr>
              <w:ind w:left="1580"/>
              <w:spacing w:after="0"/>
              <w:rPr>
                <w:sz w:val="20"/>
                <w:szCs w:val="20"/>
                <w:color w:val="auto"/>
              </w:rPr>
            </w:pPr>
            <w:r>
              <w:rPr>
                <w:rFonts w:ascii="Times New Roman" w:cs="Times New Roman" w:eastAsia="Times New Roman" w:hAnsi="Times New Roman"/>
                <w:sz w:val="18"/>
                <w:szCs w:val="18"/>
                <w:color w:val="auto"/>
              </w:rPr>
              <w:t>Other assets - long-term</w:t>
            </w: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assets</w:t>
            </w:r>
          </w:p>
        </w:tc>
        <w:tc>
          <w:tcPr>
            <w:tcW w:w="4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85.2</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liabilities - current</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11.7</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9"/>
        </w:trPr>
        <w:tc>
          <w:tcPr>
            <w:tcW w:w="3480" w:type="dxa"/>
            <w:vAlign w:val="bottom"/>
          </w:tcPr>
          <w:p>
            <w:pPr>
              <w:spacing w:after="0"/>
              <w:rPr>
                <w:sz w:val="19"/>
                <w:szCs w:val="19"/>
                <w:color w:val="auto"/>
              </w:rPr>
            </w:pPr>
          </w:p>
        </w:tc>
        <w:tc>
          <w:tcPr>
            <w:tcW w:w="452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Other liabilities - long-term</w:t>
            </w:r>
          </w:p>
        </w:tc>
        <w:tc>
          <w:tcPr>
            <w:tcW w:w="1080" w:type="dxa"/>
            <w:vAlign w:val="bottom"/>
          </w:tcPr>
          <w:p>
            <w:pPr>
              <w:spacing w:after="0"/>
              <w:rPr>
                <w:sz w:val="19"/>
                <w:szCs w:val="19"/>
                <w:color w:val="auto"/>
              </w:rPr>
            </w:pPr>
          </w:p>
        </w:tc>
        <w:tc>
          <w:tcPr>
            <w:tcW w:w="5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38.0</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30"/>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liabilities - current</w:t>
            </w: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29.2</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29"/>
        </w:trPr>
        <w:tc>
          <w:tcPr>
            <w:tcW w:w="348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tcPr>
          <w:p>
            <w:pPr>
              <w:ind w:left="1580"/>
              <w:spacing w:after="0"/>
              <w:rPr>
                <w:sz w:val="20"/>
                <w:szCs w:val="20"/>
                <w:color w:val="auto"/>
              </w:rPr>
            </w:pPr>
            <w:r>
              <w:rPr>
                <w:rFonts w:ascii="Times New Roman" w:cs="Times New Roman" w:eastAsia="Times New Roman" w:hAnsi="Times New Roman"/>
                <w:sz w:val="18"/>
                <w:szCs w:val="18"/>
                <w:color w:val="auto"/>
              </w:rPr>
              <w:t>Other liabilities - long-term</w:t>
            </w: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45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83.6</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80" w:type="dxa"/>
            <w:vAlign w:val="bottom"/>
            <w:tcBorders>
              <w:top w:val="single" w:sz="8" w:color="auto"/>
            </w:tcBorders>
          </w:tcPr>
          <w:p>
            <w:pPr>
              <w:spacing w:after="0"/>
              <w:rPr>
                <w:sz w:val="21"/>
                <w:szCs w:val="21"/>
                <w:color w:val="auto"/>
              </w:rPr>
            </w:pPr>
          </w:p>
        </w:tc>
        <w:tc>
          <w:tcPr>
            <w:tcW w:w="45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45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Non-hedging derivatives</w:t>
            </w:r>
          </w:p>
        </w:tc>
        <w:tc>
          <w:tcPr>
            <w:tcW w:w="452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2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280" w:type="dxa"/>
            <w:vAlign w:val="bottom"/>
          </w:tcPr>
          <w:p>
            <w:pPr>
              <w:spacing w:after="0"/>
              <w:rPr>
                <w:sz w:val="19"/>
                <w:szCs w:val="19"/>
                <w:color w:val="auto"/>
              </w:rPr>
            </w:pPr>
          </w:p>
        </w:tc>
      </w:tr>
      <w:tr>
        <w:trPr>
          <w:trHeight w:val="229"/>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Other assets - current</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6.6</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derivative assets</w:t>
            </w:r>
          </w:p>
        </w:tc>
        <w:tc>
          <w:tcPr>
            <w:tcW w:w="4520" w:type="dxa"/>
            <w:vAlign w:val="bottom"/>
          </w:tcPr>
          <w:p>
            <w:pPr>
              <w:spacing w:after="0"/>
              <w:rPr>
                <w:sz w:val="19"/>
                <w:szCs w:val="19"/>
                <w:color w:val="auto"/>
              </w:rPr>
            </w:pP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6.6</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45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3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Power</w:t>
            </w:r>
          </w:p>
        </w:tc>
        <w:tc>
          <w:tcPr>
            <w:tcW w:w="4520" w:type="dxa"/>
            <w:vAlign w:val="bottom"/>
            <w:tcBorders>
              <w:bottom w:val="single" w:sz="8" w:color="CCEEFF"/>
            </w:tcBorders>
          </w:tcPr>
          <w:p>
            <w:pPr>
              <w:ind w:left="1580"/>
              <w:spacing w:after="0"/>
              <w:rPr>
                <w:sz w:val="20"/>
                <w:szCs w:val="20"/>
                <w:color w:val="auto"/>
              </w:rPr>
            </w:pPr>
            <w:r>
              <w:rPr>
                <w:rFonts w:ascii="Times New Roman" w:cs="Times New Roman" w:eastAsia="Times New Roman" w:hAnsi="Times New Roman"/>
                <w:sz w:val="18"/>
                <w:szCs w:val="18"/>
                <w:color w:val="auto"/>
              </w:rPr>
              <w:t>Other liabilities - current</w:t>
            </w:r>
          </w:p>
        </w:tc>
        <w:tc>
          <w:tcPr>
            <w:tcW w:w="11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45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bl>
    <w:p>
      <w:pPr>
        <w:spacing w:after="0" w:line="274" w:lineRule="exact"/>
        <w:rPr>
          <w:sz w:val="20"/>
          <w:szCs w:val="20"/>
          <w:color w:val="auto"/>
        </w:rPr>
      </w:pPr>
    </w:p>
    <w:p>
      <w:pPr>
        <w:jc w:val="both"/>
        <w:ind w:right="160"/>
        <w:spacing w:after="0" w:line="275" w:lineRule="auto"/>
        <w:rPr>
          <w:sz w:val="20"/>
          <w:szCs w:val="20"/>
          <w:color w:val="auto"/>
        </w:rPr>
      </w:pPr>
      <w:r>
        <w:rPr>
          <w:rFonts w:ascii="Times New Roman" w:cs="Times New Roman" w:eastAsia="Times New Roman" w:hAnsi="Times New Roman"/>
          <w:sz w:val="20"/>
          <w:szCs w:val="20"/>
          <w:color w:val="auto"/>
        </w:rPr>
        <w:t>The following tables present the line items on the Evergy Companies' consolidated balance sheets where derivative assets and liabilities are reported. The gross amounts offset in the tables below show the effect of master netting arrangements and include collateral posted to offset the net position.</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3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center"/>
              <w:ind w:right="91"/>
              <w:spacing w:after="0" w:line="202" w:lineRule="exact"/>
              <w:rPr>
                <w:sz w:val="20"/>
                <w:szCs w:val="20"/>
                <w:color w:val="auto"/>
              </w:rPr>
            </w:pPr>
            <w:r>
              <w:rPr>
                <w:rFonts w:ascii="Times New Roman" w:cs="Times New Roman" w:eastAsia="Times New Roman" w:hAnsi="Times New Roman"/>
                <w:sz w:val="18"/>
                <w:szCs w:val="18"/>
                <w:b w:val="1"/>
                <w:bCs w:val="1"/>
                <w:color w:val="auto"/>
                <w:w w:val="98"/>
              </w:rPr>
              <w:t>Evergy Kansas</w:t>
            </w: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0" w:type="dxa"/>
            <w:vAlign w:val="bottom"/>
          </w:tcPr>
          <w:p>
            <w:pPr>
              <w:spacing w:after="0"/>
              <w:rPr>
                <w:sz w:val="1"/>
                <w:szCs w:val="1"/>
                <w:color w:val="auto"/>
              </w:rPr>
            </w:pPr>
          </w:p>
        </w:tc>
      </w:tr>
      <w:tr>
        <w:trPr>
          <w:trHeight w:val="243"/>
        </w:trPr>
        <w:tc>
          <w:tcPr>
            <w:tcW w:w="630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Central</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center"/>
              <w:ind w:right="91"/>
              <w:spacing w:after="0"/>
              <w:rPr>
                <w:sz w:val="20"/>
                <w:szCs w:val="20"/>
                <w:color w:val="auto"/>
              </w:rPr>
            </w:pPr>
            <w:r>
              <w:rPr>
                <w:rFonts w:ascii="Times New Roman" w:cs="Times New Roman" w:eastAsia="Times New Roman" w:hAnsi="Times New Roman"/>
                <w:sz w:val="16"/>
                <w:szCs w:val="16"/>
                <w:color w:val="auto"/>
                <w:w w:val="98"/>
              </w:rPr>
              <w:t>(millions)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9"/>
        </w:trPr>
        <w:tc>
          <w:tcPr>
            <w:tcW w:w="63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assets - current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9"/>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assets - long-term</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liabilities - current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liabilities - long-term</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1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center"/>
              <w:ind w:right="71"/>
              <w:spacing w:after="0" w:line="202" w:lineRule="exact"/>
              <w:rPr>
                <w:sz w:val="20"/>
                <w:szCs w:val="20"/>
                <w:color w:val="auto"/>
              </w:rPr>
            </w:pPr>
            <w:r>
              <w:rPr>
                <w:rFonts w:ascii="Times New Roman" w:cs="Times New Roman" w:eastAsia="Times New Roman" w:hAnsi="Times New Roman"/>
                <w:sz w:val="18"/>
                <w:szCs w:val="18"/>
                <w:b w:val="1"/>
                <w:bCs w:val="1"/>
                <w:color w:val="auto"/>
                <w:w w:val="98"/>
              </w:rPr>
              <w:t>Evergy Kansas</w:t>
            </w: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0" w:type="dxa"/>
            <w:vAlign w:val="bottom"/>
          </w:tcPr>
          <w:p>
            <w:pPr>
              <w:spacing w:after="0"/>
              <w:rPr>
                <w:sz w:val="1"/>
                <w:szCs w:val="1"/>
                <w:color w:val="auto"/>
              </w:rPr>
            </w:pPr>
          </w:p>
        </w:tc>
      </w:tr>
      <w:tr>
        <w:trPr>
          <w:trHeight w:val="243"/>
        </w:trPr>
        <w:tc>
          <w:tcPr>
            <w:tcW w:w="630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8"/>
              </w:rPr>
              <w:t>Central</w:t>
            </w: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w w:val="98"/>
              </w:rPr>
              <w:t>(millions)</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63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assets - current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assets - long-term</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liabilities - current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9"/>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amounts recognized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amounts offset</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Net amounts presented in other liabilities - long-term</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The following table summarizes the amounts of gain (loss) recognized in income for the change in fair value of derivatives not designated as hedging instruments for the Evergy Companies.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Borders>
              <w:top w:val="single" w:sz="8" w:color="auto"/>
            </w:tcBorders>
          </w:tcPr>
          <w:p>
            <w:pPr>
              <w:spacing w:after="0"/>
              <w:rPr>
                <w:sz w:val="17"/>
                <w:szCs w:val="17"/>
                <w:color w:val="auto"/>
              </w:rPr>
            </w:pPr>
          </w:p>
        </w:tc>
        <w:tc>
          <w:tcPr>
            <w:tcW w:w="34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gridSpan w:val="3"/>
          </w:tcPr>
          <w:p>
            <w:pPr>
              <w:jc w:val="right"/>
              <w:ind w:right="710"/>
              <w:spacing w:after="0" w:line="202" w:lineRule="exact"/>
              <w:rPr>
                <w:sz w:val="20"/>
                <w:szCs w:val="20"/>
                <w:color w:val="auto"/>
              </w:rPr>
            </w:pPr>
            <w:r>
              <w:rPr>
                <w:rFonts w:ascii="Times New Roman" w:cs="Times New Roman" w:eastAsia="Times New Roman" w:hAnsi="Times New Roman"/>
                <w:sz w:val="18"/>
                <w:szCs w:val="18"/>
                <w:b w:val="1"/>
                <w:bCs w:val="1"/>
                <w:color w:val="auto"/>
              </w:rPr>
              <w:t>Year to Date</w:t>
            </w:r>
          </w:p>
        </w:tc>
      </w:tr>
      <w:tr>
        <w:trPr>
          <w:trHeight w:val="234"/>
        </w:trPr>
        <w:tc>
          <w:tcPr>
            <w:tcW w:w="27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20"/>
                <w:szCs w:val="20"/>
                <w:color w:val="auto"/>
              </w:rPr>
            </w:pPr>
          </w:p>
        </w:tc>
      </w:tr>
      <w:tr>
        <w:trPr>
          <w:trHeight w:val="238"/>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Location of gain (loss)</w:t>
            </w:r>
          </w:p>
        </w:tc>
        <w:tc>
          <w:tcPr>
            <w:tcW w:w="34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Contract type</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(millions)</w:t>
            </w: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34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Commodity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2.7</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3"/>
        </w:trPr>
        <w:tc>
          <w:tcPr>
            <w:tcW w:w="2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2.7</w:t>
            </w: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3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2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3480" w:type="dxa"/>
            <w:vAlign w:val="bottom"/>
            <w:tcBorders>
              <w:bottom w:val="single" w:sz="8" w:color="CCEEFF"/>
            </w:tcBorders>
          </w:tcPr>
          <w:p>
            <w:pPr>
              <w:ind w:left="940"/>
              <w:spacing w:after="0"/>
              <w:rPr>
                <w:sz w:val="20"/>
                <w:szCs w:val="20"/>
                <w:color w:val="auto"/>
              </w:rPr>
            </w:pPr>
            <w:r>
              <w:rPr>
                <w:rFonts w:ascii="Times New Roman" w:cs="Times New Roman" w:eastAsia="Times New Roman" w:hAnsi="Times New Roman"/>
                <w:sz w:val="18"/>
                <w:szCs w:val="18"/>
                <w:color w:val="auto"/>
              </w:rPr>
              <w:t>Commodity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9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2.7</w:t>
            </w:r>
          </w:p>
        </w:tc>
        <w:tc>
          <w:tcPr>
            <w:tcW w:w="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30"/>
        </w:trPr>
        <w:tc>
          <w:tcPr>
            <w:tcW w:w="27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8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2.7</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bl>
    <w:p>
      <w:pPr>
        <w:spacing w:after="0" w:line="27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9"/>
          <w:szCs w:val="19"/>
          <w:color w:val="auto"/>
        </w:rPr>
        <w:t>Credit risk of the Evergy Companies' derivative instruments relates to the potential adverse financial impact resulting from non-performance by a counterparty of its contractual obligations. The Evergy Companies maintain credit policies and employ credit risk mitigation, such as collateral requirements or letters of credit, when necessary to minimize their overall credit risk and monitor exposure. Substantially all of the Evergy Companies' counterparty credit risk associated with derivative instruments relates to Evergy Kansas Central's non-regulated energy marketing activities. As of June 30, 2024, if counterparty groups completely failed to perform on contracts, Evergy's and Evergy Kansas Central's maximum exposure related to derivative assets was $36.5 million. As of June 30, 2024, the potential loss after the consideration of applicable master netting arrangements and collateral received for Evergy and Evergy Kansas Central was $26.7 million.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Certain of the Evergy Companies' derivative instruments contain collateral provisions that are tied to the Evergy Companies' credit ratings and may require the posting of collateral for various reasons, including if the Evergy Companies' credit ratings were to fall below investment grade. Substantially all of these derivative instruments relate to Evergy Kansas Central's non-regulated energy marketing activities. The aggregate fair value of all derivative instruments with credit-risk-related contingent features that were in a liability position as of June 30, 2024, was $40.0 million for which Evergy and Evergy Kansas Central have posted $2.5 million collateral in the normal course of business. If the credit-risk-related contingent features underlying these agreements were triggered as of June 30, 2024, Evergy and Evergy Kansas Central could be required to post an additional $37.4 million of collateral to their counterparties.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Values of Financial Instruments</w:t>
      </w:r>
    </w:p>
    <w:p>
      <w:pPr>
        <w:spacing w:after="0" w:line="2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color w:val="auto"/>
        </w:rPr>
        <w:t>GAAP establishes a hierarchical framework for disclosing the transparency of the inputs utilized in measuring assets and liabilities at fair value. Management's assessment of the significance of a particular input to the fair value measurement requires judgment and may affect the classification of assets and liabilities within the fair value hierarchy levels. In addition, the Evergy Companies measure certain investments that do not have a readily determinable fair value at net asset value (NAV), which are not included in the fair value hierarchy. Further explanation of these levels and NAV is summarized below.</w:t>
      </w:r>
    </w:p>
    <w:p>
      <w:pPr>
        <w:spacing w:after="0" w:line="17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20"/>
          <w:szCs w:val="20"/>
          <w:color w:val="auto"/>
        </w:rPr>
        <w:t>Level 1 – Quoted prices are available in active markets for identical assets or liabilities. The types of assets and liabilities included in Level 1 are highly liquid and actively traded instruments with quoted prices, such as equities listed on public exchanges or exchange-traded derivative instruments.</w:t>
      </w:r>
    </w:p>
    <w:p>
      <w:pPr>
        <w:spacing w:after="0" w:line="16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20"/>
          <w:szCs w:val="20"/>
          <w:color w:val="auto"/>
        </w:rPr>
        <w:t>Level 2 – Pricing inputs are not quoted prices in active markets but are either directly or indirectly observable. The types of assets and liabilities included in Level 2 are certain marketable debt securities, financial instruments traded in less than active markets, non-exchange traded derivative instruments with observable forward curves and options contracts.</w:t>
      </w:r>
    </w:p>
    <w:p>
      <w:pPr>
        <w:spacing w:after="0" w:line="181"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0"/>
          <w:szCs w:val="20"/>
          <w:color w:val="auto"/>
        </w:rPr>
        <w:t>Level 3 – Significant inputs to pricing have little or no transparency. The types of assets and liabilities included in Level 3 are those with inputs requiring significant management judgment or estimation. The types of assets and liabilities included in Level 3 are non-exchange traded derivative instruments for which observable market data is not available to corroborate the valuation inputs and transmission congestion rights (TCRs) in the SPP Integrated Marketplace.</w:t>
      </w:r>
    </w:p>
    <w:p>
      <w:pPr>
        <w:spacing w:after="0" w:line="17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NAV - Investments that do not have a readily determinable fair value are measured at NAV. These investments do not consider the observability of inputs and, therefore, they are not included within the fair value hierarchy. The Evergy Companies include in this category investments in private equity, real estate and alternative investment funds that do not have a readily determinable fair value. The underlying alternative investments include collateralized debt obligations, mezzanine debt and a variety of other investments.</w:t>
      </w:r>
    </w:p>
    <w:p>
      <w:pPr>
        <w:spacing w:after="0" w:line="18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Evergy Companies record cash and cash equivalents, accounts receivable and short-term borrowings on their consolidated balance sheets at cost, which approximates fair value due to the short-term nature of these instruments.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Fair Value of Long-Term Debt</w:t>
      </w:r>
    </w:p>
    <w:p>
      <w:pPr>
        <w:spacing w:after="0" w:line="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Evergy Companies measure the fair value of long-term debt using Level 2 measurements available as of the measurement date. The book value and fair value of the Evergy Companies' long-term debt are summarized in the following table.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960" w:type="dxa"/>
            <w:vAlign w:val="bottom"/>
            <w:tcBorders>
              <w:top w:val="single" w:sz="8" w:color="auto"/>
            </w:tcBorders>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Borders>
              <w:top w:val="single" w:sz="8" w:color="auto"/>
            </w:tcBorders>
          </w:tcPr>
          <w:p>
            <w:pPr>
              <w:spacing w:after="0"/>
              <w:rPr>
                <w:sz w:val="22"/>
                <w:szCs w:val="22"/>
                <w:color w:val="auto"/>
              </w:rPr>
            </w:pPr>
          </w:p>
        </w:tc>
        <w:tc>
          <w:tcPr>
            <w:tcW w:w="2700" w:type="dxa"/>
            <w:vAlign w:val="bottom"/>
            <w:tcBorders>
              <w:top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51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Book Value</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8"/>
              </w:rPr>
              <w:t>Book Value</w:t>
            </w: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23"/>
        </w:trPr>
        <w:tc>
          <w:tcPr>
            <w:tcW w:w="51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Long-term debt</w:t>
            </w:r>
            <w:r>
              <w:rPr>
                <w:rFonts w:ascii="Times New Roman" w:cs="Times New Roman" w:eastAsia="Times New Roman" w:hAnsi="Times New Roman"/>
                <w:sz w:val="23"/>
                <w:szCs w:val="23"/>
                <w:b w:val="1"/>
                <w:bCs w:val="1"/>
                <w:color w:val="auto"/>
                <w:vertAlign w:val="superscript"/>
              </w:rPr>
              <w:t>(a)</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Evergy</w:t>
            </w:r>
            <w:r>
              <w:rPr>
                <w:rFonts w:ascii="Times New Roman" w:cs="Times New Roman" w:eastAsia="Times New Roman" w:hAnsi="Times New Roman"/>
                <w:sz w:val="23"/>
                <w:szCs w:val="23"/>
                <w:color w:val="auto"/>
                <w:vertAlign w:val="superscript"/>
              </w:rPr>
              <w:t>(b)</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12,774.1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11,699.3</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11,853.3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11,044.9</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Kansas Central</w:t>
            </w:r>
          </w:p>
        </w:tc>
        <w:tc>
          <w:tcPr>
            <w:tcW w:w="18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4,581.8</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4,580.4</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4,176.6</w:t>
            </w:r>
          </w:p>
        </w:tc>
      </w:tr>
      <w:tr>
        <w:trPr>
          <w:trHeight w:val="236"/>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Metro</w:t>
            </w: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3,222.5</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2,958.8</w:t>
            </w:r>
          </w:p>
        </w:tc>
        <w:tc>
          <w:tcPr>
            <w:tcW w:w="2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2,924.4</w:t>
            </w:r>
          </w:p>
        </w:tc>
        <w:tc>
          <w:tcPr>
            <w:tcW w:w="3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2,738.8</w:t>
            </w:r>
          </w:p>
        </w:tc>
      </w:tr>
    </w:tbl>
    <w:p>
      <w:pPr>
        <w:spacing w:after="0" w:line="34" w:lineRule="exact"/>
        <w:rPr>
          <w:sz w:val="20"/>
          <w:szCs w:val="20"/>
          <w:color w:val="auto"/>
        </w:rPr>
      </w:pPr>
    </w:p>
    <w:p>
      <w:pPr>
        <w:ind w:left="160" w:hanging="152"/>
        <w:spacing w:after="0"/>
        <w:tabs>
          <w:tab w:leader="none" w:pos="160"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current maturities.</w:t>
      </w:r>
    </w:p>
    <w:p>
      <w:pPr>
        <w:spacing w:after="0" w:line="10" w:lineRule="exact"/>
        <w:rPr>
          <w:rFonts w:ascii="Times New Roman" w:cs="Times New Roman" w:eastAsia="Times New Roman" w:hAnsi="Times New Roman"/>
          <w:sz w:val="20"/>
          <w:szCs w:val="20"/>
          <w:color w:val="auto"/>
          <w:vertAlign w:val="superscript"/>
        </w:rPr>
      </w:pPr>
    </w:p>
    <w:p>
      <w:pPr>
        <w:ind w:left="180" w:right="60" w:hanging="172"/>
        <w:spacing w:after="0" w:line="245" w:lineRule="auto"/>
        <w:tabs>
          <w:tab w:leader="none" w:pos="167"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Book value as of June 30, 2024 and December 31, 2023, includes $84.3 million and $87.0 million, respectively, of fair value adjustments recorded in connection with purchase accounting for the Great Plains Energy and Evergy Kansas Central merger, which are not part of future principal payments and will amortize over the remaining life of the associated debt instrument.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Recurring Fair Value Measurements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include balances of financial assets and liabilities measured at fair value on a recurring basis.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6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NAV</w:t>
            </w:r>
          </w:p>
        </w:tc>
      </w:tr>
      <w:tr>
        <w:trPr>
          <w:trHeight w:val="208"/>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Evergy Kansas Central</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4"/>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2"/>
        </w:trPr>
        <w:tc>
          <w:tcPr>
            <w:tcW w:w="4160" w:type="dxa"/>
            <w:vAlign w:val="bottom"/>
          </w:tcPr>
          <w:p>
            <w:pPr>
              <w:ind w:left="140"/>
              <w:spacing w:after="0" w:line="222" w:lineRule="exact"/>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Domestic equity funds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143.8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134.1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3"/>
        </w:trPr>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International equity funds</w:t>
            </w:r>
          </w:p>
        </w:tc>
        <w:tc>
          <w:tcPr>
            <w:tcW w:w="16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77.4</w:t>
            </w:r>
          </w:p>
        </w:tc>
        <w:tc>
          <w:tcPr>
            <w:tcW w:w="2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77.4</w:t>
            </w:r>
          </w:p>
        </w:tc>
        <w:tc>
          <w:tcPr>
            <w:tcW w:w="26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Core bond fund</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57.8</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57.8</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High-yield bond fund</w:t>
            </w:r>
          </w:p>
        </w:tc>
        <w:tc>
          <w:tcPr>
            <w:tcW w:w="16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30.4</w:t>
            </w:r>
          </w:p>
        </w:tc>
        <w:tc>
          <w:tcPr>
            <w:tcW w:w="2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30.4</w:t>
            </w:r>
          </w:p>
        </w:tc>
        <w:tc>
          <w:tcPr>
            <w:tcW w:w="26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Emerging markets bond fund</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18.5</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18.5</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Alternative investments fund</w:t>
            </w:r>
          </w:p>
        </w:tc>
        <w:tc>
          <w:tcPr>
            <w:tcW w:w="16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42.9</w:t>
            </w:r>
          </w:p>
        </w:tc>
        <w:tc>
          <w:tcPr>
            <w:tcW w:w="2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r>
      <w:tr>
        <w:trPr>
          <w:trHeight w:val="219"/>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Real estate securities fund</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16.3</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213"/>
        </w:trPr>
        <w:tc>
          <w:tcPr>
            <w:tcW w:w="4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Cash equivalents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0.5</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0.5</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nuclear decommissioning trust</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387.6</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318.7</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r>
      <w:tr>
        <w:trPr>
          <w:trHeight w:val="193"/>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Rabbi trust</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9"/>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Fixed income funds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14.6</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14.6</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funds</w:t>
            </w:r>
          </w:p>
        </w:tc>
        <w:tc>
          <w:tcPr>
            <w:tcW w:w="16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7.0</w:t>
            </w:r>
          </w:p>
        </w:tc>
        <w:tc>
          <w:tcPr>
            <w:tcW w:w="2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w:t>
            </w:r>
          </w:p>
        </w:tc>
        <w:tc>
          <w:tcPr>
            <w:tcW w:w="26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Combination debt/equity/other fund</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Cash equivalents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0.2</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rabbi trust</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23.5</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23.5</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160" w:type="dxa"/>
            <w:vAlign w:val="bottom"/>
          </w:tcPr>
          <w:p>
            <w:pPr>
              <w:ind w:left="140"/>
              <w:spacing w:after="0" w:line="19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Power</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37.0</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36.4</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1.6</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0.8</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25.2</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6.1</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derivative assets</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37.8</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41.1</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42.5</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1.6</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448.9</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383.3</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42.5</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1.6</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w:t>
            </w:r>
          </w:p>
        </w:tc>
      </w:tr>
      <w:tr>
        <w:trPr>
          <w:trHeight w:val="19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41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39.9</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40.0</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1.6</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3.4</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27.7</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6.2</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43.3</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35.8</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46.2</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1.6</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1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43.3</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46.2</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1.6</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Evergy Metro</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416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3"/>
        </w:trPr>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340.6</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340.6</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Debt securities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3"/>
        </w:trPr>
        <w:tc>
          <w:tcPr>
            <w:tcW w:w="4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U.S. Treasury</w:t>
            </w:r>
          </w:p>
        </w:tc>
        <w:tc>
          <w:tcPr>
            <w:tcW w:w="16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47.0</w:t>
            </w:r>
          </w:p>
        </w:tc>
        <w:tc>
          <w:tcPr>
            <w:tcW w:w="2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47.0</w:t>
            </w:r>
          </w:p>
        </w:tc>
        <w:tc>
          <w:tcPr>
            <w:tcW w:w="26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State and local obligations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2.2</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Corporate bonds</w:t>
            </w:r>
          </w:p>
        </w:tc>
        <w:tc>
          <w:tcPr>
            <w:tcW w:w="16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46.8</w:t>
            </w:r>
          </w:p>
        </w:tc>
        <w:tc>
          <w:tcPr>
            <w:tcW w:w="2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46.8</w:t>
            </w:r>
          </w:p>
        </w:tc>
        <w:tc>
          <w:tcPr>
            <w:tcW w:w="3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governments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0.1</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Cash equivalents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3.4</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3.4</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nuclear decommissioning trust</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440.1</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391.0</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49.1</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160" w:type="dxa"/>
            <w:vAlign w:val="bottom"/>
          </w:tcPr>
          <w:p>
            <w:pPr>
              <w:ind w:left="140"/>
              <w:spacing w:after="0" w:line="196" w:lineRule="exact"/>
              <w:rPr>
                <w:sz w:val="20"/>
                <w:szCs w:val="20"/>
                <w:color w:val="auto"/>
              </w:rPr>
            </w:pPr>
            <w:r>
              <w:rPr>
                <w:rFonts w:ascii="Times New Roman" w:cs="Times New Roman" w:eastAsia="Times New Roman" w:hAnsi="Times New Roman"/>
                <w:sz w:val="16"/>
                <w:szCs w:val="16"/>
                <w:color w:val="auto"/>
              </w:rPr>
              <w:t>Self-insured health plan trust</w:t>
            </w:r>
            <w:r>
              <w:rPr>
                <w:rFonts w:ascii="Times New Roman" w:cs="Times New Roman" w:eastAsia="Times New Roman" w:hAnsi="Times New Roman"/>
                <w:sz w:val="21"/>
                <w:szCs w:val="21"/>
                <w:color w:val="auto"/>
                <w:vertAlign w:val="superscript"/>
              </w:rPr>
              <w:t>(c)</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securities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Debt securities</w:t>
            </w:r>
          </w:p>
        </w:tc>
        <w:tc>
          <w:tcPr>
            <w:tcW w:w="16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11.4</w:t>
            </w:r>
          </w:p>
        </w:tc>
        <w:tc>
          <w:tcPr>
            <w:tcW w:w="2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w:t>
            </w:r>
          </w:p>
        </w:tc>
        <w:tc>
          <w:tcPr>
            <w:tcW w:w="26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8.8</w:t>
            </w:r>
          </w:p>
        </w:tc>
        <w:tc>
          <w:tcPr>
            <w:tcW w:w="3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3.3</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1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self-insured health plan trust</w:t>
            </w: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16.9</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8.1</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8.8</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160" w:type="dxa"/>
            <w:vAlign w:val="bottom"/>
            <w:shd w:val="clear" w:color="auto" w:fill="CCEEFF"/>
          </w:tcPr>
          <w:p>
            <w:pPr>
              <w:ind w:left="140"/>
              <w:spacing w:after="0" w:line="19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3"/>
        </w:trPr>
        <w:tc>
          <w:tcPr>
            <w:tcW w:w="4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Power</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5.6</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6.6</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derivative assets</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5.6</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6.6</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462.6</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399.1</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57.9</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6.6</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41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1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1.0</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8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3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2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NAV</w:t>
            </w:r>
          </w:p>
        </w:tc>
      </w:tr>
      <w:tr>
        <w:trPr>
          <w:trHeight w:val="208"/>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Evergy</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4"/>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4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Rabbi trusts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19"/>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Core bond fund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8.5</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1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rabbi trusts</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8.5</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8.5</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140" w:type="dxa"/>
            <w:vAlign w:val="bottom"/>
            <w:shd w:val="clear" w:color="auto" w:fill="CCEEFF"/>
          </w:tcPr>
          <w:p>
            <w:pPr>
              <w:ind w:left="140"/>
              <w:spacing w:after="0" w:line="19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3"/>
        </w:trPr>
        <w:tc>
          <w:tcPr>
            <w:tcW w:w="4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2.9</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3.7</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derivative assets</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2.9</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3.7</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11.4</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8.5</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3.7</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41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0.8</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1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0.8</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1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0.8</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Evergy</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8"/>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1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827.7</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709.7</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49.1</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w:t>
            </w:r>
          </w:p>
        </w:tc>
      </w:tr>
      <w:tr>
        <w:trPr>
          <w:trHeight w:val="216"/>
        </w:trPr>
        <w:tc>
          <w:tcPr>
            <w:tcW w:w="4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Rabbi trusts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32.0</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32.0</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1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Self-insured health plan trust</w:t>
            </w:r>
            <w:r>
              <w:rPr>
                <w:rFonts w:ascii="Times New Roman" w:cs="Times New Roman" w:eastAsia="Times New Roman" w:hAnsi="Times New Roman"/>
                <w:sz w:val="21"/>
                <w:szCs w:val="21"/>
                <w:color w:val="auto"/>
                <w:vertAlign w:val="superscript"/>
              </w:rPr>
              <w:t>(c)</w:t>
            </w:r>
          </w:p>
        </w:tc>
        <w:tc>
          <w:tcPr>
            <w:tcW w:w="18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16.9</w:t>
            </w:r>
          </w:p>
        </w:tc>
        <w:tc>
          <w:tcPr>
            <w:tcW w:w="30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w:t>
            </w:r>
          </w:p>
        </w:tc>
        <w:tc>
          <w:tcPr>
            <w:tcW w:w="26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8.8</w:t>
            </w:r>
          </w:p>
        </w:tc>
        <w:tc>
          <w:tcPr>
            <w:tcW w:w="3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14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3"/>
        </w:trPr>
        <w:tc>
          <w:tcPr>
            <w:tcW w:w="4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18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45.5</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15.9</w:t>
            </w:r>
          </w:p>
        </w:tc>
        <w:tc>
          <w:tcPr>
            <w:tcW w:w="26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36.4</w:t>
            </w:r>
          </w:p>
        </w:tc>
        <w:tc>
          <w:tcPr>
            <w:tcW w:w="3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11.9</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0.8</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25.2</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6.1</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1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derivative assets</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46.3</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41.1</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42.5</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11.9</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922.9</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790.9</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100.4</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11.9</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r>
      <w:tr>
        <w:trPr>
          <w:trHeight w:val="193"/>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9"/>
        </w:trPr>
        <w:tc>
          <w:tcPr>
            <w:tcW w:w="41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3"/>
        </w:trPr>
        <w:tc>
          <w:tcPr>
            <w:tcW w:w="4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18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39.9</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w:t>
            </w:r>
          </w:p>
        </w:tc>
        <w:tc>
          <w:tcPr>
            <w:tcW w:w="26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40.0</w:t>
            </w:r>
          </w:p>
        </w:tc>
        <w:tc>
          <w:tcPr>
            <w:tcW w:w="3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3.4</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3.4</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27.7</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6.2</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1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43.3</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35.8</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46.2</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3.4</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1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43.3</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46.2</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3.4</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240" w:type="dxa"/>
            <w:vAlign w:val="bottom"/>
            <w:tcBorders>
              <w:top w:val="single" w:sz="8" w:color="auto"/>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NAV</w:t>
            </w:r>
          </w:p>
        </w:tc>
      </w:tr>
      <w:tr>
        <w:trPr>
          <w:trHeight w:val="208"/>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Evergy Kansas Central</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(millions)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4"/>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2"/>
        </w:trPr>
        <w:tc>
          <w:tcPr>
            <w:tcW w:w="4040" w:type="dxa"/>
            <w:vAlign w:val="bottom"/>
          </w:tcPr>
          <w:p>
            <w:pPr>
              <w:ind w:left="140"/>
              <w:spacing w:after="0" w:line="222" w:lineRule="exact"/>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6"/>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Domestic equity funds</w:t>
            </w:r>
          </w:p>
        </w:tc>
        <w:tc>
          <w:tcPr>
            <w:tcW w:w="132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133.1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123.3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International equity funds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72.6</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72.6</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Core bond fund</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56.2</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56.2</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High-yield bond fund</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29.1</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29.1</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Emerging markets bond fund</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18.3</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18.3</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Alternative investments fund</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37.9</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 estate securities fund</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17.2</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13"/>
        </w:trPr>
        <w:tc>
          <w:tcPr>
            <w:tcW w:w="4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Cash equivalents</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0.7</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0.7</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nuclear decommissioning trust</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365.1</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300.2</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r>
      <w:tr>
        <w:trPr>
          <w:trHeight w:val="19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Rabbi trust</w:t>
            </w: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Fixed income funds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15.2</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15.2</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funds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7.4</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7.4</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Combination debt/equity/other fund</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Cash equivalents</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rabbi trust</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24.5</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24.5</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040" w:type="dxa"/>
            <w:vAlign w:val="bottom"/>
          </w:tcPr>
          <w:p>
            <w:pPr>
              <w:ind w:left="140"/>
              <w:spacing w:after="0" w:line="19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40.2</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(13.8)</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16.3</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32.2</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5.5</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0.7</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(73.4)</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72.7</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derivative assets</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40.9</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(87.2)</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89.0</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33.6</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5.5</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9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430.5</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(87.2)</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413.7</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33.6</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5.5</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w:t>
            </w:r>
          </w:p>
        </w:tc>
      </w:tr>
      <w:tr>
        <w:trPr>
          <w:trHeight w:val="19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40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40.3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9.4</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34.6</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3.2</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0.4</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(73.4)</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72.6</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40.7</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(80.3)</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82.0</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35.8</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3.2</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9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40.7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(80.3)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82.0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35.8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Evergy Metro</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40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Equity securities</w:t>
            </w:r>
          </w:p>
        </w:tc>
        <w:tc>
          <w:tcPr>
            <w:tcW w:w="13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302.4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302.4</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Debt securities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U.S. Treasury</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47.9</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47.9</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State and local obligations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3.8</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Corporate bonds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43.9</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43.9</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governments</w:t>
            </w: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Cash equivalents</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3.2</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3.2</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nuclear decommissioning trust</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401.3</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353.5</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47.8</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040" w:type="dxa"/>
            <w:vAlign w:val="bottom"/>
          </w:tcPr>
          <w:p>
            <w:pPr>
              <w:ind w:left="140"/>
              <w:spacing w:after="0" w:line="196" w:lineRule="exact"/>
              <w:rPr>
                <w:sz w:val="20"/>
                <w:szCs w:val="20"/>
                <w:color w:val="auto"/>
              </w:rPr>
            </w:pPr>
            <w:r>
              <w:rPr>
                <w:rFonts w:ascii="Times New Roman" w:cs="Times New Roman" w:eastAsia="Times New Roman" w:hAnsi="Times New Roman"/>
                <w:sz w:val="16"/>
                <w:szCs w:val="16"/>
                <w:color w:val="auto"/>
              </w:rPr>
              <w:t>Self-insured health plan trust</w:t>
            </w:r>
            <w:r>
              <w:rPr>
                <w:rFonts w:ascii="Times New Roman" w:cs="Times New Roman" w:eastAsia="Times New Roman" w:hAnsi="Times New Roman"/>
                <w:sz w:val="21"/>
                <w:szCs w:val="21"/>
                <w:color w:val="auto"/>
                <w:vertAlign w:val="superscript"/>
              </w:rPr>
              <w:t>(c)</w:t>
            </w: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Equity securities</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2.0</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Debt securities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9.4</w:t>
            </w:r>
          </w:p>
        </w:tc>
        <w:tc>
          <w:tcPr>
            <w:tcW w:w="2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6.9</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4.3</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4.3</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self-insured health plan trust</w:t>
            </w:r>
          </w:p>
        </w:tc>
        <w:tc>
          <w:tcPr>
            <w:tcW w:w="9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15.7</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8.8</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6.9</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040" w:type="dxa"/>
            <w:vAlign w:val="bottom"/>
            <w:shd w:val="clear" w:color="auto" w:fill="CCEEFF"/>
          </w:tcPr>
          <w:p>
            <w:pPr>
              <w:ind w:left="140"/>
              <w:spacing w:after="0" w:line="19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3"/>
        </w:trPr>
        <w:tc>
          <w:tcPr>
            <w:tcW w:w="4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derivative assets</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9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417.0</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362.3</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54.7</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2.1</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40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3.6</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5.7</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9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3.6</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5.7</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9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220" w:type="dxa"/>
            <w:vAlign w:val="bottom"/>
            <w:tcBorders>
              <w:top w:val="single" w:sz="8" w:color="auto"/>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Netting</w:t>
            </w: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NAV</w:t>
            </w:r>
          </w:p>
        </w:tc>
      </w:tr>
      <w:tr>
        <w:trPr>
          <w:trHeight w:val="208"/>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Evergy</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(millions)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4"/>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4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Rabbi trusts</w:t>
            </w: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9"/>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Core bond fund</w:t>
            </w:r>
          </w:p>
        </w:tc>
        <w:tc>
          <w:tcPr>
            <w:tcW w:w="132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rabbi trusts</w:t>
            </w:r>
          </w:p>
        </w:tc>
        <w:tc>
          <w:tcPr>
            <w:tcW w:w="92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8.8</w:t>
            </w: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8.8</w:t>
            </w:r>
          </w:p>
        </w:tc>
        <w:tc>
          <w:tcPr>
            <w:tcW w:w="2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040" w:type="dxa"/>
            <w:vAlign w:val="bottom"/>
            <w:shd w:val="clear" w:color="auto" w:fill="CCEEFF"/>
          </w:tcPr>
          <w:p>
            <w:pPr>
              <w:ind w:left="140"/>
              <w:spacing w:after="0" w:line="199"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30"/>
        </w:trPr>
        <w:tc>
          <w:tcPr>
            <w:tcW w:w="4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Power</w:t>
            </w:r>
          </w:p>
        </w:tc>
        <w:tc>
          <w:tcPr>
            <w:tcW w:w="9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2.8</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derivative assets</w:t>
            </w:r>
          </w:p>
        </w:tc>
        <w:tc>
          <w:tcPr>
            <w:tcW w:w="9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2.8</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9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10.6</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8.8</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2.8</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40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9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9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Evergy</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40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132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766.4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653.7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47.8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r>
      <w:tr>
        <w:trPr>
          <w:trHeight w:val="213"/>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Rabbi trusts</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33.3</w:t>
            </w:r>
          </w:p>
        </w:tc>
        <w:tc>
          <w:tcPr>
            <w:tcW w:w="22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33.3</w:t>
            </w:r>
          </w:p>
        </w:tc>
        <w:tc>
          <w:tcPr>
            <w:tcW w:w="24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4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Self-insured health plan trust</w:t>
            </w:r>
            <w:r>
              <w:rPr>
                <w:rFonts w:ascii="Times New Roman" w:cs="Times New Roman" w:eastAsia="Times New Roman" w:hAnsi="Times New Roman"/>
                <w:sz w:val="21"/>
                <w:szCs w:val="21"/>
                <w:color w:val="auto"/>
                <w:vertAlign w:val="superscript"/>
              </w:rPr>
              <w:t>(c)</w:t>
            </w: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15.7</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8.8</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6.9</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0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42.0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16.3</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32.2</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10.4</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9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0.7</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(73.4)</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72.7</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derivative assets</w:t>
            </w:r>
          </w:p>
        </w:tc>
        <w:tc>
          <w:tcPr>
            <w:tcW w:w="9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42.7</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(90.3)</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89.0</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33.6</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10.4</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9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858.1</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(90.3)</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784.8</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88.3</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10.4</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w:t>
            </w:r>
          </w:p>
        </w:tc>
      </w:tr>
      <w:tr>
        <w:trPr>
          <w:trHeight w:val="19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404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Derivative instruments - commodity contracts</w:t>
            </w:r>
            <w:r>
              <w:rPr>
                <w:rFonts w:ascii="Times New Roman" w:cs="Times New Roman" w:eastAsia="Times New Roman" w:hAnsi="Times New Roman"/>
                <w:sz w:val="21"/>
                <w:szCs w:val="21"/>
                <w:color w:val="auto"/>
                <w:vertAlign w:val="superscript"/>
              </w:rPr>
              <w:t>(b)</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4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Power</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43.9</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9.4</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34.6</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9.9</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Natural gas</w:t>
            </w:r>
          </w:p>
        </w:tc>
        <w:tc>
          <w:tcPr>
            <w:tcW w:w="9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(73.4)</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72.6</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0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9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45.4</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(83.4)</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82.0</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36.9</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9.9</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45.4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(83.4)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82.0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36.9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58" w:lineRule="exact"/>
        <w:rPr>
          <w:sz w:val="20"/>
          <w:szCs w:val="20"/>
          <w:color w:val="auto"/>
        </w:rPr>
      </w:pPr>
    </w:p>
    <w:p>
      <w:pPr>
        <w:ind w:left="160" w:hanging="152"/>
        <w:spacing w:after="0"/>
        <w:tabs>
          <w:tab w:leader="none" w:pos="160"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With the exception of investments measured at NAV, fair value is based on quoted market prices of the investments held by the trust and/or valuation models.</w:t>
      </w:r>
    </w:p>
    <w:p>
      <w:pPr>
        <w:ind w:left="180" w:right="20" w:hanging="172"/>
        <w:spacing w:after="0" w:line="249" w:lineRule="auto"/>
        <w:tabs>
          <w:tab w:leader="none" w:pos="168"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Derivative instruments classified as Level 1 consist of exchange-traded derivative instruments with fair value based on quoted market prices. Derivative instruments classified as Level 2 consist of non-exchange traded derivative instruments with observable forward curves and option contracts priced with models using observable inputs. Derivative instruments classified as Level 3 consist of non-exchange traded derivative instruments for which observable market data is not available to corroborate the valuation inputs and TCRs valued at the most recent auction price in the SPP Integrated Marketplace.</w:t>
      </w:r>
    </w:p>
    <w:p>
      <w:pPr>
        <w:spacing w:after="0" w:line="3" w:lineRule="exact"/>
        <w:rPr>
          <w:rFonts w:ascii="Times New Roman" w:cs="Times New Roman" w:eastAsia="Times New Roman" w:hAnsi="Times New Roman"/>
          <w:sz w:val="20"/>
          <w:szCs w:val="20"/>
          <w:color w:val="auto"/>
          <w:vertAlign w:val="superscript"/>
        </w:rPr>
      </w:pPr>
    </w:p>
    <w:p>
      <w:pPr>
        <w:ind w:left="180" w:right="420" w:hanging="172"/>
        <w:spacing w:after="0" w:line="225" w:lineRule="auto"/>
        <w:tabs>
          <w:tab w:leader="none" w:pos="175"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Fair value is based on quoted market prices of the investments held by the trust. Debt securities classified as Level 1 are comprised of U.S. Treasury securities. Debt securities classified as Level 2 are comprised of corporate bonds, U.S. Agency, state and local obligations, and other asset-backed securities.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20"/>
          <w:szCs w:val="20"/>
          <w:color w:val="auto"/>
        </w:rPr>
        <w:t>Certain Evergy and Evergy Kansas Central investments included in the table above are measured at NAV as they do not have readily determinable fair values. In certain situations, these investments may have redemption restrictions. The following table provides additional information on these Evergy and Evergy Kansas Central investments.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04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2460" w:type="dxa"/>
            <w:vAlign w:val="bottom"/>
            <w:tcBorders>
              <w:top w:val="single" w:sz="8" w:color="auto"/>
              <w:bottom w:val="single" w:sz="8" w:color="auto"/>
            </w:tcBorders>
            <w:gridSpan w:val="3"/>
          </w:tcPr>
          <w:p>
            <w:pPr>
              <w:jc w:val="right"/>
              <w:ind w:right="731"/>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380" w:type="dxa"/>
            <w:vAlign w:val="bottom"/>
            <w:tcBorders>
              <w:top w:val="single" w:sz="8" w:color="auto"/>
              <w:bottom w:val="single" w:sz="8" w:color="auto"/>
            </w:tcBorders>
          </w:tcPr>
          <w:p>
            <w:pPr>
              <w:spacing w:after="0"/>
              <w:rPr>
                <w:sz w:val="22"/>
                <w:szCs w:val="22"/>
                <w:color w:val="auto"/>
              </w:rPr>
            </w:pPr>
          </w:p>
        </w:tc>
        <w:tc>
          <w:tcPr>
            <w:tcW w:w="2340" w:type="dxa"/>
            <w:vAlign w:val="bottom"/>
            <w:tcBorders>
              <w:top w:val="single" w:sz="8" w:color="auto"/>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820" w:type="dxa"/>
            <w:vAlign w:val="bottom"/>
            <w:tcBorders>
              <w:top w:val="single" w:sz="8" w:color="auto"/>
              <w:bottom w:val="single" w:sz="8" w:color="auto"/>
            </w:tcBorders>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14"/>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w:t>
            </w:r>
          </w:p>
        </w:tc>
        <w:tc>
          <w:tcPr>
            <w:tcW w:w="260" w:type="dxa"/>
            <w:vAlign w:val="bottom"/>
          </w:tcPr>
          <w:p>
            <w:pPr>
              <w:spacing w:after="0"/>
              <w:rPr>
                <w:sz w:val="18"/>
                <w:szCs w:val="18"/>
                <w:color w:val="auto"/>
              </w:rPr>
            </w:pPr>
          </w:p>
        </w:tc>
        <w:tc>
          <w:tcPr>
            <w:tcW w:w="136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380" w:type="dxa"/>
            <w:vAlign w:val="bottom"/>
          </w:tcPr>
          <w:p>
            <w:pPr>
              <w:spacing w:after="0"/>
              <w:rPr>
                <w:sz w:val="18"/>
                <w:szCs w:val="18"/>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w:t>
            </w:r>
          </w:p>
        </w:tc>
        <w:tc>
          <w:tcPr>
            <w:tcW w:w="240" w:type="dxa"/>
            <w:vAlign w:val="bottom"/>
          </w:tcPr>
          <w:p>
            <w:pPr>
              <w:spacing w:after="0"/>
              <w:rPr>
                <w:sz w:val="18"/>
                <w:szCs w:val="18"/>
                <w:color w:val="auto"/>
              </w:rPr>
            </w:pPr>
          </w:p>
        </w:tc>
        <w:tc>
          <w:tcPr>
            <w:tcW w:w="13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Length of</w:t>
            </w:r>
          </w:p>
        </w:tc>
      </w:tr>
      <w:tr>
        <w:trPr>
          <w:trHeight w:val="238"/>
        </w:trPr>
        <w:tc>
          <w:tcPr>
            <w:tcW w:w="3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Frequency</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r>
      <w:tr>
        <w:trPr>
          <w:trHeight w:val="218"/>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9"/>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Domestic equity funds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w:t>
            </w:r>
          </w:p>
        </w:tc>
      </w:tr>
      <w:tr>
        <w:trPr>
          <w:trHeight w:val="229"/>
        </w:trPr>
        <w:tc>
          <w:tcPr>
            <w:tcW w:w="3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Alternative investments fund</w:t>
            </w:r>
            <w:r>
              <w:rPr>
                <w:rFonts w:ascii="Times New Roman" w:cs="Times New Roman" w:eastAsia="Times New Roman" w:hAnsi="Times New Roman"/>
                <w:sz w:val="10"/>
                <w:szCs w:val="10"/>
                <w:color w:val="auto"/>
              </w:rPr>
              <w:t>(b)</w:t>
            </w:r>
          </w:p>
        </w:tc>
        <w:tc>
          <w:tcPr>
            <w:tcW w:w="2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42.9</w:t>
            </w:r>
          </w:p>
        </w:tc>
        <w:tc>
          <w:tcPr>
            <w:tcW w:w="26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37.9</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Quarterly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 days</w:t>
            </w:r>
          </w:p>
        </w:tc>
      </w:tr>
      <w:tr>
        <w:trPr>
          <w:trHeight w:val="230"/>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 estate securities fund</w:t>
            </w:r>
            <w:r>
              <w:rPr>
                <w:rFonts w:ascii="Times New Roman" w:cs="Times New Roman" w:eastAsia="Times New Roman" w:hAnsi="Times New Roman"/>
                <w:sz w:val="10"/>
                <w:szCs w:val="10"/>
                <w:color w:val="auto"/>
              </w:rPr>
              <w:t>(b)</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Quarterly</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 days</w:t>
            </w:r>
          </w:p>
        </w:tc>
      </w:tr>
      <w:tr>
        <w:trPr>
          <w:trHeight w:val="230"/>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Evergy investments at NAV</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64.9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5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bl>
    <w:p>
      <w:pPr>
        <w:spacing w:after="0" w:line="67" w:lineRule="exact"/>
        <w:rPr>
          <w:sz w:val="20"/>
          <w:szCs w:val="20"/>
          <w:color w:val="auto"/>
        </w:rPr>
      </w:pPr>
    </w:p>
    <w:p>
      <w:pPr>
        <w:ind w:left="180" w:right="560" w:hanging="172"/>
        <w:spacing w:after="0" w:line="230" w:lineRule="auto"/>
        <w:tabs>
          <w:tab w:leader="none" w:pos="175"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investment is in five long-term private equity funds that do not permit early withdrawal. Investments in these funds cannot be distributed until the underlying investments have been liquidated, which may take years from the date of initial liquidation. All funds have begun to make distributions.</w:t>
      </w:r>
    </w:p>
    <w:p>
      <w:pPr>
        <w:spacing w:after="0" w:line="1" w:lineRule="exact"/>
        <w:rPr>
          <w:rFonts w:ascii="Times New Roman" w:cs="Times New Roman" w:eastAsia="Times New Roman" w:hAnsi="Times New Roman"/>
          <w:sz w:val="21"/>
          <w:szCs w:val="21"/>
          <w:color w:val="auto"/>
          <w:vertAlign w:val="superscript"/>
        </w:rPr>
      </w:pPr>
    </w:p>
    <w:p>
      <w:pPr>
        <w:ind w:left="160" w:hanging="152"/>
        <w:spacing w:after="0" w:line="211" w:lineRule="auto"/>
        <w:tabs>
          <w:tab w:leader="none" w:pos="1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There is a holdback on final redemptions.</w:t>
      </w:r>
    </w:p>
    <w:p>
      <w:pPr>
        <w:spacing w:after="0" w:line="199"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20"/>
          <w:szCs w:val="20"/>
          <w:color w:val="auto"/>
        </w:rPr>
        <w:t>The Evergy Companies hold equity and debt investments classified as securities in various trusts including for the purposes of funding the decommissioning of Wolf Creek and for the benefit of certain retired executive officers of Evergy Kansas Central. The Evergy Companies record net realized and unrealized gains and losses on the nuclear decommissioning trusts in regulatory liabilities on their consolidated balance sheets and record net realized and unrealized gains and losses on the Evergy Companies' rabbi trusts in the consolidated statements of income and comprehensive income.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net unrealized gains (losses) for the Evergy Companies' nuclear decommissioning trusts and rabbi trusts.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32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900" w:type="dxa"/>
            <w:vAlign w:val="bottom"/>
            <w:tcBorders>
              <w:top w:val="single" w:sz="8" w:color="auto"/>
            </w:tcBorders>
          </w:tcPr>
          <w:p>
            <w:pPr>
              <w:spacing w:after="0"/>
              <w:rPr>
                <w:sz w:val="18"/>
                <w:szCs w:val="18"/>
                <w:color w:val="auto"/>
              </w:rPr>
            </w:pPr>
          </w:p>
        </w:tc>
      </w:tr>
      <w:tr>
        <w:trPr>
          <w:trHeight w:val="229"/>
        </w:trPr>
        <w:tc>
          <w:tcPr>
            <w:tcW w:w="5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Pr>
          <w:p>
            <w:pPr>
              <w:spacing w:after="0"/>
              <w:rPr>
                <w:sz w:val="19"/>
                <w:szCs w:val="19"/>
                <w:color w:val="auto"/>
              </w:rPr>
            </w:pPr>
          </w:p>
        </w:tc>
      </w:tr>
      <w:tr>
        <w:trPr>
          <w:trHeight w:val="238"/>
        </w:trPr>
        <w:tc>
          <w:tcPr>
            <w:tcW w:w="5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80" w:type="dxa"/>
            <w:vAlign w:val="bottom"/>
            <w:gridSpan w:val="2"/>
          </w:tcPr>
          <w:p>
            <w:pPr>
              <w:jc w:val="right"/>
              <w:ind w:right="50"/>
              <w:spacing w:after="0"/>
              <w:rPr>
                <w:sz w:val="20"/>
                <w:szCs w:val="20"/>
                <w:color w:val="auto"/>
              </w:rPr>
            </w:pPr>
            <w:r>
              <w:rPr>
                <w:rFonts w:ascii="Times New Roman" w:cs="Times New Roman" w:eastAsia="Times New Roman" w:hAnsi="Times New Roman"/>
                <w:sz w:val="16"/>
                <w:szCs w:val="16"/>
                <w:color w:val="auto"/>
              </w:rPr>
              <w:t>(millions)</w:t>
            </w: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 equity securities</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22.0</w:t>
            </w:r>
          </w:p>
        </w:tc>
        <w:tc>
          <w:tcPr>
            <w:tcW w:w="10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25.2</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52.3</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 debt securities</w:t>
            </w:r>
          </w:p>
        </w:tc>
        <w:tc>
          <w:tcPr>
            <w:tcW w:w="90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000" w:type="dxa"/>
            <w:vAlign w:val="bottom"/>
          </w:tcPr>
          <w:p>
            <w:pPr>
              <w:spacing w:after="0"/>
              <w:rPr>
                <w:sz w:val="19"/>
                <w:szCs w:val="19"/>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Rabbi trusts - equity securities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0.1</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21.5</w:t>
            </w:r>
          </w:p>
        </w:tc>
        <w:tc>
          <w:tcPr>
            <w:tcW w:w="10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24.0</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50.9</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 equity securities</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12.0</w:t>
            </w:r>
          </w:p>
        </w:tc>
        <w:tc>
          <w:tcPr>
            <w:tcW w:w="10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7.9</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20.5</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Rabbi trust - equity securities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0.2</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12.0</w:t>
            </w:r>
          </w:p>
        </w:tc>
        <w:tc>
          <w:tcPr>
            <w:tcW w:w="10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8.1</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21.0</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 equity securities</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10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17.3</w:t>
            </w:r>
          </w:p>
        </w:tc>
        <w:tc>
          <w:tcPr>
            <w:tcW w:w="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31.8</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 - debt securities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5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9.6</w:t>
            </w:r>
          </w:p>
        </w:tc>
        <w:tc>
          <w:tcPr>
            <w:tcW w:w="10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16.0</w:t>
            </w:r>
          </w:p>
        </w:tc>
        <w:tc>
          <w:tcPr>
            <w:tcW w:w="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30.1</w:t>
            </w:r>
          </w:p>
        </w:tc>
        <w:tc>
          <w:tcPr>
            <w:tcW w:w="5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COMMITMENTS AND CONTINGENCIES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Matters</w:t>
      </w:r>
    </w:p>
    <w:p>
      <w:pPr>
        <w:spacing w:after="0" w:line="3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Set forth below are descriptions of contingencies related to environmental matters that may impact the Evergy Companies' operations or their financial results. Management's assessment of these contingencies, which are based on federal and state statutes and regulations, and regulatory agency and judicial interpretations and actions, has evolved over time. These laws, regulations, interpretations and actions can also change, restrict or otherwise impact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20"/>
          <w:szCs w:val="20"/>
          <w:color w:val="auto"/>
        </w:rPr>
        <w:t>the Evergy Companies' operations or financial results. The failure to comply with these laws, regulations, interpretations and actions could result in the assessment of administrative, civil and criminal penalties and the imposition of remedial requirements. The Evergy Companies believe that all their operations are in substantial compliance with current federal, state and local environmental standards.</w:t>
      </w:r>
    </w:p>
    <w:p>
      <w:pPr>
        <w:spacing w:after="0" w:line="18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9"/>
          <w:szCs w:val="19"/>
          <w:color w:val="auto"/>
        </w:rPr>
        <w:t>There are a variety of final and proposed laws and regulations that could have a material adverse effect on the Evergy Companies' operations and consolidated financial results. Due in part to the complex nature of environmental laws and regulations, the Evergy Companies are unable to assess the impact of potential changes that may develop with respect to the environmental contingencies described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Mercury and Air Toxics Standards (MATS)</w:t>
      </w:r>
    </w:p>
    <w:p>
      <w:pPr>
        <w:spacing w:after="0" w:line="26"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In April 2024, the EPA finalized a rule to tighten certain aspects of the MATS rule. The EPA is lowering the emission limit for particulate matter (PM), requiring the use of PM continuous emissions monitors (CEMS) and lowering the mercury emission limit for lignite coal-fired electric generating units (EGUs). The Evergy Companies' cost to comply is not expected to be material.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Ozone Interstate Transport State Implementation Plans (ITSIP)</w:t>
      </w:r>
    </w:p>
    <w:p>
      <w:pPr>
        <w:spacing w:after="0" w:line="3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In 2015, the EPA lowered the Ozone National Ambient Air Quality Standards (NAAQS) from 75 ppb to 70 ppb. Impacted states were required to submit ITSIPs in 2018 to comply with the "Good Neighbor Provision" of the Clean Air Act (CAA). The EPA did not act on these ITSIP submissions by the deadline established in the CAA and entered consent decrees establishing deadlines to take final action on various ITSIPs. In February 2022, the EPA published a proposed rule to disapprove the ITSIPs submitted by nineteen states including Missouri and Oklahoma. In April 2022, the EPA published a final approval of the Kansas ITSIP in the Federal Register. The Missouri Department of Natural Resources (MDNR) submitted a supplemental ITSIP to the EPA in November 2022. In February 2023, the EPA published a final rule disapproving the ITSIPs submitted by nineteen states, including the final disapproval of the Missouri and Oklahoma ITSIPs. In April 2023, the Attorneys General of Missouri and Oklahoma filed Petitions for Review in the U.S. Court of Appeals for the Eighth Circuit (Eighth Circuit) and the U.S. Court of Appeals for the Tenth Circuit (Tenth Circuit), respectively, challenging the EPA's disapproval. In May 2023, the Eighth Circuit granted a stay of the EPA's disapproval of the Missouri ITSIP. Similarly, in July 2023, the Tenth Circuit granted a stay of the EPA's disapproval of the Oklahoma ITSIP. In July 2024, the EPA signed a proposed rule to disapprove the supplemental ITSIP that Missouri submitted in November 2022. Due to uncertainty regarding the stays of the EPA's disapprovals of the Missouri and Oklahoma ITSIPs, the Evergy Companies are unable to accurately assess the impact on their operations or consolidated financial results, but the cost to comply could be material. In January 2024, the EPA proposed to disapprove the ITSIP for Kansas and four other states. The Kansas ITSIP was previously approved in April 2022. The impact of the EPA's disapproval of the Kansas ITSIP could have a material impact on the Evergy Companies'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Ozone Interstate Transport Federal Implementation Plans (ITFIP)</w:t>
      </w:r>
    </w:p>
    <w:p>
      <w:pPr>
        <w:spacing w:after="0" w:line="32"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9"/>
          <w:szCs w:val="19"/>
          <w:color w:val="auto"/>
        </w:rPr>
        <w:t>In April 2022, the EPA published in the Federal Register the proposed ITFIP to resolve outstanding "Good Neighbor" obligations with respect to the 2015 Ozone NAAQS for twenty-six states including Missouri and Oklahoma. This ITFIP would establish a revised Cross-State Air Pollution Rule (CSAPR) ozone season nitrogen oxide (NOx) emissions trading program for EGUs beginning in 2023 and would limit ozone season NOx emissions from certain industrial stationary sources beginning in 2026. The proposed rule would also establish a new daily backstop NOx emissions rate limit for applicable coal-fired units larger than 100 MW, as well as unit-specific NOx emission rate limits for certain industrial emission units and would feature "dynamic" adjustments of emission budgets for EGUs beginning with ozone season 2025. The proposed ITFIP included reductions to the state ozone season NOx budgets for Missouri and Oklahoma beginning in 2023 with additional reductions in future years. The Evergy Companies provided formal comments as part of the rulemaking process. In March 2023, the EPA issued the final ITFIPs for twenty-three states, including Missouri and Oklahoma, which included reduced ozone season NOx budgets for EGUs in Missouri, Oklahoma and other states, and included other features and requirements that were in the proposed version of the rule. Because the EPA's authority to impose an ITFIP for a state is triggered by the state's failure to submit an ITSIP addressing NAAQS by the statutory deadline or disapproval of an ITSIP, the EPA lacks authority under the Clean Air Act to impose an ITFIP on a state for which state implementation plan (SIP) disapprovals have been stayed by the courts. Accordingly, the EPA issued interim final rules staying the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effectiveness of the ITFIP in both Missouri and Oklahoma while the stays issued by the Eighth and Tenth Circuits in the ITSIP disapproval cases remain in place. During this time, both states will continue to operate under the existing CSAPR program. While Kansas was not originally included in the ITFIP, in January 2024, the EPA issued a proposal to include Kansas in the ITFIP. If finalized, the ITFIP for Kansas would become effective for the 2025 ozone season beginning in May 2025. In June 2024, the United States Supreme Court issued an order granting emergency motions for stay filed by state and industry petitioners of the final ITFIP pending further review of the ITFIP by the U.S. Court of Appeals for the D.C. Circuit (D.C. Circuit). Missouri, Kansas and Oklahoma are not named petitioners; therefore, the Evergy Companies are awaiting further guidance from the EPA regarding the status of the final ITFIP for Missouri and Oklahoma as well as the proposed ITFIP for Kansas. If the ITFIP ultimately takes effect for Missouri, Kansas and Oklahoma following the pending litigation, the impact on the Evergy Companies' operations and the cost to comply could be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Particulate Matter National Ambient Air Quality Standards</w:t>
      </w:r>
    </w:p>
    <w:p>
      <w:pPr>
        <w:spacing w:after="0" w:line="32" w:lineRule="exact"/>
        <w:rPr>
          <w:sz w:val="20"/>
          <w:szCs w:val="20"/>
          <w:color w:val="auto"/>
        </w:rPr>
      </w:pPr>
    </w:p>
    <w:p>
      <w:pPr>
        <w:ind w:right="120"/>
        <w:spacing w:after="0" w:line="216" w:lineRule="auto"/>
        <w:rPr>
          <w:sz w:val="20"/>
          <w:szCs w:val="20"/>
          <w:color w:val="auto"/>
        </w:rPr>
      </w:pPr>
      <w:r>
        <w:rPr>
          <w:rFonts w:ascii="Times New Roman" w:cs="Times New Roman" w:eastAsia="Times New Roman" w:hAnsi="Times New Roman"/>
          <w:sz w:val="19"/>
          <w:szCs w:val="19"/>
          <w:color w:val="auto"/>
        </w:rPr>
        <w:t>In March 2024, the EPA published in the Federal Register the final rule which strengthens the primary annual PM</w:t>
      </w:r>
      <w:r>
        <w:rPr>
          <w:rFonts w:ascii="Times New Roman" w:cs="Times New Roman" w:eastAsia="Times New Roman" w:hAnsi="Times New Roman"/>
          <w:sz w:val="24"/>
          <w:szCs w:val="24"/>
          <w:color w:val="auto"/>
          <w:vertAlign w:val="subscript"/>
        </w:rPr>
        <w:t>2.5</w:t>
      </w:r>
      <w:r>
        <w:rPr>
          <w:rFonts w:ascii="Times New Roman" w:cs="Times New Roman" w:eastAsia="Times New Roman" w:hAnsi="Times New Roman"/>
          <w:sz w:val="19"/>
          <w:szCs w:val="19"/>
          <w:color w:val="auto"/>
        </w:rPr>
        <w:t xml:space="preserve"> (particulate matter less than 2.5 microns in diameter) NAAQS. The EPA is lowering the primary annual PM</w:t>
      </w:r>
      <w:r>
        <w:rPr>
          <w:rFonts w:ascii="Times New Roman" w:cs="Times New Roman" w:eastAsia="Times New Roman" w:hAnsi="Times New Roman"/>
          <w:sz w:val="24"/>
          <w:szCs w:val="24"/>
          <w:color w:val="auto"/>
          <w:vertAlign w:val="subscript"/>
        </w:rPr>
        <w:t>2.5</w:t>
      </w:r>
      <w:r>
        <w:rPr>
          <w:rFonts w:ascii="Times New Roman" w:cs="Times New Roman" w:eastAsia="Times New Roman" w:hAnsi="Times New Roman"/>
          <w:sz w:val="19"/>
          <w:szCs w:val="19"/>
          <w:color w:val="auto"/>
        </w:rPr>
        <w:t xml:space="preserve"> NAAQS from 12.0 µg/m3 (micrograms per cubic meter) to 9.0 µg/m3. The final rule took effect in May 2024. The Evergy Companies are in the process of reviewing this final rule, however, due to uncertainty regarding the long-term implementation of this final rule, the Evergy Companies are unable to accurately assess the impacts on their operations or consolidated financial results, but the cost to comply with lower PM</w:t>
      </w:r>
      <w:r>
        <w:rPr>
          <w:rFonts w:ascii="Times New Roman" w:cs="Times New Roman" w:eastAsia="Times New Roman" w:hAnsi="Times New Roman"/>
          <w:sz w:val="24"/>
          <w:szCs w:val="24"/>
          <w:color w:val="auto"/>
          <w:vertAlign w:val="subscript"/>
        </w:rPr>
        <w:t>2.5</w:t>
      </w:r>
      <w:r>
        <w:rPr>
          <w:rFonts w:ascii="Times New Roman" w:cs="Times New Roman" w:eastAsia="Times New Roman" w:hAnsi="Times New Roman"/>
          <w:sz w:val="19"/>
          <w:szCs w:val="19"/>
          <w:color w:val="auto"/>
        </w:rPr>
        <w:t xml:space="preserve"> NAAQS could be material.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Regional Haze Rule</w:t>
      </w:r>
    </w:p>
    <w:p>
      <w:pPr>
        <w:spacing w:after="0" w:line="32"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color w:val="auto"/>
        </w:rPr>
        <w:t>In 1999, the EPA finalized the Regional Haze Rule which aims to restore national parks and wilderness areas to pristine conditions. The rule requires states in coordination with the EPA, the National Park Service, the U.S. Fish and Wildlife Service, the U.S. Forest Service, and other interested parties to develop and implement air quality protection plans to reduce the pollution that causes visibility impairment. There are 156 "Class I" areas across the U.S. that must be restored to pristine conditions by the year 2064. There are no Class I areas in Kansas, whereas Missouri has two: the Hercules-Glades Wilderness Area and the Mingo Wilderness Area. States must submit revisions to their Regional Haze Rule SIPs every ten years and the first round was due in 2007. For the second ten-year implementation period, the EPA issued a final rule revision in 2017 that allowed states to submit their SIP revisions by July 2021.</w:t>
      </w:r>
    </w:p>
    <w:p>
      <w:pPr>
        <w:spacing w:after="0" w:line="19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The Missouri SIP revision does not require any additional reductions from the Evergy Companies' generating units in the state. MDNR submitted the Missouri SIP revision to the EPA in August 2022, however, they failed to do so by the EPA's revised submittal deadline in August 2022. As a result, in August 2022, the EPA published "finding of failure" with respect to Missouri and fourteen other states for failing to submit their Regional Haze SIP revisions by the applicable deadline. This finding of failure established a two-year deadline for the EPA to issue a Regional Haze federal implementation plan (FIP) for each state unless the state submits and the EPA approves a revised SIP that meets all applicable requirements before the EPA issues the FIP. In July 2024, the EPA published in the Federal Register a proposal to partially approve and partially disapprove Missouri's Regional Haze SIP revision.</w:t>
      </w:r>
    </w:p>
    <w:p>
      <w:pPr>
        <w:spacing w:after="0" w:line="193"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20"/>
          <w:szCs w:val="20"/>
          <w:color w:val="auto"/>
        </w:rPr>
        <w:t>The Kansas SIP revision requested no additional emission reductions by electric utilities based on the significant reductions that were achieved during the first implementation period. The Kansas Department of Health and Environment (KDHE) submitted the Kansas SIP revision in July 2021. In January 2024, the EPA issued a proposal to disapprove the Kansas SIP revision for failing to conduct a four-factor analysis for at least two emission sources in Kansas. If a Kansas generating unit of the Evergy Companies is selected for analysis, the possibility exists that the state or the EPA, through a revised SIP or a FIP, could determine that additional operational or physical modifications are required on the generating unit to further reduce emissions.</w:t>
      </w:r>
    </w:p>
    <w:p>
      <w:pPr>
        <w:spacing w:after="0" w:line="1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20"/>
          <w:szCs w:val="20"/>
          <w:color w:val="auto"/>
        </w:rPr>
        <w:t>In June 2024, the EPA entered into a consent decree to resolve a suit filed by several environmental organizations for the EPA's nation-wide failure to take final action to approve or disapprove Regional Haze SIP revisions. If finalized, the overall costs of implementing these proposed rules could be material to the Evergy Companies.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Greenhouse Gases</w:t>
      </w:r>
    </w:p>
    <w:p>
      <w:pPr>
        <w:spacing w:after="0" w:line="32"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20"/>
          <w:szCs w:val="20"/>
          <w:color w:val="auto"/>
        </w:rPr>
        <w:t>Burning coal and other fossil fuels releases carbon dioxide (CO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20"/>
          <w:szCs w:val="20"/>
          <w:color w:val="auto"/>
        </w:rPr>
        <w:t>) and other gases referred to as greenhouse gases (GHG). Various regulations under the CAA limit CO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20"/>
          <w:szCs w:val="20"/>
          <w:color w:val="auto"/>
        </w:rPr>
        <w:t xml:space="preserve"> and other GHG emissions, and in addition, other measures are being imposed or offered by individual states, municipalities and regional agreements with the goal of reducing GHG emissions. In April 2024, the EPA finalized the GHG regulations and GHG guidelines that apply to new and existing fossil fuel fired EGUs. The final GHG regulation establishes CO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20"/>
          <w:szCs w:val="20"/>
          <w:color w:val="auto"/>
        </w:rPr>
        <w:t xml:space="preserve"> limitations on emissions from new and reconstructed stationary combustion turbines. The GHG guidelines set CO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20"/>
          <w:szCs w:val="20"/>
          <w:color w:val="auto"/>
        </w:rPr>
        <w:t xml:space="preserve"> emission limitations for existing coal, oil and gas-fired steam generating units. For new and reconstructed stationary combustion turbines, the emission limitations were developed by applying the Best System of Emission Reduction (BSER) to three distinct subcategories (low load, intermediate load and base load) taking into consideration the annual capacity factor of the stationary combustion turbine. For intermediate and base load stationary combustion turbines, BSER is assumed to be the utilization of highly efficient combustion turbine technology. Base load stationary combustion turbines are also required to consider the emissions reduction associated with the application of carbon capture and sequestration (CCS) beginning in 2032. For existing coal-fired EGUs, the emission limitations were established by applying the BSER to two subcategories (medium and long-term). For medium-term existing coal-fired units, which are units retiring between 2032 and 2038, the BSER established emission limitation is based on co-firing natural gas beginning in 2030. For units operating in 2039 and after, BSER is the application of CCS starting in 2032. In July 2024, the D.C. Circuit denied motions of stay filed by various states, industry and trade organizations; however, the D.C. Circuit has ordered expedited review of the challenges to the final regulations and guidelines.</w:t>
      </w:r>
    </w:p>
    <w:p>
      <w:pPr>
        <w:spacing w:after="0" w:line="208"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20"/>
          <w:szCs w:val="20"/>
          <w:color w:val="auto"/>
        </w:rPr>
        <w:t>The Evergy Companies are in the process of reviewing the final GHG regulation and guidelines however, due to uncertainty regarding the implementation of these final rules and ongoing judicial review, the Evergy Companies are unable to accurately assess the impacts on their operations or consolidated financial results, but the cost to comply could be material.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Water</w:t>
      </w:r>
    </w:p>
    <w:p>
      <w:pPr>
        <w:spacing w:after="0" w:line="3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0"/>
          <w:szCs w:val="20"/>
          <w:color w:val="auto"/>
        </w:rPr>
        <w:t>The Evergy Companies discharge some of the water used in generation and other operations containing substances deemed to be pollutants. In April 2024, the EPA finalized an update to the Effluent Limitation Guidelines (ELG) for steam electric power generating facilities to address the vacated limitations and prior reviews of the existing rule by the current administration. Flue Gas Desulfurization (FGD) wastewater, bottom ash transport wastewater (BATW), coal residual leachate (CRL), and legacy wastewater are addressed in the rulemaking. FGD, BATW and CRL at operating facilities are required to achieve zero liquid discharge as soon as feasible and no later than December 2029. The Evergy Companies have reviewed the modifications to limitations on FGD wastewater and bottom ash transport water and the Evergy Companies do not believe the impact to be material. The Evergy Companies are reviewing the limitations on CRL, its impact on their operations and financial results and believe the cost to comply will not be material. In June 2024, multiple legal challenges to the ELG were consolidated in the Eighth Circuit that could impact the timing or cost to comply.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of CCRs</w:t>
      </w:r>
    </w:p>
    <w:p>
      <w:pPr>
        <w:spacing w:after="0" w:line="3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In the course of operating their coal generation plants, the Evergy Companies produce CCRs, including fly ash, gypsum and bottom ash. The EPA published a rule to regulate CCRs in April 2015 that requires additional CCR handling, processing and storage equipment and closure of certain ash disposal units. In January 2022, the EPA published proposed determinations for facilities that filed closure extensions for unlined or clay-lined CCR units. These proposed determinations include various interpretations of the CCR regulations and compliance expectations that may impact all owners of CCR units. These interpretations could require modified compliance plans such as different methods of CCR unit closure. Additionally, more stringent remediation requirements for units that are in corrective action or forced to go into corrective action are possible. In April 2022, the Utility Solid Waste Activities Group (USWAG) and other interested parties filed similar petitions in the D.C. Circuit challenging the EPA's legal positions regarding the CCR rule determinations proposed in January 2022. In June 2024, the D.C. Circuit dismissed these cases for lack of jurisdiction. Additional legal challenges on issues associated with the January 2022 determinations are expected. The cost to comply with these proposed determinations by the EPA could be material.</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80"/>
        <w:spacing w:after="0" w:line="310" w:lineRule="auto"/>
        <w:rPr>
          <w:sz w:val="20"/>
          <w:szCs w:val="20"/>
          <w:color w:val="auto"/>
        </w:rPr>
      </w:pPr>
      <w:r>
        <w:rPr>
          <w:rFonts w:ascii="Times New Roman" w:cs="Times New Roman" w:eastAsia="Times New Roman" w:hAnsi="Times New Roman"/>
          <w:sz w:val="19"/>
          <w:szCs w:val="19"/>
          <w:color w:val="auto"/>
        </w:rPr>
        <w:t>In April 2024, the EPA finalized an expansion to the CCR regulations focused on legacy surface impoundments and historic placements of CCR. This regulation expands applicability of the 2015 CCR regulation to inactive landfills and beneficial use sites not previously regulated.</w:t>
      </w:r>
    </w:p>
    <w:p>
      <w:pPr>
        <w:spacing w:after="0" w:line="12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Evergy Companies have recorded AROs for their current estimates for the closure of ash disposal ponds and landfills and recorded additional ARO liabilities in the second quarter of 2024 related to the April 2024 CCR regulation. See Note 6 for additional information on AROs. The revision of these AROs may be required in the future due to information collected in the April 2024 CCR regulation's Facility Evaluation Reports (FERs), changes in existing CCR regulations, the results of groundwater monitoring of CCR units or changes in interpretation of existing CCR regulations or changes in the timing or cost to close ash disposal ponds and landfills. The revision of AROs for regulated operations has no income statement impact due to the deferral of the adjustments through a regulatory asset. If revisions to these AROs are necessary, the impact on the Evergy Companies' operations or consolidated financial results could be material.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RELATED PARTY TRANSACTIONS AND RELATIONSHIPS</w:t>
      </w:r>
    </w:p>
    <w:p>
      <w:pPr>
        <w:spacing w:after="0" w:line="125"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20"/>
          <w:szCs w:val="20"/>
          <w:color w:val="auto"/>
        </w:rPr>
        <w:t>In the normal course of business, Evergy Kansas Central, Evergy Metro and Evergy Missouri West engage in related party transactions with one another. A summary of these transactions and the amounts associated with them is provided below.</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Jointly-Owned Plants and Shared Services</w:t>
      </w:r>
    </w:p>
    <w:p>
      <w:pPr>
        <w:spacing w:after="0" w:line="3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9"/>
          <w:szCs w:val="19"/>
          <w:color w:val="auto"/>
        </w:rPr>
        <w:t>Employees of Evergy Kansas Central and Evergy Metro manage Evergy Missouri West's business and operate its facilities at cost, including Evergy Missouri West's 18% ownership interest in Evergy Metro's Iatan Nos. 1 and 2. Employees of Evergy Kansas Central manage Jeffrey Energy Center (JEC) and operate its facilities at cost, including Evergy Missouri West's 8% ownership interest in JEC. Employees of Evergy Metro manage La Cygne Station and operate its facilities at cost, including Evergy Kansas Central's 50% interest in La Cygne Station.</w:t>
      </w:r>
    </w:p>
    <w:p>
      <w:pPr>
        <w:spacing w:after="0" w:line="1"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20"/>
          <w:szCs w:val="20"/>
          <w:color w:val="auto"/>
        </w:rPr>
        <w:t>Employees of Evergy Metro and Evergy Kansas Central also provide one another with shared service support, including costs related to human resources, information technology, accounting and legal services.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operating expenses and capital costs billed for jointly-owned plants and shared services are detailed in the following table.</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484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left="10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center"/>
              <w:ind w:left="350"/>
              <w:spacing w:after="0" w:line="202" w:lineRule="exact"/>
              <w:rPr>
                <w:sz w:val="20"/>
                <w:szCs w:val="20"/>
                <w:color w:val="auto"/>
              </w:rPr>
            </w:pPr>
            <w:r>
              <w:rPr>
                <w:rFonts w:ascii="Times New Roman" w:cs="Times New Roman" w:eastAsia="Times New Roman" w:hAnsi="Times New Roman"/>
                <w:sz w:val="18"/>
                <w:szCs w:val="18"/>
                <w:b w:val="1"/>
                <w:bCs w:val="1"/>
                <w:color w:val="auto"/>
                <w:w w:val="97"/>
              </w:rPr>
              <w:t>Year to Date</w:t>
            </w:r>
          </w:p>
        </w:tc>
        <w:tc>
          <w:tcPr>
            <w:tcW w:w="860" w:type="dxa"/>
            <w:vAlign w:val="bottom"/>
            <w:tcBorders>
              <w:top w:val="single" w:sz="8" w:color="auto"/>
            </w:tcBorders>
          </w:tcPr>
          <w:p>
            <w:pPr>
              <w:spacing w:after="0"/>
              <w:rPr>
                <w:sz w:val="17"/>
                <w:szCs w:val="17"/>
                <w:color w:val="auto"/>
              </w:rPr>
            </w:pPr>
          </w:p>
        </w:tc>
      </w:tr>
      <w:tr>
        <w:trPr>
          <w:trHeight w:val="234"/>
        </w:trPr>
        <w:tc>
          <w:tcPr>
            <w:tcW w:w="48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40" w:type="dxa"/>
            <w:vAlign w:val="bottom"/>
            <w:gridSpan w:val="2"/>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7"/>
              </w:rPr>
              <w:t>June 30</w:t>
            </w:r>
          </w:p>
        </w:tc>
        <w:tc>
          <w:tcPr>
            <w:tcW w:w="860" w:type="dxa"/>
            <w:vAlign w:val="bottom"/>
          </w:tcPr>
          <w:p>
            <w:pPr>
              <w:spacing w:after="0"/>
              <w:rPr>
                <w:sz w:val="20"/>
                <w:szCs w:val="20"/>
                <w:color w:val="auto"/>
              </w:rPr>
            </w:pPr>
          </w:p>
        </w:tc>
      </w:tr>
      <w:tr>
        <w:trPr>
          <w:trHeight w:val="238"/>
        </w:trPr>
        <w:tc>
          <w:tcPr>
            <w:tcW w:w="48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4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color w:val="auto"/>
              </w:rPr>
              <w:t>(millions)</w:t>
            </w: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2"/>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Kansas Central billings to Evergy Missouri West</w:t>
            </w:r>
          </w:p>
        </w:tc>
        <w:tc>
          <w:tcPr>
            <w:tcW w:w="158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9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9.9</w:t>
            </w:r>
          </w:p>
        </w:tc>
        <w:tc>
          <w:tcPr>
            <w:tcW w:w="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5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Metro billings to Evergy Missouri West</w:t>
            </w:r>
          </w:p>
        </w:tc>
        <w:tc>
          <w:tcPr>
            <w:tcW w:w="158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31.3</w:t>
            </w:r>
          </w:p>
        </w:tc>
        <w:tc>
          <w:tcPr>
            <w:tcW w:w="960" w:type="dxa"/>
            <w:vAlign w:val="bottom"/>
          </w:tcPr>
          <w:p>
            <w:pPr>
              <w:spacing w:after="0"/>
              <w:rPr>
                <w:sz w:val="19"/>
                <w:szCs w:val="19"/>
                <w:color w:val="auto"/>
              </w:rPr>
            </w:pP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30.4</w:t>
            </w:r>
          </w:p>
        </w:tc>
        <w:tc>
          <w:tcPr>
            <w:tcW w:w="4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59.5</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Kansas Central billings to Evergy Metro</w:t>
            </w:r>
          </w:p>
        </w:tc>
        <w:tc>
          <w:tcPr>
            <w:tcW w:w="15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12.0</w:t>
            </w: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37"/>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Evergy Metro billings to Evergy Kansas Central</w:t>
            </w:r>
          </w:p>
        </w:tc>
        <w:tc>
          <w:tcPr>
            <w:tcW w:w="15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32.8</w:t>
            </w:r>
          </w:p>
        </w:tc>
        <w:tc>
          <w:tcPr>
            <w:tcW w:w="9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31.7</w:t>
            </w: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65.2</w:t>
            </w: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Related Party Net Receivables and Payables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Evergy Kansas Central's and Evergy Metro's related party net receivables and payables.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5480" w:type="dxa"/>
            <w:vAlign w:val="bottom"/>
            <w:tcBorders>
              <w:top w:val="single" w:sz="8" w:color="auto"/>
            </w:tcBorders>
          </w:tcPr>
          <w:p>
            <w:pPr>
              <w:spacing w:after="0"/>
              <w:rPr>
                <w:sz w:val="21"/>
                <w:szCs w:val="21"/>
                <w:color w:val="auto"/>
              </w:rPr>
            </w:pPr>
          </w:p>
        </w:tc>
        <w:tc>
          <w:tcPr>
            <w:tcW w:w="26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4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2620" w:type="dxa"/>
            <w:vAlign w:val="bottom"/>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360" w:type="dxa"/>
            <w:vAlign w:val="bottom"/>
          </w:tcPr>
          <w:p>
            <w:pPr>
              <w:spacing w:after="0"/>
              <w:rPr>
                <w:sz w:val="19"/>
                <w:szCs w:val="19"/>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payable to Evergy</w:t>
            </w:r>
          </w:p>
        </w:tc>
        <w:tc>
          <w:tcPr>
            <w:tcW w:w="2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(171.3)</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payable to Evergy Metro</w:t>
            </w:r>
          </w:p>
        </w:tc>
        <w:tc>
          <w:tcPr>
            <w:tcW w:w="2620" w:type="dxa"/>
            <w:vAlign w:val="bottom"/>
          </w:tcPr>
          <w:p>
            <w:pPr>
              <w:spacing w:after="0"/>
              <w:rPr>
                <w:sz w:val="19"/>
                <w:szCs w:val="19"/>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(22.4)</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receivable from Evergy Missouri West</w:t>
            </w:r>
          </w:p>
        </w:tc>
        <w:tc>
          <w:tcPr>
            <w:tcW w:w="26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17.2</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56"/>
        </w:trPr>
        <w:tc>
          <w:tcPr>
            <w:tcW w:w="548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26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receivable from Evergy</w:t>
            </w:r>
          </w:p>
        </w:tc>
        <w:tc>
          <w:tcPr>
            <w:tcW w:w="2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17.9</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receivable from Evergy Kansas Central</w:t>
            </w:r>
          </w:p>
        </w:tc>
        <w:tc>
          <w:tcPr>
            <w:tcW w:w="26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22.4</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37"/>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receivable from Evergy Missouri West</w:t>
            </w:r>
          </w:p>
        </w:tc>
        <w:tc>
          <w:tcPr>
            <w:tcW w:w="26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74.2</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Money Pool</w:t>
      </w:r>
    </w:p>
    <w:p>
      <w:pPr>
        <w:spacing w:after="0" w:line="26"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0"/>
          <w:szCs w:val="20"/>
          <w:color w:val="auto"/>
        </w:rPr>
        <w:t>Evergy Kansas Central, Evergy Metro and Evergy Missouri West are authorized to participate in the Evergy, Inc. money pool, which is an internal financing arrangement in which funds may be lent on a short-term basis between Evergy Kansas Central, Evergy Metro, Evergy Missouri West and Evergy, Inc. Evergy, Inc. can lend but not borrow under the money pool.</w:t>
      </w:r>
    </w:p>
    <w:p>
      <w:pPr>
        <w:spacing w:after="0" w:line="17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As of June 30, 2024 and December 31, 2023, Evergy Metro had no outstanding receivables or payables under the money pool. As of June 30, 2024, Evergy Kansas Central had a $157.8 million outstanding payable to Evergy, Inc. under the money pool. As of December 31, 2023, Evergy Kansas Central had a $261.4 million outstanding payable to Evergy, Inc. under the money pool.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 Allocation Agreement</w:t>
      </w:r>
    </w:p>
    <w:p>
      <w:pPr>
        <w:spacing w:after="0" w:line="32" w:lineRule="exact"/>
        <w:rPr>
          <w:sz w:val="20"/>
          <w:szCs w:val="20"/>
          <w:color w:val="auto"/>
        </w:rPr>
      </w:pPr>
    </w:p>
    <w:p>
      <w:pPr>
        <w:ind w:right="280"/>
        <w:spacing w:after="0" w:line="248" w:lineRule="auto"/>
        <w:rPr>
          <w:sz w:val="20"/>
          <w:szCs w:val="20"/>
          <w:color w:val="auto"/>
        </w:rPr>
      </w:pPr>
      <w:r>
        <w:rPr>
          <w:rFonts w:ascii="Times New Roman" w:cs="Times New Roman" w:eastAsia="Times New Roman" w:hAnsi="Times New Roman"/>
          <w:sz w:val="20"/>
          <w:szCs w:val="20"/>
          <w:color w:val="auto"/>
        </w:rPr>
        <w:t>Evergy files a consolidated federal income tax return as well as unitary and combined income tax returns in several state jurisdictions with Kansas and Missouri being the most significant. Income taxes for consolidated or combined subsidiaries are allocated to the subsidiaries based on separate company computations of income or loss. The following table summarizes Evergy Kansas Central's and Evergy Metro's income taxes receivable from (payable to) Evergy.</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740" w:type="dxa"/>
            <w:vAlign w:val="bottom"/>
            <w:tcBorders>
              <w:top w:val="single" w:sz="8" w:color="auto"/>
            </w:tcBorders>
          </w:tcPr>
          <w:p>
            <w:pPr>
              <w:spacing w:after="0"/>
              <w:rPr>
                <w:sz w:val="21"/>
                <w:szCs w:val="21"/>
                <w:color w:val="auto"/>
              </w:rPr>
            </w:pPr>
          </w:p>
        </w:tc>
        <w:tc>
          <w:tcPr>
            <w:tcW w:w="3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74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32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340" w:type="dxa"/>
            <w:vAlign w:val="bottom"/>
          </w:tcPr>
          <w:p>
            <w:pPr>
              <w:spacing w:after="0"/>
              <w:rPr>
                <w:sz w:val="19"/>
                <w:szCs w:val="19"/>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receivable from (payable to) Evergy</w:t>
            </w:r>
          </w:p>
        </w:tc>
        <w:tc>
          <w:tcPr>
            <w:tcW w:w="32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11.5</w:t>
            </w:r>
          </w:p>
        </w:tc>
      </w:tr>
      <w:tr>
        <w:trPr>
          <w:trHeight w:val="257"/>
        </w:trPr>
        <w:tc>
          <w:tcPr>
            <w:tcW w:w="574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3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taxes payable to Evergy</w:t>
            </w:r>
          </w:p>
        </w:tc>
        <w:tc>
          <w:tcPr>
            <w:tcW w:w="32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(16.5)</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(6.8)</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VARIABLE INTEREST ENTITIES</w:t>
      </w:r>
    </w:p>
    <w:p>
      <w:pPr>
        <w:spacing w:after="0" w:line="11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20"/>
          <w:szCs w:val="20"/>
          <w:color w:val="auto"/>
        </w:rPr>
        <w:t>In determining the primary beneficiary of a VIE, the Evergy Companies assess the entity's purpose and design, including the nature of the entity's activities and the risks that the entity was designed to create and pass through to its variable interest holders. A reporting enterprise is deemed to be the primary beneficiary of a VIE if it has (a) the power to direct the activities of the VIE that most significantly impact the VIE's economic performance and (b) the obligation to absorb losses or right to receive benefits from the VIE that could potentially be significant to the VIE. The primary beneficiary of a VIE is required to consolidate the VIE.</w:t>
      </w:r>
    </w:p>
    <w:p>
      <w:pPr>
        <w:spacing w:after="0" w:line="173"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20"/>
          <w:szCs w:val="20"/>
          <w:color w:val="auto"/>
        </w:rPr>
        <w:t>All involvement with entities by the Evergy Companies is assessed to determine whether such entities are VIEs and, if so, whether or not the Evergy Companies are the primary beneficiaries of the entities. The Evergy Companies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20"/>
          <w:szCs w:val="20"/>
          <w:color w:val="auto"/>
        </w:rPr>
        <w:t>also continuously assess whether they are the primary beneficiary of the VIE with which they are involved. Prospective changes in facts and circumstances may cause identification of the primary beneficiary to be reconsidered.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Missouri West Storm Funding</w:t>
      </w:r>
    </w:p>
    <w:p>
      <w:pPr>
        <w:spacing w:after="0" w:line="3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In 2022, Evergy Missouri West created Evergy Missouri West Storm Funding solely for the purpose of recovering extraordinary fuel and purchased power costs incurred as part of the February 2021 winter weather event. In February 2024, Evergy Missouri West Storm Funding issued, at a discount, $331.1 million of 5.10% Securitized Bonds with a final payment scheduled for 2038, maturing in 2040. The obligations of Evergy Missouri West Storm Funding's Securitized Bonds are repaid through charges imposed on customers in Evergy Missouri West's service territory and collected by Evergy Missouri West on behalf of Evergy Missouri West Storm Funding. Creditors of Evergy Missouri West have no recourse to any assets or revenues of Evergy Missouri West Storm Funding, and the bondholders have no recourse to the general credit of Evergy Missouri West. See Note 4 for additional information regarding the February 2021 winter weather event securitization.</w:t>
      </w:r>
    </w:p>
    <w:p>
      <w:pPr>
        <w:spacing w:after="0" w:line="19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Evergy Missouri West Storm Funding is considered a VIE. Evergy Missouri West is the primary beneficiary of the VIE primarily because, as described above, Evergy Missouri West has the power to direct the activities of Evergy Missouri West Storm Funding that most significantly impact economic performance and Evergy Missouri West has the obligation to absorb losses or the right to receive benefits from Evergy Missouri West Storm Funding that could potentially be significant. Therefore, Evergy Missouri West consolidates Evergy Missouri West Storm Funding.</w:t>
      </w:r>
    </w:p>
    <w:p>
      <w:pPr>
        <w:spacing w:after="0" w:line="192"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The following table summarizes the impact of Evergy Missouri West Storm Funding on Evergy's consolidated balance sheet as of June 30, 2024. There was no impact on Evergy's consolidated balance sheet as of December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300" w:type="dxa"/>
            <w:vAlign w:val="bottom"/>
            <w:tcBorders>
              <w:top w:val="single" w:sz="8" w:color="auto"/>
            </w:tcBorders>
          </w:tcPr>
          <w:p>
            <w:pPr>
              <w:spacing w:after="0"/>
              <w:rPr>
                <w:sz w:val="21"/>
                <w:szCs w:val="21"/>
                <w:color w:val="auto"/>
              </w:rPr>
            </w:pPr>
          </w:p>
        </w:tc>
        <w:tc>
          <w:tcPr>
            <w:tcW w:w="36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63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8"/>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600" w:type="dxa"/>
            <w:vAlign w:val="bottom"/>
          </w:tcPr>
          <w:p>
            <w:pPr>
              <w:spacing w:after="0"/>
              <w:rPr>
                <w:sz w:val="18"/>
                <w:szCs w:val="18"/>
                <w:color w:val="auto"/>
              </w:rPr>
            </w:pPr>
          </w:p>
        </w:tc>
        <w:tc>
          <w:tcPr>
            <w:tcW w:w="1340" w:type="dxa"/>
            <w:vAlign w:val="bottom"/>
          </w:tcPr>
          <w:p>
            <w:pPr>
              <w:jc w:val="center"/>
              <w:ind w:right="211"/>
              <w:spacing w:after="0"/>
              <w:rPr>
                <w:sz w:val="20"/>
                <w:szCs w:val="20"/>
                <w:color w:val="auto"/>
              </w:rPr>
            </w:pPr>
            <w:r>
              <w:rPr>
                <w:rFonts w:ascii="Times New Roman" w:cs="Times New Roman" w:eastAsia="Times New Roman" w:hAnsi="Times New Roman"/>
                <w:sz w:val="16"/>
                <w:szCs w:val="16"/>
                <w:color w:val="auto"/>
              </w:rPr>
              <w:t>(millions)</w:t>
            </w:r>
          </w:p>
        </w:tc>
      </w:tr>
      <w:tr>
        <w:trPr>
          <w:trHeight w:val="234"/>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36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0"/>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Regulatory assets</w:t>
            </w:r>
          </w:p>
        </w:tc>
        <w:tc>
          <w:tcPr>
            <w:tcW w:w="3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30"/>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6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6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Regulatory assets</w:t>
            </w:r>
          </w:p>
        </w:tc>
        <w:tc>
          <w:tcPr>
            <w:tcW w:w="36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r>
      <w:tr>
        <w:trPr>
          <w:trHeight w:val="230"/>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6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6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36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6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9"/>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interest</w:t>
            </w:r>
          </w:p>
        </w:tc>
        <w:tc>
          <w:tcPr>
            <w:tcW w:w="36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6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liabilities</w:t>
            </w:r>
          </w:p>
        </w:tc>
        <w:tc>
          <w:tcPr>
            <w:tcW w:w="36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63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Long-term debt, net</w:t>
            </w:r>
          </w:p>
        </w:tc>
        <w:tc>
          <w:tcPr>
            <w:tcW w:w="36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TAXES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Components of income tax expense are detailed in the following tables.</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Borders>
              <w:top w:val="single" w:sz="8" w:color="auto"/>
            </w:tcBorders>
          </w:tcPr>
          <w:p>
            <w:pPr>
              <w:spacing w:after="0"/>
              <w:rPr>
                <w:sz w:val="16"/>
                <w:szCs w:val="16"/>
                <w:color w:val="auto"/>
              </w:rPr>
            </w:pPr>
          </w:p>
        </w:tc>
        <w:tc>
          <w:tcPr>
            <w:tcW w:w="47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40" w:type="dxa"/>
            <w:vAlign w:val="bottom"/>
            <w:tcBorders>
              <w:top w:val="single" w:sz="8" w:color="auto"/>
            </w:tcBorders>
            <w:gridSpan w:val="3"/>
          </w:tcPr>
          <w:p>
            <w:pPr>
              <w:jc w:val="center"/>
              <w:ind w:left="351"/>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6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gridSpan w:val="2"/>
          </w:tcPr>
          <w:p>
            <w:pPr>
              <w:jc w:val="center"/>
              <w:ind w:left="490"/>
              <w:spacing w:after="0" w:line="188" w:lineRule="exact"/>
              <w:rPr>
                <w:sz w:val="20"/>
                <w:szCs w:val="20"/>
                <w:color w:val="auto"/>
              </w:rPr>
            </w:pPr>
            <w:r>
              <w:rPr>
                <w:rFonts w:ascii="Times New Roman" w:cs="Times New Roman" w:eastAsia="Times New Roman" w:hAnsi="Times New Roman"/>
                <w:sz w:val="18"/>
                <w:szCs w:val="18"/>
                <w:b w:val="1"/>
                <w:bCs w:val="1"/>
                <w:color w:val="auto"/>
                <w:w w:val="97"/>
              </w:rPr>
              <w:t>Year to Date</w:t>
            </w:r>
          </w:p>
        </w:tc>
        <w:tc>
          <w:tcPr>
            <w:tcW w:w="9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20" w:type="dxa"/>
            <w:vAlign w:val="bottom"/>
            <w:gridSpan w:val="2"/>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4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June 30</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8"/>
        </w:trPr>
        <w:tc>
          <w:tcPr>
            <w:tcW w:w="20" w:type="dxa"/>
            <w:vAlign w:val="bottom"/>
            <w:tcBorders>
              <w:bottom w:val="single" w:sz="8" w:color="auto"/>
            </w:tcBorders>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income taxes</w:t>
            </w: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(millions)</w:t>
            </w: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c>
          <w:tcPr>
            <w:tcW w:w="11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5.6</w:t>
            </w:r>
          </w:p>
        </w:tc>
        <w:tc>
          <w:tcPr>
            <w:tcW w:w="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10.9</w:t>
            </w:r>
          </w:p>
        </w:tc>
        <w:tc>
          <w:tcPr>
            <w:tcW w:w="5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9.2</w:t>
            </w:r>
          </w:p>
        </w:tc>
        <w:tc>
          <w:tcPr>
            <w:tcW w:w="1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7.2</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17.3</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4800" w:type="dxa"/>
            <w:vAlign w:val="bottom"/>
            <w:tcBorders>
              <w:bottom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9.9</w:t>
            </w:r>
          </w:p>
        </w:tc>
        <w:tc>
          <w:tcPr>
            <w:tcW w:w="1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12.8</w:t>
            </w: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28.2</w:t>
            </w: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6.7</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5.5</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(5.6)</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(14.1)</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4800" w:type="dxa"/>
            <w:vAlign w:val="bottom"/>
            <w:tcBorders>
              <w:bottom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1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w:t>
            </w: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Investment tax credit amortization</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Borders>
              <w:bottom w:val="single" w:sz="8" w:color="auto"/>
            </w:tcBorders>
          </w:tcPr>
          <w:p>
            <w:pPr>
              <w:spacing w:after="0"/>
              <w:rPr>
                <w:sz w:val="19"/>
                <w:szCs w:val="19"/>
                <w:color w:val="auto"/>
              </w:rPr>
            </w:pPr>
          </w:p>
        </w:tc>
      </w:tr>
      <w:tr>
        <w:trPr>
          <w:trHeight w:val="230"/>
        </w:trPr>
        <w:tc>
          <w:tcPr>
            <w:tcW w:w="20" w:type="dxa"/>
            <w:vAlign w:val="bottom"/>
            <w:tcBorders>
              <w:bottom w:val="single" w:sz="8" w:color="auto"/>
            </w:tcBorders>
            <w:shd w:val="clear" w:color="auto" w:fill="CCEEFF"/>
          </w:tcPr>
          <w:p>
            <w:pPr>
              <w:spacing w:after="0"/>
              <w:rPr>
                <w:sz w:val="20"/>
                <w:szCs w:val="20"/>
                <w:color w:val="auto"/>
              </w:rPr>
            </w:pPr>
          </w:p>
        </w:tc>
        <w:tc>
          <w:tcPr>
            <w:tcW w:w="4800" w:type="dxa"/>
            <w:vAlign w:val="bottom"/>
            <w:tcBorders>
              <w:bottom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7.4</w:t>
            </w:r>
          </w:p>
        </w:tc>
        <w:tc>
          <w:tcPr>
            <w:tcW w:w="11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10.8</w:t>
            </w: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14.7</w:t>
            </w: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 w:type="dxa"/>
            <w:vAlign w:val="bottom"/>
            <w:tcBorders>
              <w:bottom w:val="single" w:sz="8" w:color="auto"/>
            </w:tcBorders>
            <w:shd w:val="clear" w:color="auto" w:fill="CCEEFF"/>
          </w:tcPr>
          <w:p>
            <w:pPr>
              <w:spacing w:after="0"/>
              <w:rPr>
                <w:sz w:val="20"/>
                <w:szCs w:val="20"/>
                <w:color w:val="auto"/>
              </w:rPr>
            </w:pPr>
          </w:p>
        </w:tc>
      </w:tr>
      <w:tr>
        <w:trPr>
          <w:trHeight w:val="561"/>
        </w:trPr>
        <w:tc>
          <w:tcPr>
            <w:tcW w:w="20" w:type="dxa"/>
            <w:vAlign w:val="bottom"/>
          </w:tcPr>
          <w:p>
            <w:pPr>
              <w:spacing w:after="0"/>
              <w:rPr>
                <w:sz w:val="24"/>
                <w:szCs w:val="24"/>
                <w:color w:val="auto"/>
              </w:rPr>
            </w:pPr>
          </w:p>
        </w:tc>
        <w:tc>
          <w:tcPr>
            <w:tcW w:w="4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9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40" w:type="dxa"/>
            <w:vAlign w:val="bottom"/>
            <w:gridSpan w:val="3"/>
          </w:tcPr>
          <w:p>
            <w:pPr>
              <w:jc w:val="center"/>
              <w:ind w:left="351"/>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40" w:type="dxa"/>
            <w:vAlign w:val="bottom"/>
            <w:gridSpan w:val="2"/>
          </w:tcPr>
          <w:p>
            <w:pPr>
              <w:jc w:val="center"/>
              <w:ind w:left="490"/>
              <w:spacing w:after="0" w:line="176" w:lineRule="exact"/>
              <w:rPr>
                <w:sz w:val="20"/>
                <w:szCs w:val="20"/>
                <w:color w:val="auto"/>
              </w:rPr>
            </w:pPr>
            <w:r>
              <w:rPr>
                <w:rFonts w:ascii="Times New Roman" w:cs="Times New Roman" w:eastAsia="Times New Roman" w:hAnsi="Times New Roman"/>
                <w:sz w:val="18"/>
                <w:szCs w:val="18"/>
                <w:b w:val="1"/>
                <w:bCs w:val="1"/>
                <w:color w:val="auto"/>
                <w:w w:val="97"/>
              </w:rPr>
              <w:t>Year to Date</w:t>
            </w: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20" w:type="dxa"/>
            <w:vAlign w:val="bottom"/>
            <w:gridSpan w:val="2"/>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4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income taxes</w:t>
            </w: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(millions)</w:t>
            </w: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92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10.2</w:t>
            </w:r>
          </w:p>
        </w:tc>
        <w:tc>
          <w:tcPr>
            <w:tcW w:w="11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3.4</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14.5</w:t>
            </w:r>
          </w:p>
        </w:tc>
        <w:tc>
          <w:tcPr>
            <w:tcW w:w="5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92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c>
          <w:tcPr>
            <w:tcW w:w="1100" w:type="dxa"/>
            <w:vAlign w:val="bottom"/>
          </w:tcPr>
          <w:p>
            <w:pPr>
              <w:spacing w:after="0"/>
              <w:rPr>
                <w:sz w:val="19"/>
                <w:szCs w:val="19"/>
                <w:color w:val="auto"/>
              </w:rPr>
            </w:pPr>
          </w:p>
        </w:tc>
        <w:tc>
          <w:tcPr>
            <w:tcW w:w="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2.9</w:t>
            </w:r>
          </w:p>
        </w:tc>
        <w:tc>
          <w:tcPr>
            <w:tcW w:w="48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7.3</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CEEFF"/>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14.4</w:t>
            </w: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6.3</w:t>
            </w: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21.8</w:t>
            </w: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(0.7)</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(10.2)</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920" w:type="dxa"/>
            <w:vAlign w:val="bottom"/>
          </w:tcPr>
          <w:p>
            <w:pPr>
              <w:spacing w:after="0"/>
              <w:rPr>
                <w:sz w:val="19"/>
                <w:szCs w:val="19"/>
                <w:color w:val="auto"/>
              </w:rPr>
            </w:pP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c>
          <w:tcPr>
            <w:tcW w:w="1100" w:type="dxa"/>
            <w:vAlign w:val="bottom"/>
          </w:tcPr>
          <w:p>
            <w:pPr>
              <w:spacing w:after="0"/>
              <w:rPr>
                <w:sz w:val="19"/>
                <w:szCs w:val="19"/>
                <w:color w:val="auto"/>
              </w:rPr>
            </w:pPr>
          </w:p>
        </w:tc>
        <w:tc>
          <w:tcPr>
            <w:tcW w:w="5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w:t>
            </w:r>
          </w:p>
        </w:tc>
        <w:tc>
          <w:tcPr>
            <w:tcW w:w="48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CEEFF"/>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(10.6)</w:t>
            </w: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(2.3)</w:t>
            </w: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(14.9)</w:t>
            </w: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Investment tax credit amortization</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(0.9)</w:t>
            </w:r>
          </w:p>
        </w:tc>
        <w:tc>
          <w:tcPr>
            <w:tcW w:w="1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(0.9)</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80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920" w:type="dxa"/>
            <w:vAlign w:val="bottom"/>
            <w:tcBorders>
              <w:bottom w:val="single" w:sz="8" w:color="auto"/>
            </w:tcBorders>
            <w:shd w:val="clear" w:color="auto" w:fill="CCEEFF"/>
          </w:tcPr>
          <w:p>
            <w:pPr>
              <w:jc w:val="right"/>
              <w:ind w:right="751"/>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11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3.1</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20"/>
                <w:szCs w:val="20"/>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9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40" w:type="dxa"/>
            <w:vAlign w:val="bottom"/>
            <w:gridSpan w:val="3"/>
          </w:tcPr>
          <w:p>
            <w:pPr>
              <w:jc w:val="center"/>
              <w:ind w:left="351"/>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40" w:type="dxa"/>
            <w:vAlign w:val="bottom"/>
            <w:gridSpan w:val="2"/>
          </w:tcPr>
          <w:p>
            <w:pPr>
              <w:jc w:val="center"/>
              <w:ind w:left="490"/>
              <w:spacing w:after="0" w:line="176" w:lineRule="exact"/>
              <w:rPr>
                <w:sz w:val="20"/>
                <w:szCs w:val="20"/>
                <w:color w:val="auto"/>
              </w:rPr>
            </w:pPr>
            <w:r>
              <w:rPr>
                <w:rFonts w:ascii="Times New Roman" w:cs="Times New Roman" w:eastAsia="Times New Roman" w:hAnsi="Times New Roman"/>
                <w:sz w:val="18"/>
                <w:szCs w:val="18"/>
                <w:b w:val="1"/>
                <w:bCs w:val="1"/>
                <w:color w:val="auto"/>
                <w:w w:val="97"/>
              </w:rPr>
              <w:t>Year to Date</w:t>
            </w: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20" w:type="dxa"/>
            <w:vAlign w:val="bottom"/>
            <w:gridSpan w:val="2"/>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4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June 30</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20" w:type="dxa"/>
            <w:vAlign w:val="bottom"/>
            <w:tcBorders>
              <w:bottom w:val="single" w:sz="8" w:color="auto"/>
            </w:tcBorders>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income taxes</w:t>
            </w: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(millions)</w:t>
            </w: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c>
          <w:tcPr>
            <w:tcW w:w="11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3.3</w:t>
            </w:r>
          </w:p>
        </w:tc>
        <w:tc>
          <w:tcPr>
            <w:tcW w:w="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c>
          <w:tcPr>
            <w:tcW w:w="5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c>
          <w:tcPr>
            <w:tcW w:w="1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3.6</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7.2</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4800" w:type="dxa"/>
            <w:vAlign w:val="bottom"/>
            <w:tcBorders>
              <w:bottom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7.8</w:t>
            </w:r>
          </w:p>
        </w:tc>
        <w:tc>
          <w:tcPr>
            <w:tcW w:w="1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6.9</w:t>
            </w: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13.1</w:t>
            </w: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c>
          <w:tcPr>
            <w:tcW w:w="1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8.1</w:t>
            </w: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10.8</w:t>
            </w: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4800" w:type="dxa"/>
            <w:vAlign w:val="bottom"/>
            <w:tcBorders>
              <w:bottom w:val="single" w:sz="8" w:color="auto"/>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w:t>
            </w:r>
          </w:p>
        </w:tc>
        <w:tc>
          <w:tcPr>
            <w:tcW w:w="1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5.7</w:t>
            </w: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4.6</w:t>
            </w: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Investment tax credit amortization</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(0.9)</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bottom w:val="single" w:sz="8" w:color="auto"/>
            </w:tcBorders>
          </w:tcPr>
          <w:p>
            <w:pPr>
              <w:spacing w:after="0"/>
              <w:rPr>
                <w:sz w:val="19"/>
                <w:szCs w:val="19"/>
                <w:color w:val="auto"/>
              </w:rPr>
            </w:pPr>
          </w:p>
        </w:tc>
      </w:tr>
      <w:tr>
        <w:trPr>
          <w:trHeight w:val="230"/>
        </w:trPr>
        <w:tc>
          <w:tcPr>
            <w:tcW w:w="20" w:type="dxa"/>
            <w:vAlign w:val="bottom"/>
            <w:tcBorders>
              <w:bottom w:val="single" w:sz="8" w:color="auto"/>
            </w:tcBorders>
            <w:shd w:val="clear" w:color="auto" w:fill="CCEEFF"/>
          </w:tcPr>
          <w:p>
            <w:pPr>
              <w:spacing w:after="0"/>
              <w:rPr>
                <w:sz w:val="20"/>
                <w:szCs w:val="20"/>
                <w:color w:val="auto"/>
              </w:rPr>
            </w:pPr>
          </w:p>
        </w:tc>
        <w:tc>
          <w:tcPr>
            <w:tcW w:w="4800" w:type="dxa"/>
            <w:vAlign w:val="bottom"/>
            <w:tcBorders>
              <w:bottom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9.7</w:t>
            </w:r>
          </w:p>
        </w:tc>
        <w:tc>
          <w:tcPr>
            <w:tcW w:w="11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11.7</w:t>
            </w: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16.1</w:t>
            </w: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tcBorders>
              <w:bottom w:val="single" w:sz="8" w:color="auto"/>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Effective Income Tax Rates</w:t>
      </w:r>
    </w:p>
    <w:p>
      <w:pPr>
        <w:spacing w:after="0" w:line="32" w:lineRule="exact"/>
        <w:rPr>
          <w:sz w:val="20"/>
          <w:szCs w:val="20"/>
          <w:color w:val="auto"/>
        </w:rPr>
      </w:pPr>
    </w:p>
    <w:p>
      <w:pPr>
        <w:ind w:right="640"/>
        <w:spacing w:after="0" w:line="253" w:lineRule="auto"/>
        <w:rPr>
          <w:sz w:val="20"/>
          <w:szCs w:val="20"/>
          <w:color w:val="auto"/>
        </w:rPr>
      </w:pPr>
      <w:r>
        <w:rPr>
          <w:rFonts w:ascii="Times New Roman" w:cs="Times New Roman" w:eastAsia="Times New Roman" w:hAnsi="Times New Roman"/>
          <w:sz w:val="20"/>
          <w:szCs w:val="20"/>
          <w:color w:val="auto"/>
        </w:rPr>
        <w:t>Effective income tax rates reflected in the financial statements and the reasons for their differences from the statutory federal rates are detailed in the following tables.</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Evergy</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Borders>
              <w:top w:val="single" w:sz="8" w:color="auto"/>
            </w:tcBorders>
          </w:tcPr>
          <w:p>
            <w:pPr>
              <w:spacing w:after="0"/>
              <w:rPr>
                <w:sz w:val="15"/>
                <w:szCs w:val="15"/>
                <w:color w:val="auto"/>
              </w:rPr>
            </w:pPr>
          </w:p>
        </w:tc>
        <w:tc>
          <w:tcPr>
            <w:tcW w:w="4720" w:type="dxa"/>
            <w:vAlign w:val="bottom"/>
            <w:tcBorders>
              <w:top w:val="single" w:sz="8" w:color="auto"/>
            </w:tcBorders>
          </w:tcPr>
          <w:p>
            <w:pPr>
              <w:spacing w:after="0"/>
              <w:rPr>
                <w:sz w:val="15"/>
                <w:szCs w:val="15"/>
                <w:color w:val="auto"/>
              </w:rPr>
            </w:pPr>
          </w:p>
        </w:tc>
        <w:tc>
          <w:tcPr>
            <w:tcW w:w="3620" w:type="dxa"/>
            <w:vAlign w:val="bottom"/>
            <w:tcBorders>
              <w:top w:val="single" w:sz="8" w:color="auto"/>
            </w:tcBorders>
            <w:gridSpan w:val="2"/>
          </w:tcPr>
          <w:p>
            <w:pPr>
              <w:jc w:val="center"/>
              <w:ind w:right="50"/>
              <w:spacing w:after="0" w:line="182"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900" w:type="dxa"/>
            <w:vAlign w:val="bottom"/>
            <w:tcBorders>
              <w:top w:val="single" w:sz="8" w:color="auto"/>
            </w:tcBorders>
          </w:tcPr>
          <w:p>
            <w:pPr>
              <w:jc w:val="center"/>
              <w:ind w:left="690"/>
              <w:spacing w:after="0" w:line="182" w:lineRule="exact"/>
              <w:rPr>
                <w:sz w:val="20"/>
                <w:szCs w:val="20"/>
                <w:color w:val="auto"/>
              </w:rPr>
            </w:pPr>
            <w:r>
              <w:rPr>
                <w:rFonts w:ascii="Times New Roman" w:cs="Times New Roman" w:eastAsia="Times New Roman" w:hAnsi="Times New Roman"/>
                <w:sz w:val="18"/>
                <w:szCs w:val="18"/>
                <w:b w:val="1"/>
                <w:bCs w:val="1"/>
                <w:color w:val="auto"/>
                <w:w w:val="97"/>
              </w:rPr>
              <w:t>Year to Date</w:t>
            </w:r>
          </w:p>
        </w:tc>
        <w:tc>
          <w:tcPr>
            <w:tcW w:w="9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20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7"/>
              </w:rPr>
              <w:t>June 30</w:t>
            </w:r>
          </w:p>
        </w:tc>
        <w:tc>
          <w:tcPr>
            <w:tcW w:w="1420" w:type="dxa"/>
            <w:vAlign w:val="bottom"/>
          </w:tcPr>
          <w:p>
            <w:pPr>
              <w:spacing w:after="0"/>
              <w:rPr>
                <w:sz w:val="20"/>
                <w:szCs w:val="20"/>
                <w:color w:val="auto"/>
              </w:rPr>
            </w:pPr>
          </w:p>
        </w:tc>
        <w:tc>
          <w:tcPr>
            <w:tcW w:w="190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7"/>
              </w:rPr>
              <w:t>June 30</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2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90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20"/>
                <w:szCs w:val="20"/>
                <w:color w:val="auto"/>
              </w:rPr>
            </w:pPr>
          </w:p>
        </w:tc>
      </w:tr>
      <w:tr>
        <w:trPr>
          <w:trHeight w:val="223"/>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income tax</w:t>
            </w:r>
          </w:p>
        </w:tc>
        <w:tc>
          <w:tcPr>
            <w:tcW w:w="22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21.0 %</w:t>
            </w:r>
          </w:p>
        </w:tc>
        <w:tc>
          <w:tcPr>
            <w:tcW w:w="14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21.0 %</w:t>
            </w:r>
          </w:p>
        </w:tc>
        <w:tc>
          <w:tcPr>
            <w:tcW w:w="19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21.0 %</w:t>
            </w:r>
          </w:p>
        </w:tc>
        <w:tc>
          <w:tcPr>
            <w:tcW w:w="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7"/>
              </w:rPr>
              <w:t>21.0 %</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COLI policies</w:t>
            </w:r>
          </w:p>
        </w:tc>
        <w:tc>
          <w:tcPr>
            <w:tcW w:w="22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(1.2)</w:t>
            </w:r>
          </w:p>
        </w:tc>
        <w:tc>
          <w:tcPr>
            <w:tcW w:w="14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(1.3)</w:t>
            </w:r>
          </w:p>
        </w:tc>
        <w:tc>
          <w:tcPr>
            <w:tcW w:w="19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(1.2)</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income taxes</w:t>
            </w:r>
          </w:p>
        </w:tc>
        <w:tc>
          <w:tcPr>
            <w:tcW w:w="22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0.5</w:t>
            </w:r>
          </w:p>
        </w:tc>
        <w:tc>
          <w:tcPr>
            <w:tcW w:w="14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0.5</w:t>
            </w:r>
          </w:p>
        </w:tc>
        <w:tc>
          <w:tcPr>
            <w:tcW w:w="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Flow through depreciation for plant-related differences</w:t>
            </w:r>
          </w:p>
        </w:tc>
        <w:tc>
          <w:tcPr>
            <w:tcW w:w="22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(8.7)</w:t>
            </w:r>
          </w:p>
        </w:tc>
        <w:tc>
          <w:tcPr>
            <w:tcW w:w="14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(7.1)</w:t>
            </w:r>
          </w:p>
        </w:tc>
        <w:tc>
          <w:tcPr>
            <w:tcW w:w="19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(8.6)</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tax credits</w:t>
            </w:r>
          </w:p>
        </w:tc>
        <w:tc>
          <w:tcPr>
            <w:tcW w:w="220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(6.8)</w:t>
            </w:r>
          </w:p>
        </w:tc>
        <w:tc>
          <w:tcPr>
            <w:tcW w:w="14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(6.3)</w:t>
            </w:r>
          </w:p>
        </w:tc>
        <w:tc>
          <w:tcPr>
            <w:tcW w:w="190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(6.7)</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2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(0.3)</w:t>
            </w:r>
          </w:p>
        </w:tc>
        <w:tc>
          <w:tcPr>
            <w:tcW w:w="14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(0.3)</w:t>
            </w:r>
          </w:p>
        </w:tc>
        <w:tc>
          <w:tcPr>
            <w:tcW w:w="19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(0.3)</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AFUDC equity</w:t>
            </w:r>
          </w:p>
        </w:tc>
        <w:tc>
          <w:tcPr>
            <w:tcW w:w="220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(0.4)</w:t>
            </w:r>
          </w:p>
        </w:tc>
        <w:tc>
          <w:tcPr>
            <w:tcW w:w="14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(0.6)</w:t>
            </w:r>
          </w:p>
        </w:tc>
        <w:tc>
          <w:tcPr>
            <w:tcW w:w="190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(0.3)</w:t>
            </w: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federal investment tax credits</w:t>
            </w:r>
          </w:p>
        </w:tc>
        <w:tc>
          <w:tcPr>
            <w:tcW w:w="22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(0.6)</w:t>
            </w:r>
          </w:p>
        </w:tc>
        <w:tc>
          <w:tcPr>
            <w:tcW w:w="14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(0.6)</w:t>
            </w:r>
          </w:p>
        </w:tc>
        <w:tc>
          <w:tcPr>
            <w:tcW w:w="19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(0.6)</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2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0.4</w:t>
            </w:r>
          </w:p>
        </w:tc>
        <w:tc>
          <w:tcPr>
            <w:tcW w:w="190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Officer compensation limitation</w:t>
            </w:r>
          </w:p>
        </w:tc>
        <w:tc>
          <w:tcPr>
            <w:tcW w:w="22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(0.3)</w:t>
            </w:r>
          </w:p>
        </w:tc>
        <w:tc>
          <w:tcPr>
            <w:tcW w:w="14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0.2</w:t>
            </w:r>
          </w:p>
        </w:tc>
        <w:tc>
          <w:tcPr>
            <w:tcW w:w="19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0.1</w:t>
            </w:r>
          </w:p>
        </w:tc>
        <w:tc>
          <w:tcPr>
            <w:tcW w:w="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9"/>
                <w:szCs w:val="19"/>
                <w:color w:val="auto"/>
              </w:rPr>
            </w:pP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4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0.2</w:t>
            </w:r>
          </w:p>
        </w:tc>
        <w:tc>
          <w:tcPr>
            <w:tcW w:w="142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0.2</w:t>
            </w:r>
          </w:p>
        </w:tc>
        <w:tc>
          <w:tcPr>
            <w:tcW w:w="190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0.3</w:t>
            </w:r>
          </w:p>
        </w:tc>
        <w:tc>
          <w:tcPr>
            <w:tcW w:w="9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Borders>
              <w:bottom w:val="single" w:sz="8" w:color="auto"/>
            </w:tcBorders>
            <w:shd w:val="clear" w:color="auto" w:fill="CCEEFF"/>
          </w:tcPr>
          <w:p>
            <w:pPr>
              <w:spacing w:after="0"/>
              <w:rPr>
                <w:sz w:val="19"/>
                <w:szCs w:val="19"/>
                <w:color w:val="auto"/>
              </w:rPr>
            </w:pPr>
          </w:p>
        </w:tc>
      </w:tr>
      <w:tr>
        <w:trPr>
          <w:trHeight w:val="230"/>
        </w:trPr>
        <w:tc>
          <w:tcPr>
            <w:tcW w:w="2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3.4 %</w:t>
            </w:r>
          </w:p>
        </w:tc>
        <w:tc>
          <w:tcPr>
            <w:tcW w:w="14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5.6 %</w:t>
            </w:r>
          </w:p>
        </w:tc>
        <w:tc>
          <w:tcPr>
            <w:tcW w:w="19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4.2 %</w:t>
            </w:r>
          </w:p>
        </w:tc>
        <w:tc>
          <w:tcPr>
            <w:tcW w:w="9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95"/>
              </w:rPr>
              <w:t>6.6 %</w:t>
            </w:r>
          </w:p>
        </w:tc>
        <w:tc>
          <w:tcPr>
            <w:tcW w:w="20" w:type="dxa"/>
            <w:vAlign w:val="bottom"/>
            <w:tcBorders>
              <w:bottom w:val="single" w:sz="8" w:color="auto"/>
            </w:tcBorders>
          </w:tcPr>
          <w:p>
            <w:pPr>
              <w:spacing w:after="0"/>
              <w:rPr>
                <w:sz w:val="20"/>
                <w:szCs w:val="20"/>
                <w:color w:val="auto"/>
              </w:rPr>
            </w:pPr>
          </w:p>
        </w:tc>
      </w:tr>
      <w:tr>
        <w:trPr>
          <w:trHeight w:val="547"/>
        </w:trPr>
        <w:tc>
          <w:tcPr>
            <w:tcW w:w="20" w:type="dxa"/>
            <w:vAlign w:val="bottom"/>
          </w:tcPr>
          <w:p>
            <w:pPr>
              <w:spacing w:after="0"/>
              <w:rPr>
                <w:sz w:val="24"/>
                <w:szCs w:val="24"/>
                <w:color w:val="auto"/>
              </w:rPr>
            </w:pP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2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0"/>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620" w:type="dxa"/>
            <w:vAlign w:val="bottom"/>
            <w:gridSpan w:val="2"/>
          </w:tcPr>
          <w:p>
            <w:pPr>
              <w:jc w:val="center"/>
              <w:ind w:right="50"/>
              <w:spacing w:after="0" w:line="180"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900" w:type="dxa"/>
            <w:vAlign w:val="bottom"/>
          </w:tcPr>
          <w:p>
            <w:pPr>
              <w:jc w:val="center"/>
              <w:ind w:left="690"/>
              <w:spacing w:after="0" w:line="180" w:lineRule="exact"/>
              <w:rPr>
                <w:sz w:val="20"/>
                <w:szCs w:val="20"/>
                <w:color w:val="auto"/>
              </w:rPr>
            </w:pPr>
            <w:r>
              <w:rPr>
                <w:rFonts w:ascii="Times New Roman" w:cs="Times New Roman" w:eastAsia="Times New Roman" w:hAnsi="Times New Roman"/>
                <w:sz w:val="18"/>
                <w:szCs w:val="18"/>
                <w:b w:val="1"/>
                <w:bCs w:val="1"/>
                <w:color w:val="auto"/>
                <w:w w:val="97"/>
              </w:rPr>
              <w:t>Year to Date</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20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20" w:type="dxa"/>
            <w:vAlign w:val="bottom"/>
          </w:tcPr>
          <w:p>
            <w:pPr>
              <w:spacing w:after="0"/>
              <w:rPr>
                <w:sz w:val="19"/>
                <w:szCs w:val="19"/>
                <w:color w:val="auto"/>
              </w:rPr>
            </w:pPr>
          </w:p>
        </w:tc>
        <w:tc>
          <w:tcPr>
            <w:tcW w:w="190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8"/>
        </w:trPr>
        <w:tc>
          <w:tcPr>
            <w:tcW w:w="2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9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income tax</w:t>
            </w:r>
          </w:p>
        </w:tc>
        <w:tc>
          <w:tcPr>
            <w:tcW w:w="22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21.0 %</w:t>
            </w:r>
          </w:p>
        </w:tc>
        <w:tc>
          <w:tcPr>
            <w:tcW w:w="14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21.0 %</w:t>
            </w:r>
          </w:p>
        </w:tc>
        <w:tc>
          <w:tcPr>
            <w:tcW w:w="19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21.0 %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COLI policies</w:t>
            </w:r>
          </w:p>
        </w:tc>
        <w:tc>
          <w:tcPr>
            <w:tcW w:w="22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(1.9)</w:t>
            </w:r>
          </w:p>
        </w:tc>
        <w:tc>
          <w:tcPr>
            <w:tcW w:w="14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(2.3)</w:t>
            </w:r>
          </w:p>
        </w:tc>
        <w:tc>
          <w:tcPr>
            <w:tcW w:w="19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(1.9)</w:t>
            </w:r>
          </w:p>
        </w:tc>
        <w:tc>
          <w:tcPr>
            <w:tcW w:w="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w:t>
            </w:r>
          </w:p>
        </w:tc>
        <w:tc>
          <w:tcPr>
            <w:tcW w:w="22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0.6</w:t>
            </w:r>
          </w:p>
        </w:tc>
        <w:tc>
          <w:tcPr>
            <w:tcW w:w="14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0.7</w:t>
            </w:r>
          </w:p>
        </w:tc>
        <w:tc>
          <w:tcPr>
            <w:tcW w:w="19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0.6</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Flow through depreciation for plant-related differences</w:t>
            </w:r>
          </w:p>
        </w:tc>
        <w:tc>
          <w:tcPr>
            <w:tcW w:w="22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(5.8)</w:t>
            </w:r>
          </w:p>
        </w:tc>
        <w:tc>
          <w:tcPr>
            <w:tcW w:w="14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(2.6)</w:t>
            </w:r>
          </w:p>
        </w:tc>
        <w:tc>
          <w:tcPr>
            <w:tcW w:w="19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(5.6)</w:t>
            </w:r>
          </w:p>
        </w:tc>
        <w:tc>
          <w:tcPr>
            <w:tcW w:w="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 credits</w:t>
            </w:r>
          </w:p>
        </w:tc>
        <w:tc>
          <w:tcPr>
            <w:tcW w:w="220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(10.5)</w:t>
            </w:r>
          </w:p>
        </w:tc>
        <w:tc>
          <w:tcPr>
            <w:tcW w:w="14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(12.3)</w:t>
            </w:r>
          </w:p>
        </w:tc>
        <w:tc>
          <w:tcPr>
            <w:tcW w:w="190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(10.7)</w:t>
            </w:r>
          </w:p>
        </w:tc>
        <w:tc>
          <w:tcPr>
            <w:tcW w:w="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2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(0.4)</w:t>
            </w:r>
          </w:p>
        </w:tc>
        <w:tc>
          <w:tcPr>
            <w:tcW w:w="14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(0.5)</w:t>
            </w:r>
          </w:p>
        </w:tc>
        <w:tc>
          <w:tcPr>
            <w:tcW w:w="19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(0.5)</w:t>
            </w:r>
          </w:p>
        </w:tc>
        <w:tc>
          <w:tcPr>
            <w:tcW w:w="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AFUDC equity</w:t>
            </w:r>
          </w:p>
        </w:tc>
        <w:tc>
          <w:tcPr>
            <w:tcW w:w="220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(0.5)</w:t>
            </w:r>
          </w:p>
        </w:tc>
        <w:tc>
          <w:tcPr>
            <w:tcW w:w="14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(0.4)</w:t>
            </w:r>
          </w:p>
        </w:tc>
        <w:tc>
          <w:tcPr>
            <w:tcW w:w="190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(0.5)</w:t>
            </w:r>
          </w:p>
        </w:tc>
        <w:tc>
          <w:tcPr>
            <w:tcW w:w="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federal investment tax credits</w:t>
            </w:r>
          </w:p>
        </w:tc>
        <w:tc>
          <w:tcPr>
            <w:tcW w:w="22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(0.4)</w:t>
            </w:r>
          </w:p>
        </w:tc>
        <w:tc>
          <w:tcPr>
            <w:tcW w:w="14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(0.4)</w:t>
            </w:r>
          </w:p>
        </w:tc>
        <w:tc>
          <w:tcPr>
            <w:tcW w:w="19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(0.4)</w:t>
            </w:r>
          </w:p>
        </w:tc>
        <w:tc>
          <w:tcPr>
            <w:tcW w:w="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22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0.1</w:t>
            </w:r>
          </w:p>
        </w:tc>
        <w:tc>
          <w:tcPr>
            <w:tcW w:w="19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0.2</w:t>
            </w:r>
          </w:p>
        </w:tc>
        <w:tc>
          <w:tcPr>
            <w:tcW w:w="14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0.1</w:t>
            </w:r>
          </w:p>
        </w:tc>
        <w:tc>
          <w:tcPr>
            <w:tcW w:w="19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0.1</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7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2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2.3 %</w:t>
            </w:r>
          </w:p>
        </w:tc>
        <w:tc>
          <w:tcPr>
            <w:tcW w:w="14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3.4 %</w:t>
            </w:r>
          </w:p>
        </w:tc>
        <w:tc>
          <w:tcPr>
            <w:tcW w:w="190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2.1 %</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40" w:type="dxa"/>
            <w:vAlign w:val="bottom"/>
            <w:tcBorders>
              <w:top w:val="single" w:sz="8" w:color="auto"/>
            </w:tcBorders>
          </w:tcPr>
          <w:p>
            <w:pPr>
              <w:spacing w:after="0"/>
              <w:rPr>
                <w:sz w:val="15"/>
                <w:szCs w:val="15"/>
                <w:color w:val="auto"/>
              </w:rPr>
            </w:pPr>
          </w:p>
        </w:tc>
        <w:tc>
          <w:tcPr>
            <w:tcW w:w="3620" w:type="dxa"/>
            <w:vAlign w:val="bottom"/>
            <w:tcBorders>
              <w:top w:val="single" w:sz="8" w:color="auto"/>
            </w:tcBorders>
            <w:gridSpan w:val="2"/>
          </w:tcPr>
          <w:p>
            <w:pPr>
              <w:jc w:val="right"/>
              <w:ind w:right="970"/>
              <w:spacing w:after="0" w:line="18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920" w:type="dxa"/>
            <w:vAlign w:val="bottom"/>
            <w:tcBorders>
              <w:top w:val="single" w:sz="8" w:color="auto"/>
            </w:tcBorders>
          </w:tcPr>
          <w:p>
            <w:pPr>
              <w:jc w:val="right"/>
              <w:ind w:right="10"/>
              <w:spacing w:after="0" w:line="182" w:lineRule="exact"/>
              <w:rPr>
                <w:sz w:val="20"/>
                <w:szCs w:val="20"/>
                <w:color w:val="auto"/>
              </w:rPr>
            </w:pPr>
            <w:r>
              <w:rPr>
                <w:rFonts w:ascii="Times New Roman" w:cs="Times New Roman" w:eastAsia="Times New Roman" w:hAnsi="Times New Roman"/>
                <w:sz w:val="18"/>
                <w:szCs w:val="18"/>
                <w:b w:val="1"/>
                <w:bCs w:val="1"/>
                <w:color w:val="auto"/>
              </w:rPr>
              <w:t>Year to Date</w:t>
            </w:r>
          </w:p>
        </w:tc>
        <w:tc>
          <w:tcPr>
            <w:tcW w:w="960" w:type="dxa"/>
            <w:vAlign w:val="bottom"/>
            <w:tcBorders>
              <w:top w:val="single" w:sz="8" w:color="auto"/>
            </w:tcBorders>
          </w:tcPr>
          <w:p>
            <w:pPr>
              <w:spacing w:after="0"/>
              <w:rPr>
                <w:sz w:val="15"/>
                <w:szCs w:val="15"/>
                <w:color w:val="auto"/>
              </w:rPr>
            </w:pPr>
          </w:p>
        </w:tc>
      </w:tr>
      <w:tr>
        <w:trPr>
          <w:trHeight w:val="234"/>
        </w:trPr>
        <w:tc>
          <w:tcPr>
            <w:tcW w:w="4740" w:type="dxa"/>
            <w:vAlign w:val="bottom"/>
          </w:tcPr>
          <w:p>
            <w:pPr>
              <w:spacing w:after="0"/>
              <w:rPr>
                <w:sz w:val="20"/>
                <w:szCs w:val="20"/>
                <w:color w:val="auto"/>
              </w:rPr>
            </w:pPr>
          </w:p>
        </w:tc>
        <w:tc>
          <w:tcPr>
            <w:tcW w:w="22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00" w:type="dxa"/>
            <w:vAlign w:val="bottom"/>
          </w:tcPr>
          <w:p>
            <w:pPr>
              <w:spacing w:after="0"/>
              <w:rPr>
                <w:sz w:val="20"/>
                <w:szCs w:val="20"/>
                <w:color w:val="auto"/>
              </w:rPr>
            </w:pPr>
          </w:p>
        </w:tc>
        <w:tc>
          <w:tcPr>
            <w:tcW w:w="19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Pr>
          <w:p>
            <w:pPr>
              <w:spacing w:after="0"/>
              <w:rPr>
                <w:sz w:val="20"/>
                <w:szCs w:val="20"/>
                <w:color w:val="auto"/>
              </w:rPr>
            </w:pPr>
          </w:p>
        </w:tc>
      </w:tr>
      <w:tr>
        <w:trPr>
          <w:trHeight w:val="238"/>
        </w:trPr>
        <w:tc>
          <w:tcPr>
            <w:tcW w:w="47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92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income tax</w:t>
            </w:r>
          </w:p>
        </w:tc>
        <w:tc>
          <w:tcPr>
            <w:tcW w:w="22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21.0 %</w:t>
            </w:r>
          </w:p>
        </w:tc>
        <w:tc>
          <w:tcPr>
            <w:tcW w:w="14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21.0 %</w:t>
            </w:r>
          </w:p>
        </w:tc>
        <w:tc>
          <w:tcPr>
            <w:tcW w:w="19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21.0 %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COLI policies</w:t>
            </w:r>
          </w:p>
        </w:tc>
        <w:tc>
          <w:tcPr>
            <w:tcW w:w="222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(0.1)</w:t>
            </w: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(0.1)</w:t>
            </w:r>
          </w:p>
        </w:tc>
        <w:tc>
          <w:tcPr>
            <w:tcW w:w="19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(0.1)</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w:t>
            </w:r>
          </w:p>
        </w:tc>
        <w:tc>
          <w:tcPr>
            <w:tcW w:w="22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0.6</w:t>
            </w:r>
          </w:p>
        </w:tc>
        <w:tc>
          <w:tcPr>
            <w:tcW w:w="14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1.0</w:t>
            </w:r>
          </w:p>
        </w:tc>
        <w:tc>
          <w:tcPr>
            <w:tcW w:w="192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0.7</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Flow through depreciation for plant-related differences</w:t>
            </w:r>
          </w:p>
        </w:tc>
        <w:tc>
          <w:tcPr>
            <w:tcW w:w="222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(7.8)</w:t>
            </w: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(8.4)</w:t>
            </w:r>
          </w:p>
        </w:tc>
        <w:tc>
          <w:tcPr>
            <w:tcW w:w="19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(7.8)</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tax credits</w:t>
            </w:r>
          </w:p>
        </w:tc>
        <w:tc>
          <w:tcPr>
            <w:tcW w:w="222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(0.7)</w:t>
            </w:r>
          </w:p>
        </w:tc>
        <w:tc>
          <w:tcPr>
            <w:tcW w:w="14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(0.2)</w:t>
            </w:r>
          </w:p>
        </w:tc>
        <w:tc>
          <w:tcPr>
            <w:tcW w:w="19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(0.7)</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AFUDC equity</w:t>
            </w:r>
          </w:p>
        </w:tc>
        <w:tc>
          <w:tcPr>
            <w:tcW w:w="222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(0.2)</w:t>
            </w: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(0.9)</w:t>
            </w:r>
          </w:p>
        </w:tc>
        <w:tc>
          <w:tcPr>
            <w:tcW w:w="19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(0.1)</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federal investment tax credits</w:t>
            </w:r>
          </w:p>
        </w:tc>
        <w:tc>
          <w:tcPr>
            <w:tcW w:w="222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(0.8)</w:t>
            </w:r>
          </w:p>
        </w:tc>
        <w:tc>
          <w:tcPr>
            <w:tcW w:w="14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(0.8)</w:t>
            </w:r>
          </w:p>
        </w:tc>
        <w:tc>
          <w:tcPr>
            <w:tcW w:w="192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(0.8)</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22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0.6</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Officer compensation limitation</w:t>
            </w:r>
          </w:p>
        </w:tc>
        <w:tc>
          <w:tcPr>
            <w:tcW w:w="222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(0.4)</w:t>
            </w:r>
          </w:p>
        </w:tc>
        <w:tc>
          <w:tcPr>
            <w:tcW w:w="14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0.6</w:t>
            </w:r>
          </w:p>
        </w:tc>
        <w:tc>
          <w:tcPr>
            <w:tcW w:w="192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0.3</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(0.1)</w:t>
            </w:r>
          </w:p>
        </w:tc>
        <w:tc>
          <w:tcPr>
            <w:tcW w:w="19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4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2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11.6 %</w:t>
            </w:r>
          </w:p>
        </w:tc>
        <w:tc>
          <w:tcPr>
            <w:tcW w:w="14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12.1 %</w:t>
            </w:r>
          </w:p>
        </w:tc>
        <w:tc>
          <w:tcPr>
            <w:tcW w:w="192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13.1 %</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MANAGEMENT'S DISCUSSION AND ANALYSIS OF FINANCIAL CONDITION AND RESULTS OF OPERATIONS</w:t>
      </w:r>
    </w:p>
    <w:p>
      <w:pPr>
        <w:spacing w:after="0" w:line="220"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20"/>
          <w:szCs w:val="20"/>
          <w:color w:val="auto"/>
        </w:rPr>
        <w:t>The following combined Management's Discussion and Analysis of Financial Condition and Results of Operations (MD&amp;A) should be read in conjunction with the consolidated financial statements and accompanying notes in this combined Quarterly Report on Form 10-Q and the Evergy Companies' combined 2023 Form 10-K. None of the registrants make any representation as to information related solely to Evergy, Evergy Kansas Central or Evergy Metro other than itself.</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EVERGY, INC.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EXECUTIVE SUMMARY</w:t>
      </w:r>
    </w:p>
    <w:p>
      <w:pPr>
        <w:spacing w:after="0" w:line="233" w:lineRule="exact"/>
        <w:rPr>
          <w:sz w:val="20"/>
          <w:szCs w:val="20"/>
          <w:color w:val="auto"/>
        </w:rPr>
      </w:pPr>
    </w:p>
    <w:p>
      <w:pPr>
        <w:ind w:right="480"/>
        <w:spacing w:after="0" w:line="269" w:lineRule="auto"/>
        <w:rPr>
          <w:sz w:val="20"/>
          <w:szCs w:val="20"/>
          <w:color w:val="auto"/>
        </w:rPr>
      </w:pPr>
      <w:r>
        <w:rPr>
          <w:rFonts w:ascii="Times New Roman" w:cs="Times New Roman" w:eastAsia="Times New Roman" w:hAnsi="Times New Roman"/>
          <w:sz w:val="20"/>
          <w:szCs w:val="20"/>
          <w:color w:val="auto"/>
        </w:rPr>
        <w:t>Evergy is a public utility holding company incorporated in 2017 and headquartered in Kansas City, Missouri. Evergy operates primarily through the following wholly-owned direct subsidiaries listed below.</w:t>
      </w:r>
    </w:p>
    <w:p>
      <w:pPr>
        <w:spacing w:after="0" w:line="173" w:lineRule="exact"/>
        <w:rPr>
          <w:sz w:val="20"/>
          <w:szCs w:val="20"/>
          <w:color w:val="auto"/>
        </w:rPr>
      </w:pPr>
    </w:p>
    <w:p>
      <w:pPr>
        <w:ind w:left="660" w:right="140" w:hanging="328"/>
        <w:spacing w:after="0" w:line="283"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Kansas Central is an integrated, regulated electric utility that provides electricity to customers in the state of Kansas. Evergy Kansas Central has one active wholly-owned subsidiary with significant operations, Evergy Kansas South.</w:t>
      </w:r>
    </w:p>
    <w:p>
      <w:pPr>
        <w:spacing w:after="0" w:line="3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Metro is an integrated, regulated electric utility that provides electricity to customers in the states of Missouri and Kansas.</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Missouri West is an integrated, regulated electric utility that provides electricity to customers in the state of Missouri.</w:t>
      </w:r>
    </w:p>
    <w:p>
      <w:pPr>
        <w:spacing w:after="0" w:line="107" w:lineRule="exact"/>
        <w:rPr>
          <w:rFonts w:ascii="Times New Roman" w:cs="Times New Roman" w:eastAsia="Times New Roman" w:hAnsi="Times New Roman"/>
          <w:sz w:val="20"/>
          <w:szCs w:val="20"/>
          <w:color w:val="auto"/>
        </w:rPr>
      </w:pPr>
    </w:p>
    <w:p>
      <w:pPr>
        <w:ind w:left="660" w:right="40" w:hanging="328"/>
        <w:spacing w:after="0" w:line="268" w:lineRule="auto"/>
        <w:tabs>
          <w:tab w:leader="none" w:pos="6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Transmission Company owns 13.5% of Transource with the remaining 86.5% owned by AEP Transmission Holding Company, LLC, a subsidiary of AEP. Transource is focused on the development of competitive electric transmission projects. Evergy Transmission Company accounts for its investment in Transource under the equity method.</w:t>
      </w:r>
    </w:p>
    <w:p>
      <w:pPr>
        <w:spacing w:after="0" w:line="16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Evergy Kansas Central also owns a 50% interest in Prairie Wind, which is a joint venture between Evergy Kansas Central and subsidiaries of AEP and Berkshire Hathaway Energy Company. Prairie Wind owns a 108-mile, 345 kV double-circuit transmission line that provides transmission service in the SPP. Evergy Kansas Central accounts for its investment in Prairie Wind under the equity method.</w:t>
      </w:r>
    </w:p>
    <w:p>
      <w:pPr>
        <w:spacing w:after="0" w:line="181" w:lineRule="exact"/>
        <w:rPr>
          <w:sz w:val="20"/>
          <w:szCs w:val="20"/>
          <w:color w:val="auto"/>
        </w:rPr>
      </w:pPr>
    </w:p>
    <w:p>
      <w:pPr>
        <w:ind w:right="800"/>
        <w:spacing w:after="0" w:line="283" w:lineRule="auto"/>
        <w:rPr>
          <w:sz w:val="20"/>
          <w:szCs w:val="20"/>
          <w:color w:val="auto"/>
        </w:rPr>
      </w:pPr>
      <w:r>
        <w:rPr>
          <w:rFonts w:ascii="Times New Roman" w:cs="Times New Roman" w:eastAsia="Times New Roman" w:hAnsi="Times New Roman"/>
          <w:sz w:val="20"/>
          <w:szCs w:val="20"/>
          <w:color w:val="auto"/>
        </w:rPr>
        <w:t>Evergy Kansas Central, Evergy Kansas South, Evergy Metro and Evergy Missouri West conduct business in their respective service territories using the name Evergy. Collectively, the Evergy Companies have approximately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15,800 MWs of owned generating capacity and renewable power purchase agreements and engage in the generation, transmission, distribution and sale of electricity to approximately 1.7 million customers in the states of Kansas and Missouri. The Evergy Companies assess financial performance and allocate resources on a consolidated basis (i.e., operate in one segment).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Missouri West 2024 Rate Case Proceeding</w:t>
      </w:r>
    </w:p>
    <w:p>
      <w:pPr>
        <w:spacing w:after="0" w:line="26"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0"/>
          <w:szCs w:val="20"/>
          <w:color w:val="auto"/>
        </w:rPr>
        <w:t>In February 2024, Evergy Missouri West filed an application with the MPSC to request an increase to its retail revenues of approximately $104 million. Evergy Missouri West's request reflected a return on equity of 10.5% (with a capital structure composed of 52% equity) and increases related to the recovery of infrastructure investments made to improve reliability and enhance customer service and the inclusion of certain costs related to Dogwood and Crossroads, two natural gas plants. An evidentiary hearing in the case is scheduled to occur beginning in late September 2024 and new rates are expected to be effective in January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Missouri West Securitized Bonds</w:t>
      </w:r>
    </w:p>
    <w:p>
      <w:pPr>
        <w:spacing w:after="0" w:line="3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In February 2024, Evergy Missouri West Storm Funding issued, at a discount, $331.1 million of 5.10% Securitized Bonds in order to recover the extraordinary fuel and purchased power costs incurred as part of the February 2021 winter weather event. See Notes 4 and 9 to the consolidated financial statements for additional information regarding the securitized bonds.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Natural Gas Plant Investment</w:t>
      </w:r>
    </w:p>
    <w:p>
      <w:pPr>
        <w:spacing w:after="0" w:line="2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In April 2024, Evergy Missouri West purchased a 22% ownership interest representing approximately 145 MW in Dogwood, an operational natural gas combined cycle facility located in Missouri, for approximately $60 million. The purchase was recorded as an asset acquisition to property, plant and equipment, net on Evergy's consolidated balance sheet. The purchase was subject to terms and conditions listed in a stipulation and agreement approved by the MPSC allowing Evergy Missouri West to recover in rates a return of and return on the original cost, net of accumulated depreciation, of Dogwood. Evergy Missouri West shall also be allowed to recover in rates over two years a return of, but not a return on, the amount of the purchase price paid in excess of the original cost, net of accumulated depreciation, of Dogwood. In addition, net revenues generated from Evergy Missouri West's ownership of Dogwood from the date of closing to the date new rates become effective in Evergy Missouri West's current rate case shall not impact rates and shall be retained by Evergy Missouri West and reduce the amount of the purchase price paid in excess of the original cost, net of accumulated depreciation, of Dogwood to be recovered from customers.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Kansas Legislation</w:t>
      </w:r>
    </w:p>
    <w:p>
      <w:pPr>
        <w:spacing w:after="0" w:line="32"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In April 2024, Kansas H.B. 2527 was signed into law by the Governor of Kansas. Most notably, H.B. 2527 includes a plant-in service accounting (PISA) provision that can be elected by Kansas electric public utilities to defer and recover as regulatory assets 90% of depreciation expense and associated return on investment linked to qualifying electric plants in service. Qualifying electric plant includes all rate base additions by an electric public utility, but does not include transmission facilities or new electric generating units. The deferred depreciation and return on the associated regulatory asset are required to be included in determining the utility's rate base during subsequent general rate proceedings. The return on the deferred regulatory asset balances will be calculated using the weighted average cost of capital. Utilities that elect the PISA provision can make qualifying deferrals of depreciation and return from July 2024 through December 2030. Evergy Kansas Central and Evergy Metro elected the PISA provision in their Kansas jurisdictions effective in July 2024.</w:t>
      </w:r>
    </w:p>
    <w:p>
      <w:pPr>
        <w:spacing w:after="0" w:line="19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20"/>
          <w:szCs w:val="20"/>
          <w:color w:val="auto"/>
        </w:rPr>
        <w:t>Additionally, the bill establishes new mechanisms for the recovery of costs associated with new gas-fired generating units. If the KCC decides investment in a new gas-fired generating unit is reasonable, the utility would be able to recover the return on 100% of the associated construction costs at its weighted average cost of capital. The cost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740"/>
        <w:spacing w:after="0" w:line="283" w:lineRule="auto"/>
        <w:rPr>
          <w:sz w:val="20"/>
          <w:szCs w:val="20"/>
          <w:color w:val="auto"/>
        </w:rPr>
      </w:pPr>
      <w:r>
        <w:rPr>
          <w:rFonts w:ascii="Times New Roman" w:cs="Times New Roman" w:eastAsia="Times New Roman" w:hAnsi="Times New Roman"/>
          <w:sz w:val="20"/>
          <w:szCs w:val="20"/>
          <w:color w:val="auto"/>
        </w:rPr>
        <w:t>recovery from customers could begin a year after construction begins. Rates could be adjusted every six months until new base rates reflecting the plant's costs are established.</w:t>
      </w:r>
    </w:p>
    <w:p>
      <w:pPr>
        <w:spacing w:after="0" w:line="146" w:lineRule="exact"/>
        <w:rPr>
          <w:sz w:val="20"/>
          <w:szCs w:val="20"/>
          <w:color w:val="auto"/>
        </w:rPr>
      </w:pPr>
    </w:p>
    <w:p>
      <w:pPr>
        <w:jc w:val="both"/>
        <w:ind w:right="440"/>
        <w:spacing w:after="0" w:line="261" w:lineRule="auto"/>
        <w:rPr>
          <w:sz w:val="20"/>
          <w:szCs w:val="20"/>
          <w:color w:val="auto"/>
        </w:rPr>
      </w:pPr>
      <w:r>
        <w:rPr>
          <w:rFonts w:ascii="Times New Roman" w:cs="Times New Roman" w:eastAsia="Times New Roman" w:hAnsi="Times New Roman"/>
          <w:sz w:val="20"/>
          <w:szCs w:val="20"/>
          <w:color w:val="auto"/>
        </w:rPr>
        <w:t>In April 2024, Kansas S.B. 410 was signed into law by the Governor of Kansas. Most notably, S.B. 410 includes an exemption from all property and ad valorem taxes on certain electric generation facilities for which construction or installation begins on or after January 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Regulatory Proceedings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4 to the consolidated financial statements for information regarding other regulatory proceedings.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Wolf Creek Refueling Outage and Fuel Supply</w:t>
      </w:r>
    </w:p>
    <w:p>
      <w:pPr>
        <w:spacing w:after="0" w:line="32"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20"/>
          <w:szCs w:val="20"/>
          <w:color w:val="auto"/>
        </w:rPr>
        <w:t>Wolf Creek's most recent refueling outage began in March 2024 and the unit returned to service in May 2024. Wolf Creek's next refueling outage is planned to begin in the fourth quarter of 2025.</w:t>
      </w:r>
    </w:p>
    <w:p>
      <w:pPr>
        <w:spacing w:after="0" w:line="18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In May 2024, President Biden signed into law the Prohibiting Russian Uranium Imports Act, which limits the importation of uranium from Russia. The Evergy Companies have a Russian-sourced contract beginning in 2026 to obtain nuclear fuel and haven taken mitigating measures to minimize the impact of the Prohibiting Russian Uranium Imports Act to their supply chain. The Evergy Companies do not expect a material impact to their supply chain or financial results.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Overview</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Evergy's net income and diluted earnings per common share (EPS).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3"/>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8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Year to Date</w:t>
            </w:r>
          </w:p>
        </w:tc>
        <w:tc>
          <w:tcPr>
            <w:tcW w:w="3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234"/>
        </w:trPr>
        <w:tc>
          <w:tcPr>
            <w:tcW w:w="3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8"/>
        </w:trPr>
        <w:tc>
          <w:tcPr>
            <w:tcW w:w="3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3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80" w:type="dxa"/>
            <w:vAlign w:val="bottom"/>
            <w:gridSpan w:val="4"/>
          </w:tcPr>
          <w:p>
            <w:pPr>
              <w:jc w:val="right"/>
              <w:ind w:right="10"/>
              <w:spacing w:after="0"/>
              <w:rPr>
                <w:sz w:val="20"/>
                <w:szCs w:val="20"/>
                <w:color w:val="auto"/>
              </w:rPr>
            </w:pPr>
            <w:r>
              <w:rPr>
                <w:rFonts w:ascii="Times New Roman" w:cs="Times New Roman" w:eastAsia="Times New Roman" w:hAnsi="Times New Roman"/>
                <w:sz w:val="16"/>
                <w:szCs w:val="16"/>
                <w:color w:val="auto"/>
              </w:rPr>
              <w:t>(millions, except per share amounts)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2"/>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27.9</w:t>
            </w:r>
          </w:p>
        </w:tc>
        <w:tc>
          <w:tcPr>
            <w:tcW w:w="4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179.1</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329.7</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8.0</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r>
      <w:tr>
        <w:trPr>
          <w:trHeight w:val="237"/>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7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0.12</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0.78</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0.03</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r>
    </w:tbl>
    <w:p>
      <w:pPr>
        <w:spacing w:after="0" w:line="274"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20"/>
          <w:szCs w:val="20"/>
          <w:color w:val="auto"/>
        </w:rPr>
        <w:t>Net income attributable to Evergy, Inc. increased for the three months ended June 30, 2024, compared to the same period in 2023, primarily due to new Evergy Kansas Central retail rates effective in December 2023, higher transmission revenues, lower pension non-service costs, higher retail sales driven by favorable weather and higher weather-normalized demand and mark-to-market losses related to forward contracts for natural gas and electricity in 2023; partially offset by higher taxes other than income tax, depreciation, operating and maintenance and interest expense in the second quarter of 2024.</w:t>
      </w:r>
    </w:p>
    <w:p>
      <w:pPr>
        <w:spacing w:after="0" w:line="173"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20"/>
          <w:szCs w:val="20"/>
          <w:color w:val="auto"/>
        </w:rPr>
        <w:t>Diluted EPS increased for the three months ended June 30, 2024, compared to the same period in 2023, primarily due to the increase in net income attributable to Evergy, Inc. discussed above.</w:t>
      </w:r>
    </w:p>
    <w:p>
      <w:pPr>
        <w:spacing w:after="0" w:line="14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Net income attributable to Evergy, Inc. increased year to date June 30, 2024, compared to the same period in 2023, primarily due to new Evergy Kansas Central retail rates effective in December 2023, higher transmission revenues, lower pension non-service costs, higher retail sales driven by favorable weather and higher weather-normalized demand and lower income tax expense; partially offset by higher operating and maintenance, taxes other than income tax, depreciation and interest expense in 2024.</w:t>
      </w:r>
    </w:p>
    <w:p>
      <w:pPr>
        <w:spacing w:after="0" w:line="186" w:lineRule="exact"/>
        <w:rPr>
          <w:sz w:val="20"/>
          <w:szCs w:val="20"/>
          <w:color w:val="auto"/>
        </w:rPr>
      </w:pPr>
    </w:p>
    <w:p>
      <w:pPr>
        <w:ind w:right="780"/>
        <w:spacing w:after="0" w:line="269" w:lineRule="auto"/>
        <w:rPr>
          <w:sz w:val="20"/>
          <w:szCs w:val="20"/>
          <w:color w:val="auto"/>
        </w:rPr>
      </w:pPr>
      <w:r>
        <w:rPr>
          <w:rFonts w:ascii="Times New Roman" w:cs="Times New Roman" w:eastAsia="Times New Roman" w:hAnsi="Times New Roman"/>
          <w:sz w:val="20"/>
          <w:szCs w:val="20"/>
          <w:color w:val="auto"/>
        </w:rPr>
        <w:t>Diluted EPS increased year to date June 30, 2024, compared to the same period in 2023, primarily due to the increase in net income attributable to Evergy, Inc. discussed above.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additional information regarding the change in net income, refer to the Evergy Results of Operations section within this MD&amp;A.</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Measures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Utility Gross Margin (non-GAAP)</w:t>
      </w:r>
    </w:p>
    <w:p>
      <w:pPr>
        <w:spacing w:after="0" w:line="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Utility gross margin (non-GAAP) is a financial measure that is not calculated in accordance with GAAP. Utility gross margin (non-GAAP), as used by the Evergy Companies, is defined as operating revenues less fuel and purchased power costs and amounts billed by the SPP for network transmission costs. Expenses for fuel and purchased power costs, offset by wholesale sales margin, are subject to recovery through cost adjustment mechanisms. As a result, changes in fuel and purchased power costs are offset in operating revenues with minimal impact on net income. In addition, SPP network transmission costs fluctuate primarily due to investments by SPP members for upgrades to the transmission grid within the SPP RTO. As with fuel and purchased power costs, changes in SPP network transmission costs are mostly reflected in the prices charged to customers with minimal impact on net income. The Evergy Companies' definition of utility gross margin (non-GAAP) may differ from similar terms used by other companies.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Utility gross margin (non-GAAP) is intended to aid an investor's overall understanding of results. Management believes that utility gross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margin (non-GAAP) provides a meaningful basis for evaluating the Evergy Companies' operations across periods because utility gross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margin (non-GAAP) excludes the revenue effect of fluctuations in fuel and purchased power costs and SPP network transmission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costs. Utility gross margin (non-GAAP) is used internally to measure performance against budget and in reports for management and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 Board. Utility gross margin (non-GAAP) should be viewed as a supplement to, and not a substitute for, gross margin, which is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most directly comparable financial measure prepared in accordance with GAAP. Gross margin under GAAP is defined as the excess of sales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over cost of goods sold.</w:t>
      </w:r>
    </w:p>
    <w:p>
      <w:pPr>
        <w:spacing w:after="0" w:line="20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0"/>
          <w:szCs w:val="20"/>
          <w:color w:val="auto"/>
        </w:rPr>
        <w:t>Utility gross margin (non-GAAP) differs from the GAAP definition of gross margin due to the exclusion of operating and maintenance expenses determined to be directly attributable to revenue-producing activities, depreciation and amortization and taxes other than income tax. See the Evergy Companies' Results of Operations for a reconciliation of utility gross margin (non-GAAP) to gross margin, the most comparable GAAP measure.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Earnings (non-GAAP) and Adjusted EPS (non-GAAP)</w:t>
      </w:r>
    </w:p>
    <w:p>
      <w:pPr>
        <w:spacing w:after="0" w:line="32"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20"/>
          <w:szCs w:val="20"/>
          <w:color w:val="auto"/>
        </w:rPr>
        <w:t>Management believes that adjusted earnings (non-GAAP) and adjusted EPS (non-GAAP) are representative measures of Evergy's recurring earnings, assists in the comparability of results and is consistent with how management reviews performance.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Evergy's adjusted earnings (non-GAAP) and adjusted EPS (non-GAAP) for the three months ended and year to date June 30, 2024 were</w:t>
      </w:r>
    </w:p>
    <w:p>
      <w:pPr>
        <w:spacing w:after="0" w:line="28" w:lineRule="exact"/>
        <w:rPr>
          <w:sz w:val="20"/>
          <w:szCs w:val="20"/>
          <w:color w:val="auto"/>
        </w:rPr>
      </w:pPr>
    </w:p>
    <w:p>
      <w:pPr>
        <w:jc w:val="both"/>
        <w:ind w:right="120"/>
        <w:spacing w:after="0" w:line="253" w:lineRule="auto"/>
        <w:rPr>
          <w:sz w:val="20"/>
          <w:szCs w:val="20"/>
          <w:color w:val="auto"/>
        </w:rPr>
      </w:pPr>
      <w:r>
        <w:rPr>
          <w:rFonts w:ascii="Times New Roman" w:cs="Times New Roman" w:eastAsia="Times New Roman" w:hAnsi="Times New Roman"/>
          <w:sz w:val="20"/>
          <w:szCs w:val="20"/>
          <w:color w:val="auto"/>
        </w:rPr>
        <w:t>$207.0 million or $0.90 per share and $331.7 million or $1.44 per share, respectively. For the three months ended and year to date June 30, 2023, Evergy's adjusted earnings (non-GAAP) and adjusted EPS (non-GAAP) were $186.1 million or $0.81 per share and $322.2 million or $1.40 per share, respectively.</w:t>
      </w:r>
    </w:p>
    <w:p>
      <w:pPr>
        <w:spacing w:after="0" w:line="189" w:lineRule="exact"/>
        <w:rPr>
          <w:sz w:val="20"/>
          <w:szCs w:val="20"/>
          <w:color w:val="auto"/>
        </w:rPr>
      </w:pPr>
    </w:p>
    <w:p>
      <w:pPr>
        <w:ind w:right="660"/>
        <w:spacing w:after="0" w:line="269" w:lineRule="auto"/>
        <w:rPr>
          <w:sz w:val="20"/>
          <w:szCs w:val="20"/>
          <w:color w:val="auto"/>
        </w:rPr>
      </w:pPr>
      <w:r>
        <w:rPr>
          <w:rFonts w:ascii="Times New Roman" w:cs="Times New Roman" w:eastAsia="Times New Roman" w:hAnsi="Times New Roman"/>
          <w:sz w:val="20"/>
          <w:szCs w:val="20"/>
          <w:color w:val="auto"/>
        </w:rPr>
        <w:t>In addition to net income attributable to Evergy, Inc. and diluted EPS, Evergy's management uses adjusted earnings (non-GAAP) and adjusted EPS (non-GAAP) to evaluate earnings and EPS without:</w:t>
      </w:r>
    </w:p>
    <w:p>
      <w:pPr>
        <w:spacing w:after="0" w:line="6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mark-to-market impacts of economic hedges related to Evergy Kansas Central's 8% ownership share of JEC;</w:t>
      </w:r>
    </w:p>
    <w:p>
      <w:pPr>
        <w:spacing w:after="0" w:line="2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resulting from non-regulated energy marketing margins from the February 2021 winter weather event; and</w:t>
      </w:r>
    </w:p>
    <w:p>
      <w:pPr>
        <w:spacing w:after="0" w:line="6" w:lineRule="exact"/>
        <w:rPr>
          <w:rFonts w:ascii="Times New Roman" w:cs="Times New Roman" w:eastAsia="Times New Roman" w:hAnsi="Times New Roman"/>
          <w:sz w:val="20"/>
          <w:szCs w:val="20"/>
          <w:color w:val="auto"/>
        </w:rPr>
      </w:pPr>
    </w:p>
    <w:p>
      <w:pPr>
        <w:ind w:left="660" w:right="100" w:hanging="328"/>
        <w:spacing w:after="0" w:line="253" w:lineRule="auto"/>
        <w:tabs>
          <w:tab w:leader="none" w:pos="65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second quarter 2023 recognition of a regulatory liability for the refund to customers of revenues previously collected since October 2019 for costs related to an electric subdivision rebate program to be refunded to customers in accordance with a June 2020 KCC order.</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Adjusted earnings (non-GAAP) and adjusted EPS (non-GAAP) are intended to aid an investor's overall understanding of results. Management believes that adjusted earnings (non-GAAP) provides a meaningful basis for evaluating Evergy's operations across periods because it excludes certain items that management does not believe are indicative of Evergy's ongoing performance or that can create period to period earnings volatility.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Adjusted earnings (non-GAAP) and adjusted EPS (non-GAAP) are used internally to measure performance against budget and in reports for management and the Evergy Board. Adjusted earnings (non-GAAP) and adjusted EPS (non-GAAP) are financial measures that are not calculated in accordance with GAAP and may not be comparable to other companies' presentations or more useful than the GAAP information provided elsewhere in this report.</w:t>
      </w:r>
    </w:p>
    <w:p>
      <w:pPr>
        <w:spacing w:after="0" w:line="172"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20"/>
          <w:szCs w:val="20"/>
          <w:color w:val="auto"/>
        </w:rPr>
        <w:t>The following tables provide a reconciliation between net income attributable to Evergy, Inc. and diluted EPS as determined in accordance with GAAP and adjusted earnings (non-GAAP) and adjusted EPS (non-GAAP), respectively.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90"/>
              <w:spacing w:after="0" w:line="202" w:lineRule="exact"/>
              <w:rPr>
                <w:sz w:val="20"/>
                <w:szCs w:val="20"/>
                <w:color w:val="auto"/>
              </w:rPr>
            </w:pPr>
            <w:r>
              <w:rPr>
                <w:rFonts w:ascii="Times New Roman" w:cs="Times New Roman" w:eastAsia="Times New Roman" w:hAnsi="Times New Roman"/>
                <w:sz w:val="18"/>
                <w:szCs w:val="18"/>
                <w:b w:val="1"/>
                <w:bCs w:val="1"/>
                <w:color w:val="auto"/>
                <w:w w:val="99"/>
              </w:rPr>
              <w:t>Earnings</w:t>
            </w: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Earnings</w:t>
            </w:r>
          </w:p>
        </w:tc>
        <w:tc>
          <w:tcPr>
            <w:tcW w:w="0" w:type="dxa"/>
            <w:vAlign w:val="bottom"/>
          </w:tcPr>
          <w:p>
            <w:pPr>
              <w:spacing w:after="0"/>
              <w:rPr>
                <w:sz w:val="1"/>
                <w:szCs w:val="1"/>
                <w:color w:val="auto"/>
              </w:rPr>
            </w:pPr>
          </w:p>
        </w:tc>
      </w:tr>
      <w:tr>
        <w:trPr>
          <w:trHeight w:val="176"/>
        </w:trPr>
        <w:tc>
          <w:tcPr>
            <w:tcW w:w="6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40" w:type="dxa"/>
            <w:vAlign w:val="bottom"/>
          </w:tcPr>
          <w:p>
            <w:pPr>
              <w:spacing w:after="0"/>
              <w:rPr>
                <w:sz w:val="15"/>
                <w:szCs w:val="15"/>
                <w:color w:val="auto"/>
              </w:rPr>
            </w:pPr>
          </w:p>
        </w:tc>
        <w:tc>
          <w:tcPr>
            <w:tcW w:w="100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rPr>
              <w:t>(Loss) per</w:t>
            </w:r>
          </w:p>
        </w:tc>
        <w:tc>
          <w:tcPr>
            <w:tcW w:w="260" w:type="dxa"/>
            <w:vAlign w:val="bottom"/>
          </w:tcPr>
          <w:p>
            <w:pPr>
              <w:spacing w:after="0"/>
              <w:rPr>
                <w:sz w:val="15"/>
                <w:szCs w:val="15"/>
                <w:color w:val="auto"/>
              </w:rPr>
            </w:pPr>
          </w:p>
        </w:tc>
        <w:tc>
          <w:tcPr>
            <w:tcW w:w="102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80" w:type="dxa"/>
            <w:vAlign w:val="bottom"/>
          </w:tcPr>
          <w:p>
            <w:pPr>
              <w:spacing w:after="0"/>
              <w:rPr>
                <w:sz w:val="15"/>
                <w:szCs w:val="15"/>
                <w:color w:val="auto"/>
              </w:rPr>
            </w:pPr>
          </w:p>
        </w:tc>
        <w:tc>
          <w:tcPr>
            <w:tcW w:w="9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(Loss) per</w:t>
            </w:r>
          </w:p>
        </w:tc>
        <w:tc>
          <w:tcPr>
            <w:tcW w:w="0" w:type="dxa"/>
            <w:vAlign w:val="bottom"/>
          </w:tcPr>
          <w:p>
            <w:pPr>
              <w:spacing w:after="0"/>
              <w:rPr>
                <w:sz w:val="1"/>
                <w:szCs w:val="1"/>
                <w:color w:val="auto"/>
              </w:rPr>
            </w:pPr>
          </w:p>
        </w:tc>
      </w:tr>
      <w:tr>
        <w:trPr>
          <w:trHeight w:val="175"/>
        </w:trPr>
        <w:tc>
          <w:tcPr>
            <w:tcW w:w="6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rPr>
              <w:t>Diluted</w:t>
            </w:r>
          </w:p>
        </w:tc>
        <w:tc>
          <w:tcPr>
            <w:tcW w:w="2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Diluted</w:t>
            </w:r>
          </w:p>
        </w:tc>
        <w:tc>
          <w:tcPr>
            <w:tcW w:w="0" w:type="dxa"/>
            <w:vAlign w:val="bottom"/>
          </w:tcPr>
          <w:p>
            <w:pPr>
              <w:spacing w:after="0"/>
              <w:rPr>
                <w:sz w:val="1"/>
                <w:szCs w:val="1"/>
                <w:color w:val="auto"/>
              </w:rPr>
            </w:pPr>
          </w:p>
        </w:tc>
      </w:tr>
      <w:tr>
        <w:trPr>
          <w:trHeight w:val="243"/>
        </w:trPr>
        <w:tc>
          <w:tcPr>
            <w:tcW w:w="62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(millions, except per share amounts)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179.1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reconciling items:</w:t>
            </w: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Mark-to-market impact of JEC economic hedges, pre-tax</w:t>
            </w:r>
            <w:r>
              <w:rPr>
                <w:rFonts w:ascii="Times New Roman" w:cs="Times New Roman" w:eastAsia="Times New Roman" w:hAnsi="Times New Roman"/>
                <w:sz w:val="23"/>
                <w:szCs w:val="23"/>
                <w:color w:val="auto"/>
                <w:vertAlign w:val="superscript"/>
              </w:rPr>
              <w:t>(a)</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175"/>
        </w:trPr>
        <w:tc>
          <w:tcPr>
            <w:tcW w:w="62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Non-regulated energy marketing costs related to February 2021 winter weather</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360"/>
              <w:spacing w:after="0" w:line="243" w:lineRule="exact"/>
              <w:rPr>
                <w:sz w:val="20"/>
                <w:szCs w:val="20"/>
                <w:color w:val="auto"/>
              </w:rPr>
            </w:pPr>
            <w:r>
              <w:rPr>
                <w:rFonts w:ascii="Times New Roman" w:cs="Times New Roman" w:eastAsia="Times New Roman" w:hAnsi="Times New Roman"/>
                <w:sz w:val="18"/>
                <w:szCs w:val="18"/>
                <w:color w:val="auto"/>
              </w:rPr>
              <w:t>event, pre-tax</w:t>
            </w:r>
            <w:r>
              <w:rPr>
                <w:rFonts w:ascii="Times New Roman" w:cs="Times New Roman" w:eastAsia="Times New Roman" w:hAnsi="Times New Roman"/>
                <w:sz w:val="23"/>
                <w:szCs w:val="23"/>
                <w:color w:val="auto"/>
                <w:vertAlign w:val="superscript"/>
              </w:rPr>
              <w:t>(b)</w:t>
            </w:r>
          </w:p>
        </w:tc>
        <w:tc>
          <w:tcPr>
            <w:tcW w:w="3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Electric subdivision rebate program costs refund, pre-tax</w:t>
            </w:r>
            <w:r>
              <w:rPr>
                <w:rFonts w:ascii="Times New Roman" w:cs="Times New Roman" w:eastAsia="Times New Roman" w:hAnsi="Times New Roman"/>
                <w:sz w:val="23"/>
                <w:szCs w:val="23"/>
                <w:color w:val="auto"/>
                <w:vertAlign w:val="superscript"/>
              </w:rPr>
              <w:t>(c)</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auto"/>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Income tax benefit</w:t>
            </w:r>
            <w:r>
              <w:rPr>
                <w:rFonts w:ascii="Times New Roman" w:cs="Times New Roman" w:eastAsia="Times New Roman" w:hAnsi="Times New Roman"/>
                <w:sz w:val="23"/>
                <w:szCs w:val="23"/>
                <w:color w:val="auto"/>
                <w:vertAlign w:val="superscript"/>
              </w:rPr>
              <w:t>(d)</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earnings (non-GAAP)</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0.90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186.1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0" w:type="dxa"/>
            <w:vAlign w:val="bottom"/>
          </w:tcPr>
          <w:p>
            <w:pPr>
              <w:spacing w:after="0"/>
              <w:rPr>
                <w:sz w:val="1"/>
                <w:szCs w:val="1"/>
                <w:color w:val="auto"/>
              </w:rPr>
            </w:pPr>
          </w:p>
        </w:tc>
      </w:tr>
      <w:tr>
        <w:trPr>
          <w:trHeight w:val="331"/>
        </w:trPr>
        <w:tc>
          <w:tcPr>
            <w:tcW w:w="6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center"/>
              <w:ind w:right="90"/>
              <w:spacing w:after="0" w:line="180" w:lineRule="exact"/>
              <w:rPr>
                <w:sz w:val="20"/>
                <w:szCs w:val="20"/>
                <w:color w:val="auto"/>
              </w:rPr>
            </w:pPr>
            <w:r>
              <w:rPr>
                <w:rFonts w:ascii="Times New Roman" w:cs="Times New Roman" w:eastAsia="Times New Roman" w:hAnsi="Times New Roman"/>
                <w:sz w:val="18"/>
                <w:szCs w:val="18"/>
                <w:b w:val="1"/>
                <w:bCs w:val="1"/>
                <w:color w:val="auto"/>
                <w:w w:val="99"/>
              </w:rPr>
              <w:t>Earnings</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Earnings</w:t>
            </w:r>
          </w:p>
        </w:tc>
        <w:tc>
          <w:tcPr>
            <w:tcW w:w="0" w:type="dxa"/>
            <w:vAlign w:val="bottom"/>
          </w:tcPr>
          <w:p>
            <w:pPr>
              <w:spacing w:after="0"/>
              <w:rPr>
                <w:sz w:val="1"/>
                <w:szCs w:val="1"/>
                <w:color w:val="auto"/>
              </w:rPr>
            </w:pPr>
          </w:p>
        </w:tc>
      </w:tr>
      <w:tr>
        <w:trPr>
          <w:trHeight w:val="184"/>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40" w:type="dxa"/>
            <w:vAlign w:val="bottom"/>
          </w:tcPr>
          <w:p>
            <w:pPr>
              <w:spacing w:after="0"/>
              <w:rPr>
                <w:sz w:val="16"/>
                <w:szCs w:val="16"/>
                <w:color w:val="auto"/>
              </w:rPr>
            </w:pPr>
          </w:p>
        </w:tc>
        <w:tc>
          <w:tcPr>
            <w:tcW w:w="100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b w:val="1"/>
                <w:bCs w:val="1"/>
                <w:color w:val="auto"/>
              </w:rPr>
              <w:t>(Loss) per</w:t>
            </w:r>
          </w:p>
        </w:tc>
        <w:tc>
          <w:tcPr>
            <w:tcW w:w="260" w:type="dxa"/>
            <w:vAlign w:val="bottom"/>
          </w:tcPr>
          <w:p>
            <w:pPr>
              <w:spacing w:after="0"/>
              <w:rPr>
                <w:sz w:val="16"/>
                <w:szCs w:val="16"/>
                <w:color w:val="auto"/>
              </w:rPr>
            </w:pPr>
          </w:p>
        </w:tc>
        <w:tc>
          <w:tcPr>
            <w:tcW w:w="102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80" w:type="dxa"/>
            <w:vAlign w:val="bottom"/>
          </w:tcPr>
          <w:p>
            <w:pPr>
              <w:spacing w:after="0"/>
              <w:rPr>
                <w:sz w:val="16"/>
                <w:szCs w:val="16"/>
                <w:color w:val="auto"/>
              </w:rPr>
            </w:pPr>
          </w:p>
        </w:tc>
        <w:tc>
          <w:tcPr>
            <w:tcW w:w="94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rPr>
              <w:t>(Loss) per</w:t>
            </w:r>
          </w:p>
        </w:tc>
        <w:tc>
          <w:tcPr>
            <w:tcW w:w="0" w:type="dxa"/>
            <w:vAlign w:val="bottom"/>
          </w:tcPr>
          <w:p>
            <w:pPr>
              <w:spacing w:after="0"/>
              <w:rPr>
                <w:sz w:val="1"/>
                <w:szCs w:val="1"/>
                <w:color w:val="auto"/>
              </w:rPr>
            </w:pPr>
          </w:p>
        </w:tc>
      </w:tr>
      <w:tr>
        <w:trPr>
          <w:trHeight w:val="175"/>
        </w:trPr>
        <w:tc>
          <w:tcPr>
            <w:tcW w:w="6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rPr>
              <w:t>Diluted</w:t>
            </w:r>
          </w:p>
        </w:tc>
        <w:tc>
          <w:tcPr>
            <w:tcW w:w="2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Diluted</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June 30</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(millions, except per share amounts)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329.7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reconciling items:</w:t>
            </w: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Mark-to-market impact of JEC economic hedges, pre-tax</w:t>
            </w:r>
            <w:r>
              <w:rPr>
                <w:rFonts w:ascii="Times New Roman" w:cs="Times New Roman" w:eastAsia="Times New Roman" w:hAnsi="Times New Roman"/>
                <w:sz w:val="23"/>
                <w:szCs w:val="23"/>
                <w:color w:val="auto"/>
                <w:vertAlign w:val="superscript"/>
              </w:rPr>
              <w:t>(a)</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181"/>
        </w:trPr>
        <w:tc>
          <w:tcPr>
            <w:tcW w:w="628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Non-regulated energy marketing costs related to February 2021 winter weather</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280" w:type="dxa"/>
            <w:vAlign w:val="bottom"/>
          </w:tcPr>
          <w:p>
            <w:pPr>
              <w:ind w:left="360"/>
              <w:spacing w:after="0" w:line="237" w:lineRule="exact"/>
              <w:rPr>
                <w:sz w:val="20"/>
                <w:szCs w:val="20"/>
                <w:color w:val="auto"/>
              </w:rPr>
            </w:pPr>
            <w:r>
              <w:rPr>
                <w:rFonts w:ascii="Times New Roman" w:cs="Times New Roman" w:eastAsia="Times New Roman" w:hAnsi="Times New Roman"/>
                <w:sz w:val="18"/>
                <w:szCs w:val="18"/>
                <w:color w:val="auto"/>
              </w:rPr>
              <w:t>event, pre-tax</w:t>
            </w:r>
            <w:r>
              <w:rPr>
                <w:rFonts w:ascii="Times New Roman" w:cs="Times New Roman" w:eastAsia="Times New Roman" w:hAnsi="Times New Roman"/>
                <w:sz w:val="23"/>
                <w:szCs w:val="23"/>
                <w:color w:val="auto"/>
                <w:vertAlign w:val="superscript"/>
              </w:rPr>
              <w:t>(b)</w:t>
            </w:r>
          </w:p>
        </w:tc>
        <w:tc>
          <w:tcPr>
            <w:tcW w:w="3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Electric subdivision rebate program costs refund, pre-tax</w:t>
            </w:r>
            <w:r>
              <w:rPr>
                <w:rFonts w:ascii="Times New Roman" w:cs="Times New Roman" w:eastAsia="Times New Roman" w:hAnsi="Times New Roman"/>
                <w:sz w:val="23"/>
                <w:szCs w:val="23"/>
                <w:color w:val="auto"/>
                <w:vertAlign w:val="superscript"/>
              </w:rPr>
              <w:t>(c)</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auto"/>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Income tax benefit</w:t>
            </w:r>
            <w:r>
              <w:rPr>
                <w:rFonts w:ascii="Times New Roman" w:cs="Times New Roman" w:eastAsia="Times New Roman" w:hAnsi="Times New Roman"/>
                <w:sz w:val="23"/>
                <w:szCs w:val="23"/>
                <w:color w:val="auto"/>
                <w:vertAlign w:val="superscript"/>
              </w:rPr>
              <w:t>(d)</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earnings (non-GAAP)</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331.7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80" w:right="160" w:hanging="172"/>
        <w:spacing w:after="0" w:line="225" w:lineRule="auto"/>
        <w:tabs>
          <w:tab w:leader="none" w:pos="175"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mark-to-market gains or losses related to forward contracts for natural gas and electricity entered into as economic hedges against fuel price volatility related to Evergy Kansas Central's 8% ownership share of JEC that are included in operating revenues on the consolidated statements of comprehensive income.</w:t>
      </w:r>
    </w:p>
    <w:p>
      <w:pPr>
        <w:ind w:left="180" w:right="140" w:hanging="172"/>
        <w:spacing w:after="0" w:line="231" w:lineRule="auto"/>
        <w:tabs>
          <w:tab w:leader="none" w:pos="168"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Reflects non-regulated energy marketing incentive compensation costs related to the February 2021 winter weather event that are included in operating and maintenance expense on the consolidated statements of comprehensive income.</w:t>
      </w:r>
    </w:p>
    <w:p>
      <w:pPr>
        <w:ind w:left="180" w:right="60" w:hanging="172"/>
        <w:spacing w:after="0" w:line="229" w:lineRule="auto"/>
        <w:tabs>
          <w:tab w:leader="none" w:pos="175"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the second quarter 2023 recognition of a regulatory liability for the refund to customers of revenues previously collected since October 2019 for costs related to an electric subdivision rebate program to be refunded to customers in accordance with a June 2020 KCC order that are included in operating revenues on the consolidated statements of comprehensive income.</w:t>
      </w:r>
    </w:p>
    <w:p>
      <w:pPr>
        <w:spacing w:after="0" w:line="2" w:lineRule="exact"/>
        <w:rPr>
          <w:rFonts w:ascii="Times New Roman" w:cs="Times New Roman" w:eastAsia="Times New Roman" w:hAnsi="Times New Roman"/>
          <w:sz w:val="21"/>
          <w:szCs w:val="21"/>
          <w:color w:val="auto"/>
          <w:vertAlign w:val="superscript"/>
        </w:rPr>
      </w:pPr>
    </w:p>
    <w:p>
      <w:pPr>
        <w:ind w:left="160" w:hanging="152"/>
        <w:spacing w:after="0" w:line="222" w:lineRule="auto"/>
        <w:tabs>
          <w:tab w:leader="none" w:pos="1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Reflects an income tax effect calculated at a statutory rate of approximately 22%.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ENVIRONMENTAL MATTERS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12 to the consolidated financial statements for information regarding environmental matters.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RELATED PARTY TRANSACTIONS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13 to the consolidated financial statements for information regarding related party transactions.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EVERGY RESULTS OF OPERATIONS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Evergy's comparative results of operations.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500" w:type="dxa"/>
            <w:vAlign w:val="bottom"/>
            <w:tcBorders>
              <w:top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r>
      <w:tr>
        <w:trPr>
          <w:trHeight w:val="229"/>
        </w:trPr>
        <w:tc>
          <w:tcPr>
            <w:tcW w:w="4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8"/>
        </w:trPr>
        <w:tc>
          <w:tcPr>
            <w:tcW w:w="4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4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2"/>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1,447.5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93.3</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1,354.2</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2,778.5</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127.5</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2,651.0</w:t>
            </w: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359.0</w:t>
            </w:r>
          </w:p>
        </w:tc>
        <w:tc>
          <w:tcPr>
            <w:tcW w:w="28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14.2</w:t>
            </w:r>
          </w:p>
        </w:tc>
        <w:tc>
          <w:tcPr>
            <w:tcW w:w="34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344.8</w:t>
            </w:r>
          </w:p>
        </w:tc>
        <w:tc>
          <w:tcPr>
            <w:tcW w:w="36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735.4</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36.4</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699.0</w:t>
            </w: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SPP network transmission costs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24.6</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75.4</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172.7</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16.1</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237.7</w:t>
            </w:r>
          </w:p>
        </w:tc>
        <w:tc>
          <w:tcPr>
            <w:tcW w:w="28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227.6</w:t>
            </w:r>
          </w:p>
        </w:tc>
        <w:tc>
          <w:tcPr>
            <w:tcW w:w="36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469.2</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25.3</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443.9</w:t>
            </w: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280.1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10.7</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269.4</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556.2</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23.4</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w:t>
            </w:r>
          </w:p>
        </w:tc>
      </w:tr>
      <w:tr>
        <w:trPr>
          <w:trHeight w:val="229"/>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112.6</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12.2</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100.4</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226.7</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23.9</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w:t>
            </w:r>
          </w:p>
        </w:tc>
      </w:tr>
      <w:tr>
        <w:trPr>
          <w:trHeight w:val="223"/>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358.1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21.5</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336.6</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618.3</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w:t>
            </w: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12.7</w:t>
            </w:r>
          </w:p>
        </w:tc>
        <w:tc>
          <w:tcPr>
            <w:tcW w:w="34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w:t>
            </w:r>
          </w:p>
        </w:tc>
        <w:tc>
          <w:tcPr>
            <w:tcW w:w="36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17.0</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143.6</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9.9</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133.7</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276.8</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20.0</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10.8</w:t>
            </w:r>
          </w:p>
        </w:tc>
        <w:tc>
          <w:tcPr>
            <w:tcW w:w="36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14.7</w:t>
            </w: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184"/>
        </w:trPr>
        <w:tc>
          <w:tcPr>
            <w:tcW w:w="40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Equity in earnings of equity method investees, net of</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34"/>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c>
          <w:tcPr>
            <w:tcW w:w="3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210.1</w:t>
            </w:r>
          </w:p>
        </w:tc>
        <w:tc>
          <w:tcPr>
            <w:tcW w:w="28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27.9</w:t>
            </w:r>
          </w:p>
        </w:tc>
        <w:tc>
          <w:tcPr>
            <w:tcW w:w="34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182.2</w:t>
            </w:r>
          </w:p>
        </w:tc>
        <w:tc>
          <w:tcPr>
            <w:tcW w:w="36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335.9</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w:t>
            </w:r>
          </w:p>
        </w:tc>
      </w:tr>
      <w:tr>
        <w:trPr>
          <w:trHeight w:val="184"/>
        </w:trPr>
        <w:tc>
          <w:tcPr>
            <w:tcW w:w="40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34"/>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207.0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27.9</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179.1</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329.7</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ind w:left="1"/>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Gross Margin (GAAP) and Utility Gross Margin (non-GAAP)</w:t>
      </w:r>
    </w:p>
    <w:p>
      <w:pPr>
        <w:spacing w:after="0" w:line="32" w:lineRule="exact"/>
        <w:rPr>
          <w:sz w:val="20"/>
          <w:szCs w:val="20"/>
          <w:color w:val="auto"/>
        </w:rPr>
      </w:pPr>
    </w:p>
    <w:p>
      <w:pPr>
        <w:ind w:left="1" w:right="220"/>
        <w:spacing w:after="0" w:line="253" w:lineRule="auto"/>
        <w:rPr>
          <w:sz w:val="20"/>
          <w:szCs w:val="20"/>
          <w:color w:val="auto"/>
        </w:rPr>
      </w:pPr>
      <w:r>
        <w:rPr>
          <w:rFonts w:ascii="Times New Roman" w:cs="Times New Roman" w:eastAsia="Times New Roman" w:hAnsi="Times New Roman"/>
          <w:sz w:val="20"/>
          <w:szCs w:val="20"/>
          <w:color w:val="auto"/>
        </w:rPr>
        <w:t>The following tables summarize Evergy's gross margin (GAAP) and MWhs sold and reconcile Evergy's gross margin (GAAP) to Evergy's utility gross margin (non-GAAP). See "Executive Summary - Non-GAAP Measures", above for additional information regarding gross margin (GAAP) and utility gross margin (non-GAAP).</w:t>
      </w:r>
    </w:p>
    <w:p>
      <w:pPr>
        <w:spacing w:after="0" w:line="97" w:lineRule="exact"/>
        <w:rPr>
          <w:sz w:val="20"/>
          <w:szCs w:val="20"/>
          <w:color w:val="auto"/>
        </w:rPr>
      </w:pPr>
    </w:p>
    <w:tbl>
      <w:tblPr>
        <w:tblLayout w:type="fixed"/>
        <w:tblInd w:w="1" w:type="dxa"/>
        <w:tblCellMar>
          <w:top w:w="0" w:type="dxa"/>
          <w:left w:w="0" w:type="dxa"/>
          <w:bottom w:w="0" w:type="dxa"/>
          <w:right w:w="0" w:type="dxa"/>
        </w:tblCellMar>
      </w:tblPr>
      <w:tr>
        <w:trPr>
          <w:trHeight w:val="248"/>
        </w:trPr>
        <w:tc>
          <w:tcPr>
            <w:tcW w:w="5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780" w:type="dxa"/>
            <w:vAlign w:val="bottom"/>
            <w:tcBorders>
              <w:top w:val="single" w:sz="8" w:color="auto"/>
            </w:tcBorders>
            <w:gridSpan w:val="5"/>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Revenues and Expenses</w:t>
            </w: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MWhs Sold</w:t>
            </w:r>
          </w:p>
        </w:tc>
        <w:tc>
          <w:tcPr>
            <w:tcW w:w="840" w:type="dxa"/>
            <w:vAlign w:val="bottom"/>
            <w:tcBorders>
              <w:top w:val="single" w:sz="8" w:color="auto"/>
            </w:tcBorders>
          </w:tcPr>
          <w:p>
            <w:pPr>
              <w:spacing w:after="0"/>
              <w:rPr>
                <w:sz w:val="21"/>
                <w:szCs w:val="21"/>
                <w:color w:val="auto"/>
              </w:rPr>
            </w:pPr>
          </w:p>
        </w:tc>
      </w:tr>
      <w:tr>
        <w:trPr>
          <w:trHeight w:val="238"/>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8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revenues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6"/>
                <w:szCs w:val="16"/>
                <w:color w:val="auto"/>
                <w:w w:val="98"/>
              </w:rPr>
              <w:t>(millions)</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jc w:val="center"/>
              <w:ind w:right="31"/>
              <w:spacing w:after="0"/>
              <w:rPr>
                <w:sz w:val="20"/>
                <w:szCs w:val="20"/>
                <w:color w:val="auto"/>
              </w:rPr>
            </w:pPr>
            <w:r>
              <w:rPr>
                <w:rFonts w:ascii="Times New Roman" w:cs="Times New Roman" w:eastAsia="Times New Roman" w:hAnsi="Times New Roman"/>
                <w:sz w:val="16"/>
                <w:szCs w:val="16"/>
                <w:color w:val="auto"/>
              </w:rPr>
              <w:t>(thousands)</w:t>
            </w: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536.7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3,824</w:t>
            </w:r>
          </w:p>
        </w:tc>
        <w:tc>
          <w:tcPr>
            <w:tcW w:w="11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208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w:t>
            </w: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485.8</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4,559</w:t>
            </w:r>
          </w:p>
        </w:tc>
        <w:tc>
          <w:tcPr>
            <w:tcW w:w="11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121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w:t>
            </w: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174.7</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2,124</w:t>
            </w:r>
          </w:p>
        </w:tc>
        <w:tc>
          <w:tcPr>
            <w:tcW w:w="11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retail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51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electric retail</w:t>
            </w: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1,207.4</w:t>
            </w: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87.8</w:t>
            </w:r>
          </w:p>
        </w:tc>
        <w:tc>
          <w:tcPr>
            <w:tcW w:w="2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1,119.6</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10,532</w:t>
            </w:r>
          </w:p>
        </w:tc>
        <w:tc>
          <w:tcPr>
            <w:tcW w:w="1160" w:type="dxa"/>
            <w:vAlign w:val="bottom"/>
            <w:tcBorders>
              <w:top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329</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10,203</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Wholesale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73.3</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3,342</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122.4</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44.4</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1,447.5</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93.3</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13,874</w:t>
            </w:r>
          </w:p>
        </w:tc>
        <w:tc>
          <w:tcPr>
            <w:tcW w:w="11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173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13,701</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SPP network transmission costs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and maintenance</w:t>
            </w:r>
            <w:r>
              <w:rPr>
                <w:rFonts w:ascii="Times New Roman" w:cs="Times New Roman" w:eastAsia="Times New Roman" w:hAnsi="Times New Roman"/>
                <w:sz w:val="23"/>
                <w:szCs w:val="23"/>
                <w:color w:val="auto"/>
                <w:vertAlign w:val="superscript"/>
              </w:rPr>
              <w:t>(a)</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 (GAAP)</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458.6</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15.5</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and maintenance</w:t>
            </w:r>
            <w:r>
              <w:rPr>
                <w:rFonts w:ascii="Times New Roman" w:cs="Times New Roman" w:eastAsia="Times New Roman" w:hAnsi="Times New Roman"/>
                <w:sz w:val="23"/>
                <w:szCs w:val="23"/>
                <w:color w:val="auto"/>
                <w:vertAlign w:val="superscript"/>
              </w:rPr>
              <w:t>(a)</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137.2</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280.1</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112.6</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r>
      <w:tr>
        <w:trPr>
          <w:trHeight w:val="23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Utility gross margin (non-GAAP)</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988.5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54.5</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934.0</w:t>
            </w: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r>
    </w:tbl>
    <w:p>
      <w:pPr>
        <w:ind w:left="161" w:right="140" w:hanging="161"/>
        <w:spacing w:after="0" w:line="210" w:lineRule="auto"/>
        <w:tabs>
          <w:tab w:leader="none" w:pos="156"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$100.5 million and $106.5 million for the three months ended June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1"/>
          </w:cols>
          <w:pgMar w:left="319" w:top="118" w:right="399" w:bottom="1440" w:gutter="0" w:footer="0" w:header="0"/>
        </w:sectPr>
      </w:pPr>
    </w:p>
    <w:bookmarkStart w:id="63" w:name="page64"/>
    <w:bookmarkEnd w:id="63"/>
    <w:p>
      <w:pPr>
        <w:ind w:left="1"/>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1" w:type="dxa"/>
        <w:tblCellMar>
          <w:top w:w="0" w:type="dxa"/>
          <w:left w:w="0" w:type="dxa"/>
          <w:bottom w:w="0" w:type="dxa"/>
          <w:right w:w="0" w:type="dxa"/>
        </w:tblCellMar>
      </w:tblPr>
      <w:tr>
        <w:trPr>
          <w:trHeight w:val="248"/>
        </w:trPr>
        <w:tc>
          <w:tcPr>
            <w:tcW w:w="5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780" w:type="dxa"/>
            <w:vAlign w:val="bottom"/>
            <w:tcBorders>
              <w:top w:val="single" w:sz="8" w:color="auto"/>
            </w:tcBorders>
            <w:gridSpan w:val="5"/>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Revenues and Expenses</w:t>
            </w: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MWhs Sold</w:t>
            </w:r>
          </w:p>
        </w:tc>
        <w:tc>
          <w:tcPr>
            <w:tcW w:w="840" w:type="dxa"/>
            <w:vAlign w:val="bottom"/>
            <w:tcBorders>
              <w:top w:val="single" w:sz="8" w:color="auto"/>
            </w:tcBorders>
          </w:tcPr>
          <w:p>
            <w:pPr>
              <w:spacing w:after="0"/>
              <w:rPr>
                <w:sz w:val="21"/>
                <w:szCs w:val="21"/>
                <w:color w:val="auto"/>
              </w:rPr>
            </w:pPr>
          </w:p>
        </w:tc>
      </w:tr>
      <w:tr>
        <w:trPr>
          <w:trHeight w:val="238"/>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June 30</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8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revenues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6"/>
                <w:szCs w:val="16"/>
                <w:color w:val="auto"/>
                <w:w w:val="98"/>
              </w:rPr>
              <w:t>(millions)</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jc w:val="center"/>
              <w:ind w:right="31"/>
              <w:spacing w:after="0"/>
              <w:rPr>
                <w:sz w:val="20"/>
                <w:szCs w:val="20"/>
                <w:color w:val="auto"/>
              </w:rPr>
            </w:pPr>
            <w:r>
              <w:rPr>
                <w:rFonts w:ascii="Times New Roman" w:cs="Times New Roman" w:eastAsia="Times New Roman" w:hAnsi="Times New Roman"/>
                <w:sz w:val="16"/>
                <w:szCs w:val="16"/>
                <w:color w:val="auto"/>
              </w:rPr>
              <w:t>(thousands)</w:t>
            </w: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1,015.7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64.4</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951.3</w:t>
            </w: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7,566</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209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7,357</w:t>
            </w: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918.5</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890.7</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8,849</w:t>
            </w:r>
          </w:p>
        </w:tc>
        <w:tc>
          <w:tcPr>
            <w:tcW w:w="11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8,749</w:t>
            </w: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335.1</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10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4,171</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w:t>
            </w: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retail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52</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51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electric retail</w:t>
            </w: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2,291.4</w:t>
            </w: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112.8</w:t>
            </w:r>
          </w:p>
        </w:tc>
        <w:tc>
          <w:tcPr>
            <w:tcW w:w="2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2,178.6</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20,638</w:t>
            </w:r>
          </w:p>
        </w:tc>
        <w:tc>
          <w:tcPr>
            <w:tcW w:w="116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288</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20,350</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Wholesale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144.3</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6,636</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7,046</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237.8</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31.5</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105.0</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2,778.5</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127.5</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27,274</w:t>
            </w:r>
          </w:p>
        </w:tc>
        <w:tc>
          <w:tcPr>
            <w:tcW w:w="11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27,396</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SPP network transmission costs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and maintenance</w:t>
            </w:r>
            <w:r>
              <w:rPr>
                <w:rFonts w:ascii="Times New Roman" w:cs="Times New Roman" w:eastAsia="Times New Roman" w:hAnsi="Times New Roman"/>
                <w:sz w:val="23"/>
                <w:szCs w:val="23"/>
                <w:color w:val="auto"/>
                <w:vertAlign w:val="superscript"/>
              </w:rPr>
              <w:t>(a)</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 (GAAP)</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814.4</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820.5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51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and maintenance</w:t>
            </w:r>
            <w:r>
              <w:rPr>
                <w:rFonts w:ascii="Times New Roman" w:cs="Times New Roman" w:eastAsia="Times New Roman" w:hAnsi="Times New Roman"/>
                <w:sz w:val="23"/>
                <w:szCs w:val="23"/>
                <w:color w:val="auto"/>
                <w:vertAlign w:val="superscript"/>
              </w:rPr>
              <w:t>(a)</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273.1</w:t>
            </w:r>
          </w:p>
        </w:tc>
        <w:tc>
          <w:tcPr>
            <w:tcW w:w="1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556.2</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226.7</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23.9</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r>
      <w:tr>
        <w:trPr>
          <w:trHeight w:val="230"/>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Utility gross margin (non-GAAP)</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1,870.4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75.0</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1,795.4</w:t>
            </w: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r>
    </w:tbl>
    <w:p>
      <w:pPr>
        <w:ind w:left="161" w:right="160" w:hanging="161"/>
        <w:spacing w:after="0" w:line="210" w:lineRule="auto"/>
        <w:tabs>
          <w:tab w:leader="none" w:pos="156"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$196.1 million and $204.6 million year to date June 30, 2024 and 2023, respectively.</w:t>
      </w:r>
    </w:p>
    <w:p>
      <w:pPr>
        <w:spacing w:after="0" w:line="322" w:lineRule="exact"/>
        <w:rPr>
          <w:sz w:val="20"/>
          <w:szCs w:val="20"/>
          <w:color w:val="auto"/>
        </w:rPr>
      </w:pPr>
    </w:p>
    <w:p>
      <w:pPr>
        <w:ind w:left="1"/>
        <w:spacing w:after="0" w:line="268" w:lineRule="auto"/>
        <w:rPr>
          <w:sz w:val="20"/>
          <w:szCs w:val="20"/>
          <w:color w:val="auto"/>
        </w:rPr>
      </w:pPr>
      <w:r>
        <w:rPr>
          <w:rFonts w:ascii="Times New Roman" w:cs="Times New Roman" w:eastAsia="Times New Roman" w:hAnsi="Times New Roman"/>
          <w:sz w:val="20"/>
          <w:szCs w:val="20"/>
          <w:color w:val="auto"/>
        </w:rPr>
        <w:t>Evergy's gross margin (GAAP) increased $15.5 million for the three months ended June 30, 2024, compared to the same period in 2023 and Evergy's utility gross margin (non-GAAP) increased $54.5 million for the three months ended June 30, 2024, compared to the same period in 2023, both measures were driven by:</w:t>
      </w:r>
    </w:p>
    <w:p>
      <w:pPr>
        <w:spacing w:after="0" w:line="53" w:lineRule="exact"/>
        <w:rPr>
          <w:sz w:val="20"/>
          <w:szCs w:val="20"/>
          <w:color w:val="auto"/>
        </w:rPr>
      </w:pPr>
    </w:p>
    <w:p>
      <w:pPr>
        <w:ind w:left="661" w:right="420" w:hanging="328"/>
        <w:spacing w:after="0" w:line="283" w:lineRule="auto"/>
        <w:tabs>
          <w:tab w:leader="none" w:pos="649"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$29.3 million net increase from new retail rates in Kansas effective in December 2023 consisting of $34.8 million from higher Evergy Kansas Central retail rates, partially offset by $5.5 million from lower Evergy Metro retail rates;</w:t>
      </w:r>
    </w:p>
    <w:p>
      <w:pPr>
        <w:spacing w:after="0" w:line="38" w:lineRule="exact"/>
        <w:rPr>
          <w:rFonts w:ascii="Times New Roman" w:cs="Times New Roman" w:eastAsia="Times New Roman" w:hAnsi="Times New Roman"/>
          <w:sz w:val="20"/>
          <w:szCs w:val="20"/>
          <w:color w:val="auto"/>
        </w:rPr>
      </w:pPr>
    </w:p>
    <w:p>
      <w:pPr>
        <w:ind w:left="661" w:right="300" w:hanging="328"/>
        <w:spacing w:after="0" w:line="283" w:lineRule="auto"/>
        <w:tabs>
          <w:tab w:leader="none" w:pos="649"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$21.9 million increase in transmission revenue primarily due to updated transmission costs reflected in Evergy Kansas Central's FERC TFR effective in January 2024;</w:t>
      </w:r>
    </w:p>
    <w:p>
      <w:pPr>
        <w:spacing w:after="0" w:line="38" w:lineRule="exact"/>
        <w:rPr>
          <w:rFonts w:ascii="Times New Roman" w:cs="Times New Roman" w:eastAsia="Times New Roman" w:hAnsi="Times New Roman"/>
          <w:sz w:val="20"/>
          <w:szCs w:val="20"/>
          <w:color w:val="auto"/>
        </w:rPr>
      </w:pPr>
    </w:p>
    <w:p>
      <w:pPr>
        <w:ind w:left="661" w:right="260" w:hanging="328"/>
        <w:spacing w:after="0" w:line="283" w:lineRule="auto"/>
        <w:tabs>
          <w:tab w:leader="none" w:pos="649"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$9.4 million increase primarily due to higher retail sales driven by favorable weather (cooling degree days increased by 7%) and higher weather-normalized residential and commercial demand;</w:t>
      </w:r>
    </w:p>
    <w:p>
      <w:pPr>
        <w:spacing w:after="0" w:line="51" w:lineRule="exact"/>
        <w:rPr>
          <w:rFonts w:ascii="Times New Roman" w:cs="Times New Roman" w:eastAsia="Times New Roman" w:hAnsi="Times New Roman"/>
          <w:sz w:val="20"/>
          <w:szCs w:val="20"/>
          <w:color w:val="auto"/>
        </w:rPr>
      </w:pPr>
    </w:p>
    <w:p>
      <w:pPr>
        <w:ind w:left="661" w:right="60" w:hanging="328"/>
        <w:spacing w:after="0" w:line="261" w:lineRule="auto"/>
        <w:tabs>
          <w:tab w:leader="none" w:pos="649"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$6.4 million increase due to mark-to-market losses related to forward contracts for natural gas and electricity entered into as economic hedges against fuel price volatility related to Evergy Kansas Central's 8% ownership share of JEC in the second quarter of 2023; and</w:t>
      </w:r>
    </w:p>
    <w:p>
      <w:pPr>
        <w:spacing w:after="0" w:line="59" w:lineRule="exact"/>
        <w:rPr>
          <w:rFonts w:ascii="Times New Roman" w:cs="Times New Roman" w:eastAsia="Times New Roman" w:hAnsi="Times New Roman"/>
          <w:sz w:val="20"/>
          <w:szCs w:val="20"/>
          <w:color w:val="auto"/>
        </w:rPr>
      </w:pPr>
    </w:p>
    <w:p>
      <w:pPr>
        <w:ind w:left="661" w:right="200" w:hanging="328"/>
        <w:spacing w:after="0" w:line="310" w:lineRule="auto"/>
        <w:tabs>
          <w:tab w:leader="none" w:pos="649"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$6.3 million increase due to Evergy Missouri West's recovery of extraordinary fuel and purchased power costs incurred as part of the February 2021 winter weather event through a securitized utility tariff charge effective in February 2024; partially offset by</w:t>
      </w:r>
    </w:p>
    <w:p>
      <w:pPr>
        <w:spacing w:after="0" w:line="29" w:lineRule="exact"/>
        <w:rPr>
          <w:rFonts w:ascii="Times New Roman" w:cs="Times New Roman" w:eastAsia="Times New Roman" w:hAnsi="Times New Roman"/>
          <w:sz w:val="19"/>
          <w:szCs w:val="19"/>
          <w:color w:val="auto"/>
        </w:rPr>
      </w:pPr>
    </w:p>
    <w:p>
      <w:pPr>
        <w:ind w:left="661" w:right="160" w:hanging="328"/>
        <w:spacing w:after="0" w:line="269" w:lineRule="auto"/>
        <w:tabs>
          <w:tab w:leader="none" w:pos="649"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$11.1 million decrease as a result of recording a reduction in the second quarter of 2023 to Evergy Metro's Earnings Review and Sharing Plan (ERSP) refund obligation to customers; and</w:t>
      </w:r>
    </w:p>
    <w:p>
      <w:pPr>
        <w:spacing w:after="0" w:line="64" w:lineRule="exact"/>
        <w:rPr>
          <w:rFonts w:ascii="Times New Roman" w:cs="Times New Roman" w:eastAsia="Times New Roman" w:hAnsi="Times New Roman"/>
          <w:sz w:val="20"/>
          <w:szCs w:val="20"/>
          <w:color w:val="auto"/>
        </w:rPr>
      </w:pPr>
    </w:p>
    <w:p>
      <w:pPr>
        <w:ind w:left="661" w:right="20" w:hanging="328"/>
        <w:spacing w:after="0" w:line="269" w:lineRule="auto"/>
        <w:tabs>
          <w:tab w:leader="none" w:pos="649"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$7.7 million decrease related to non-regulated sales in the second quarter of 2023 related to Evergy Kansas Central's 8% ownership share of JEC, which is included in rate base in 2024 as a result of Evergy Kansas Central's 2023 rate case.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1"/>
          </w:cols>
          <w:pgMar w:left="319" w:top="118"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Additionally, the increase in Evergy's gross margin (GAAP) was also driven by:</w:t>
      </w:r>
    </w:p>
    <w:p>
      <w:pPr>
        <w:spacing w:after="0" w:line="121" w:lineRule="exact"/>
        <w:rPr>
          <w:sz w:val="20"/>
          <w:szCs w:val="20"/>
          <w:color w:val="auto"/>
        </w:rPr>
      </w:pPr>
    </w:p>
    <w:p>
      <w:pPr>
        <w:ind w:left="660" w:right="20" w:hanging="328"/>
        <w:spacing w:after="0" w:line="254" w:lineRule="auto"/>
        <w:tabs>
          <w:tab w:leader="none" w:pos="64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$16.1 million increase in operating and maintenance expenses which are determined to be directly attributable to revenue producing activities primarily driven by a $10.9 million increase in transmission and distribution operating and maintenance expense and an $8.9 million increase in plant operating and maintenance expense at fossil-fuel generating units; partially offset by an $8.5 million decrease in plant operating and maintenance expense at Wolf Creek as further described below;</w:t>
      </w:r>
    </w:p>
    <w:p>
      <w:pPr>
        <w:spacing w:after="0" w:line="7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$12.2 million increase in taxes other than income tax as further described below; and</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$10.7 million increase in depreciation and amortization as further described below.</w:t>
      </w:r>
    </w:p>
    <w:p>
      <w:pPr>
        <w:spacing w:after="0" w:line="21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20"/>
          <w:szCs w:val="20"/>
          <w:color w:val="auto"/>
        </w:rPr>
        <w:t>Evergy's gross margin (GAAP) decreased $6.1 million year to date June 30, 2024, compared to the same period in 2023 and Evergy's utility gross margin (non-GAAP) increased $75.0 million year to date June 30, 2024, compared to the same period in 2023, both measures were driven by:</w:t>
      </w:r>
    </w:p>
    <w:p>
      <w:pPr>
        <w:spacing w:after="0" w:line="73" w:lineRule="exact"/>
        <w:rPr>
          <w:sz w:val="20"/>
          <w:szCs w:val="20"/>
          <w:color w:val="auto"/>
        </w:rPr>
      </w:pPr>
    </w:p>
    <w:p>
      <w:pPr>
        <w:ind w:left="660" w:right="420" w:hanging="328"/>
        <w:spacing w:after="0" w:line="283" w:lineRule="auto"/>
        <w:tabs>
          <w:tab w:leader="none" w:pos="64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$56.8 million net increase from new retail rates in Kansas effective in December 2023 consisting of $66.7 million from higher Evergy Kansas Central retail rates, partially offset by $9.9 million from lower Evergy Metro retail rates;</w:t>
      </w:r>
    </w:p>
    <w:p>
      <w:pPr>
        <w:spacing w:after="0" w:line="38" w:lineRule="exact"/>
        <w:rPr>
          <w:rFonts w:ascii="Times New Roman" w:cs="Times New Roman" w:eastAsia="Times New Roman" w:hAnsi="Times New Roman"/>
          <w:sz w:val="20"/>
          <w:szCs w:val="20"/>
          <w:color w:val="auto"/>
        </w:rPr>
      </w:pPr>
    </w:p>
    <w:p>
      <w:pPr>
        <w:ind w:left="660" w:right="300" w:hanging="328"/>
        <w:spacing w:after="0" w:line="283" w:lineRule="auto"/>
        <w:tabs>
          <w:tab w:leader="none" w:pos="64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$31.5 million increase in transmission revenue primarily due to updated transmission costs reflected in Evergy Kansas Central's FERC TFR effective in January 2024;</w:t>
      </w:r>
    </w:p>
    <w:p>
      <w:pPr>
        <w:spacing w:after="0" w:line="38" w:lineRule="exact"/>
        <w:rPr>
          <w:rFonts w:ascii="Times New Roman" w:cs="Times New Roman" w:eastAsia="Times New Roman" w:hAnsi="Times New Roman"/>
          <w:sz w:val="20"/>
          <w:szCs w:val="20"/>
          <w:color w:val="auto"/>
        </w:rPr>
      </w:pPr>
    </w:p>
    <w:p>
      <w:pPr>
        <w:ind w:left="660" w:right="160" w:hanging="328"/>
        <w:spacing w:after="0" w:line="283" w:lineRule="auto"/>
        <w:tabs>
          <w:tab w:leader="none" w:pos="64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$12.2 million increase primarily due to higher retail sales driven by favorable weather (cooling degree days increased by 8%) and higher weather-normalized residential and commercial demand; and</w:t>
      </w:r>
    </w:p>
    <w:p>
      <w:pPr>
        <w:spacing w:after="0" w:line="51" w:lineRule="exact"/>
        <w:rPr>
          <w:rFonts w:ascii="Times New Roman" w:cs="Times New Roman" w:eastAsia="Times New Roman" w:hAnsi="Times New Roman"/>
          <w:sz w:val="20"/>
          <w:szCs w:val="20"/>
          <w:color w:val="auto"/>
        </w:rPr>
      </w:pPr>
    </w:p>
    <w:p>
      <w:pPr>
        <w:ind w:left="660" w:right="200" w:hanging="328"/>
        <w:spacing w:after="0" w:line="295" w:lineRule="auto"/>
        <w:tabs>
          <w:tab w:leader="none" w:pos="648"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$5.2 million increase due to Evergy Missouri West's recovery of extraordinary fuel and purchased power costs incurred as part of the February 2021 winter weather event through a securitized utility tariff charge effective in February 2024; partially offset by</w:t>
      </w:r>
    </w:p>
    <w:p>
      <w:pPr>
        <w:spacing w:after="0" w:line="43" w:lineRule="exact"/>
        <w:rPr>
          <w:rFonts w:ascii="Times New Roman" w:cs="Times New Roman" w:eastAsia="Times New Roman" w:hAnsi="Times New Roman"/>
          <w:sz w:val="19"/>
          <w:szCs w:val="19"/>
          <w:color w:val="auto"/>
        </w:rPr>
      </w:pPr>
    </w:p>
    <w:p>
      <w:pPr>
        <w:ind w:left="660" w:hanging="328"/>
        <w:spacing w:after="0" w:line="269" w:lineRule="auto"/>
        <w:tabs>
          <w:tab w:leader="none" w:pos="64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$15.0 million decrease related to non-regulated sales in 2023 related to Evergy Kansas Central's 8% ownership share of JEC, which is included in rate base in 2024 as a result of Evergy Kansas Central's 2023 rate case;</w:t>
      </w:r>
    </w:p>
    <w:p>
      <w:pPr>
        <w:spacing w:after="0" w:line="64" w:lineRule="exact"/>
        <w:rPr>
          <w:rFonts w:ascii="Times New Roman" w:cs="Times New Roman" w:eastAsia="Times New Roman" w:hAnsi="Times New Roman"/>
          <w:sz w:val="20"/>
          <w:szCs w:val="20"/>
          <w:color w:val="auto"/>
        </w:rPr>
      </w:pPr>
    </w:p>
    <w:p>
      <w:pPr>
        <w:ind w:left="660" w:right="820" w:hanging="328"/>
        <w:spacing w:after="0" w:line="269" w:lineRule="auto"/>
        <w:tabs>
          <w:tab w:leader="none" w:pos="64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$11.1 million decrease as a result of recording a reduction in the second quarter of 2023 to Evergy Metro's ERSP refund obligation to customers; and</w:t>
      </w:r>
    </w:p>
    <w:p>
      <w:pPr>
        <w:spacing w:after="0" w:line="64" w:lineRule="exact"/>
        <w:rPr>
          <w:rFonts w:ascii="Times New Roman" w:cs="Times New Roman" w:eastAsia="Times New Roman" w:hAnsi="Times New Roman"/>
          <w:sz w:val="20"/>
          <w:szCs w:val="20"/>
          <w:color w:val="auto"/>
        </w:rPr>
      </w:pPr>
    </w:p>
    <w:p>
      <w:pPr>
        <w:ind w:left="660" w:right="20" w:hanging="328"/>
        <w:spacing w:after="0" w:line="283" w:lineRule="auto"/>
        <w:tabs>
          <w:tab w:leader="none" w:pos="64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$4.6 million decrease due to higher mark-to-market losses related to forward contracts for natural gas and electricity entered into as economic hedges against fuel price volatility related to Evergy Kansas Central's 8% ownership share of JEC in 2024.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Additionally, the decrease in Evergy's gross margin (GAAP) was also driven by:</w:t>
      </w:r>
    </w:p>
    <w:p>
      <w:pPr>
        <w:spacing w:after="0" w:line="121" w:lineRule="exact"/>
        <w:rPr>
          <w:sz w:val="20"/>
          <w:szCs w:val="20"/>
          <w:color w:val="auto"/>
        </w:rPr>
      </w:pPr>
    </w:p>
    <w:p>
      <w:pPr>
        <w:ind w:left="660" w:right="20" w:hanging="328"/>
        <w:spacing w:after="0" w:line="258" w:lineRule="auto"/>
        <w:tabs>
          <w:tab w:leader="none" w:pos="6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$33.8 million increase in operating and maintenance expenses which are determined to be directly attributable to revenue producing activities primarily driven by a $21.3 million increase in transmission and distribution operating and maintenance expense and a $10.3 million increase in plant operating and maintenance expense at fossil-fuel generating units; partially offset by a $4.2 million decrease in plant operating and maintenance expense at Wolf Creek as further described below;</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$23.9 million increase in taxes other than income tax as further described below; and</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$23.4 million increase in depreciation and amortization as further described below.</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and Maintenance</w:t>
      </w:r>
    </w:p>
    <w:p>
      <w:pPr>
        <w:spacing w:after="0" w:line="3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Evergy's operating and maintenance expense increased $10.1 million for the three months ended June 30, 2024, compared to the same period in 2023, primarily driven by:</w:t>
      </w:r>
    </w:p>
    <w:p>
      <w:pPr>
        <w:spacing w:after="0" w:line="80" w:lineRule="exact"/>
        <w:rPr>
          <w:sz w:val="20"/>
          <w:szCs w:val="20"/>
          <w:color w:val="auto"/>
        </w:rPr>
      </w:pPr>
    </w:p>
    <w:p>
      <w:pPr>
        <w:ind w:left="660" w:hanging="328"/>
        <w:spacing w:after="0" w:line="253" w:lineRule="auto"/>
        <w:tabs>
          <w:tab w:leader="none" w:pos="64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$10.9 million increase in transmission and distribution operating and maintenance expenses driven by a $6.2 million increase in non-labor expense primarily due to $3.3 million of higher costs incurred from storms in the second quarter of 2024 and a $1.2 million increase in vegetation management costs and a $4.7 million increase in labor expense in the second quarter of 2024 driven by lower capitalization activity related to the installation of transformers and meters in the second quarter of 2024, higher storm outage activity and higher employee headcount; and</w:t>
      </w:r>
    </w:p>
    <w:p>
      <w:pPr>
        <w:spacing w:after="0" w:line="83" w:lineRule="exact"/>
        <w:rPr>
          <w:rFonts w:ascii="Times New Roman" w:cs="Times New Roman" w:eastAsia="Times New Roman" w:hAnsi="Times New Roman"/>
          <w:sz w:val="20"/>
          <w:szCs w:val="20"/>
          <w:color w:val="auto"/>
        </w:rPr>
      </w:pPr>
    </w:p>
    <w:p>
      <w:pPr>
        <w:ind w:left="660" w:right="240" w:hanging="328"/>
        <w:spacing w:after="0" w:line="269" w:lineRule="auto"/>
        <w:tabs>
          <w:tab w:leader="none" w:pos="64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$8.9 million increase in plant operating and maintenance expense at fossil-fuel generating units primarily due to a $10.0 million increase at Evergy Kansas Central driven by a major maintenance outage at JEC in 2024; partially offset by</w:t>
      </w:r>
    </w:p>
    <w:p>
      <w:pPr>
        <w:spacing w:after="0" w:line="64" w:lineRule="exact"/>
        <w:rPr>
          <w:rFonts w:ascii="Times New Roman" w:cs="Times New Roman" w:eastAsia="Times New Roman" w:hAnsi="Times New Roman"/>
          <w:sz w:val="20"/>
          <w:szCs w:val="20"/>
          <w:color w:val="auto"/>
        </w:rPr>
      </w:pPr>
    </w:p>
    <w:p>
      <w:pPr>
        <w:jc w:val="both"/>
        <w:ind w:left="660" w:right="400" w:hanging="328"/>
        <w:spacing w:after="0" w:line="261" w:lineRule="auto"/>
        <w:tabs>
          <w:tab w:leader="none" w:pos="64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$8.5 million decrease in plant operating and maintenance expense at Wolf Creek at Evergy Kansas Central and Evergy Metro primarily driven by lower labor expense due to an increase in labor capitalization as a result of the refueling outage completed in May 2024.</w:t>
      </w:r>
    </w:p>
    <w:p>
      <w:pPr>
        <w:spacing w:after="0" w:line="73" w:lineRule="exact"/>
        <w:rPr>
          <w:sz w:val="20"/>
          <w:szCs w:val="20"/>
          <w:color w:val="auto"/>
        </w:rPr>
      </w:pPr>
    </w:p>
    <w:p>
      <w:pPr>
        <w:ind w:right="560"/>
        <w:spacing w:after="0" w:line="269" w:lineRule="auto"/>
        <w:rPr>
          <w:sz w:val="20"/>
          <w:szCs w:val="20"/>
          <w:color w:val="auto"/>
        </w:rPr>
      </w:pPr>
      <w:r>
        <w:rPr>
          <w:rFonts w:ascii="Times New Roman" w:cs="Times New Roman" w:eastAsia="Times New Roman" w:hAnsi="Times New Roman"/>
          <w:sz w:val="20"/>
          <w:szCs w:val="20"/>
          <w:color w:val="auto"/>
        </w:rPr>
        <w:t>Evergy's operating and maintenance expense increased $25.3 million year to date June 30, 2024, compared to the same period in 2023, primarily driven by:</w:t>
      </w:r>
    </w:p>
    <w:p>
      <w:pPr>
        <w:spacing w:after="0" w:line="65" w:lineRule="exact"/>
        <w:rPr>
          <w:sz w:val="20"/>
          <w:szCs w:val="20"/>
          <w:color w:val="auto"/>
        </w:rPr>
      </w:pPr>
    </w:p>
    <w:p>
      <w:pPr>
        <w:ind w:left="660" w:right="120" w:hanging="328"/>
        <w:spacing w:after="0" w:line="253" w:lineRule="auto"/>
        <w:tabs>
          <w:tab w:leader="none" w:pos="6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$21.3 million increase in transmission and distribution operating and maintenance expenses driven by an $11.3 million increase in labor expense primarily due to a decrease in labor capitalization in 2024 driven by lower capitalization activity related to the installation of transformers and meters in 2024, higher storm outage activity and higher employee headcount and a $10.0 million increase in non-labor expense primarily due to $3.6 million of higher costs incurred from storms in 2024 and a $1.6 million increase in vegetation management costs; and</w:t>
      </w:r>
    </w:p>
    <w:p>
      <w:pPr>
        <w:spacing w:after="0" w:line="83" w:lineRule="exact"/>
        <w:rPr>
          <w:rFonts w:ascii="Times New Roman" w:cs="Times New Roman" w:eastAsia="Times New Roman" w:hAnsi="Times New Roman"/>
          <w:sz w:val="20"/>
          <w:szCs w:val="20"/>
          <w:color w:val="auto"/>
        </w:rPr>
      </w:pPr>
    </w:p>
    <w:p>
      <w:pPr>
        <w:ind w:left="660" w:right="240" w:hanging="328"/>
        <w:spacing w:after="0" w:line="269" w:lineRule="auto"/>
        <w:tabs>
          <w:tab w:leader="none" w:pos="6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$10.3 million increase in plant operating and maintenance expense at fossil-fuel generating units primarily due to a $12.5 million increase at Evergy Kansas Central driven by a major maintenance outage at JEC in 2024; partially offset by</w:t>
      </w:r>
    </w:p>
    <w:p>
      <w:pPr>
        <w:spacing w:after="0" w:line="64" w:lineRule="exact"/>
        <w:rPr>
          <w:rFonts w:ascii="Times New Roman" w:cs="Times New Roman" w:eastAsia="Times New Roman" w:hAnsi="Times New Roman"/>
          <w:sz w:val="20"/>
          <w:szCs w:val="20"/>
          <w:color w:val="auto"/>
        </w:rPr>
      </w:pPr>
    </w:p>
    <w:p>
      <w:pPr>
        <w:ind w:left="660" w:right="680" w:hanging="328"/>
        <w:spacing w:after="0" w:line="283" w:lineRule="auto"/>
        <w:tabs>
          <w:tab w:leader="none" w:pos="6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$4.4 million decrease due to the amortization of Evergy Kansas Central's refunds to customers of storm reserves previously collected in rates in accordance with Evergy Kansas Central's 2023 rate case; and</w:t>
      </w:r>
    </w:p>
    <w:p>
      <w:pPr>
        <w:spacing w:after="0" w:line="38" w:lineRule="exact"/>
        <w:rPr>
          <w:rFonts w:ascii="Times New Roman" w:cs="Times New Roman" w:eastAsia="Times New Roman" w:hAnsi="Times New Roman"/>
          <w:sz w:val="20"/>
          <w:szCs w:val="20"/>
          <w:color w:val="auto"/>
        </w:rPr>
      </w:pPr>
    </w:p>
    <w:p>
      <w:pPr>
        <w:ind w:left="660" w:right="400" w:hanging="328"/>
        <w:spacing w:after="0" w:line="261" w:lineRule="auto"/>
        <w:tabs>
          <w:tab w:leader="none" w:pos="6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$4.2 million decrease in plant operating and maintenance expense at Wolf Creek at Evergy Kansas Central and Evergy Metro primarily driven by lower labor expense due to an increase in labor capitalization as a result of the refueling outage completed in May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Depreciation and Amortization</w:t>
      </w:r>
    </w:p>
    <w:p>
      <w:pPr>
        <w:spacing w:after="0" w:line="32"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20"/>
          <w:szCs w:val="20"/>
          <w:color w:val="auto"/>
        </w:rPr>
        <w:t>Evergy's depreciation and amortization increased $10.7 million for the three months ended June 30, 2024, compared to the same period in 2023, driven by:</w:t>
      </w:r>
    </w:p>
    <w:p>
      <w:pPr>
        <w:spacing w:after="0" w:line="80" w:lineRule="exact"/>
        <w:rPr>
          <w:sz w:val="20"/>
          <w:szCs w:val="20"/>
          <w:color w:val="auto"/>
        </w:rPr>
      </w:pPr>
    </w:p>
    <w:p>
      <w:pPr>
        <w:ind w:left="660" w:right="440" w:hanging="328"/>
        <w:spacing w:after="0" w:line="269" w:lineRule="auto"/>
        <w:tabs>
          <w:tab w:leader="none" w:pos="6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$7.3 million increase primarily due to a change in depreciation rates as a result of Evergy Kansas Central's and Evergy Metro's 2023 rate cases effective in December 2023; and</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$3.4 million increase primarily due to capital additions.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Evergy's depreciation and amortization increased $23.4 million year to date June 30, 2024, compared to the same period in 2023, driven by:</w:t>
      </w:r>
    </w:p>
    <w:p>
      <w:pPr>
        <w:spacing w:after="0" w:line="108" w:lineRule="exact"/>
        <w:rPr>
          <w:sz w:val="20"/>
          <w:szCs w:val="20"/>
          <w:color w:val="auto"/>
        </w:rPr>
      </w:pPr>
    </w:p>
    <w:p>
      <w:pPr>
        <w:ind w:left="660" w:right="340" w:hanging="328"/>
        <w:spacing w:after="0" w:line="283" w:lineRule="auto"/>
        <w:tabs>
          <w:tab w:leader="none" w:pos="6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$14.7 million increase primarily due to a change in depreciation rates as a result of Evergy Kansas Central's and Evergy Metro's 2023 rate cases effective in December 2023; and</w:t>
      </w:r>
    </w:p>
    <w:p>
      <w:pPr>
        <w:spacing w:after="0" w:line="3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$8.7 million increase primarily due to capital additions.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Taxes Other than Income Tax</w:t>
      </w:r>
    </w:p>
    <w:p>
      <w:pPr>
        <w:spacing w:after="0" w:line="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Evergy's taxes other than income tax increased $12.2 million for the three months ended June 30, 2024, compared to the same period in 2023, primarily driven by increases at Evergy Kansas Central and Evergy Metro primarily due to the rebasing of property taxes as a result of Evergy Kansas Central's and Evergy Metro's 2023 rate cases effective in December 2023.</w:t>
      </w:r>
    </w:p>
    <w:p>
      <w:pPr>
        <w:spacing w:after="0" w:line="6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20"/>
          <w:szCs w:val="20"/>
          <w:color w:val="auto"/>
        </w:rPr>
        <w:t>Evergy's taxes other than income tax increased $23.9 million year to date June 30, 2024, compared to the same period in 2023, primarily driven by increases at Evergy Kansas Central and Evergy Metro primarily due to the rebasing of property taxes as a result of Evergy Kansas Central's and Evergy Metro's 2023 rate cases effective in December 2023.</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Income (Expense), Net</w:t>
      </w:r>
    </w:p>
    <w:p>
      <w:pPr>
        <w:spacing w:after="0" w:line="3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Evergy's other expense, net for the three months ended June 30, 2023 became other income, net for the three months ended June 30, 2024 as a result of a $12.7 million increase in net other income items, primarily driven by an $11.3 million decrease in pension non-service costs primarily due to the resetting of pension expense in retail rates as a result of Evergy Kansas Central's and Evergy Metro's 2023 rate cases effective in December 2023.</w:t>
      </w:r>
    </w:p>
    <w:p>
      <w:pPr>
        <w:spacing w:after="0" w:line="68"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20"/>
          <w:szCs w:val="20"/>
          <w:color w:val="auto"/>
        </w:rPr>
        <w:t>Evergy's other expense, net year to date June 30, 2023 became other income, net year to date June 30, 2024 as a result of a $17.0 million increase in net other income items, primarily driven by:</w:t>
      </w:r>
    </w:p>
    <w:p>
      <w:pPr>
        <w:spacing w:after="0" w:line="38" w:lineRule="exact"/>
        <w:rPr>
          <w:sz w:val="20"/>
          <w:szCs w:val="20"/>
          <w:color w:val="auto"/>
        </w:rPr>
      </w:pPr>
    </w:p>
    <w:p>
      <w:pPr>
        <w:ind w:left="660" w:right="320" w:hanging="328"/>
        <w:spacing w:after="0" w:line="283"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$21.5 million decrease in pension non-service costs primarily due to the resetting of pension expense in retail rates as a result of Evergy Kansas Central's and Evergy Metro's 2023 rate cases effective in December 2023; partially offset by</w:t>
      </w:r>
    </w:p>
    <w:p>
      <w:pPr>
        <w:spacing w:after="0" w:line="51" w:lineRule="exact"/>
        <w:rPr>
          <w:rFonts w:ascii="Times New Roman" w:cs="Times New Roman" w:eastAsia="Times New Roman" w:hAnsi="Times New Roman"/>
          <w:sz w:val="20"/>
          <w:szCs w:val="20"/>
          <w:color w:val="auto"/>
        </w:rPr>
      </w:pPr>
    </w:p>
    <w:p>
      <w:pPr>
        <w:ind w:left="660" w:right="300" w:hanging="328"/>
        <w:spacing w:after="0" w:line="261"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$7.9 million decrease in investment earnings primarily driven by a $5.0 million decrease in carrying charges related to deferred Evergy Missouri West's costs associated with the February 2021 winter weather event to be recovered through a securitized utility tariff charge effective in February 2024.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Expense</w:t>
      </w:r>
    </w:p>
    <w:p>
      <w:pPr>
        <w:spacing w:after="0" w:line="32"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20"/>
          <w:szCs w:val="20"/>
          <w:color w:val="auto"/>
        </w:rPr>
        <w:t>Evergy's interest expense increased $9.9 million for the three months ended June 30, 2024, compared to the same period in 2023, primarily driven by:</w:t>
      </w:r>
    </w:p>
    <w:p>
      <w:pPr>
        <w:spacing w:after="0" w:line="80" w:lineRule="exact"/>
        <w:rPr>
          <w:sz w:val="20"/>
          <w:szCs w:val="20"/>
          <w:color w:val="auto"/>
        </w:rPr>
      </w:pPr>
    </w:p>
    <w:p>
      <w:pPr>
        <w:ind w:left="640" w:hanging="308"/>
        <w:spacing w:after="0"/>
        <w:tabs>
          <w:tab w:leader="none" w:pos="6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$33.2 million increase due to issuances of long-term debt; partially offset by</w:t>
      </w:r>
    </w:p>
    <w:p>
      <w:pPr>
        <w:spacing w:after="0" w:line="121" w:lineRule="exact"/>
        <w:rPr>
          <w:rFonts w:ascii="Times New Roman" w:cs="Times New Roman" w:eastAsia="Times New Roman" w:hAnsi="Times New Roman"/>
          <w:sz w:val="20"/>
          <w:szCs w:val="20"/>
          <w:color w:val="auto"/>
        </w:rPr>
      </w:pPr>
    </w:p>
    <w:p>
      <w:pPr>
        <w:ind w:left="660" w:right="160" w:hanging="328"/>
        <w:spacing w:after="0" w:line="269" w:lineRule="auto"/>
        <w:tabs>
          <w:tab w:leader="none" w:pos="64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$15.7 million decrease in interest expense on short-term borrowings primarily due to lower short-term debt balances in the second quarter of 2024.</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Evergy's interest expense increased $20.0 million year to date June 30, 2024, compared to the same period in 2023, primarily driven by:</w:t>
      </w:r>
    </w:p>
    <w:p>
      <w:pPr>
        <w:spacing w:after="0" w:line="108" w:lineRule="exact"/>
        <w:rPr>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$64.7 million increase due to issuances of long-term debt; partially offset by</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$25.4 million decrease in interest expense on short-term borrowings primarily due to lower short-term debt balances in 2024; and</w:t>
      </w:r>
    </w:p>
    <w:p>
      <w:pPr>
        <w:spacing w:after="0" w:line="121" w:lineRule="exact"/>
        <w:rPr>
          <w:rFonts w:ascii="Times New Roman" w:cs="Times New Roman" w:eastAsia="Times New Roman" w:hAnsi="Times New Roman"/>
          <w:sz w:val="20"/>
          <w:szCs w:val="20"/>
          <w:color w:val="auto"/>
        </w:rPr>
      </w:pPr>
    </w:p>
    <w:p>
      <w:pPr>
        <w:ind w:left="660" w:right="660" w:hanging="328"/>
        <w:spacing w:after="0" w:line="269" w:lineRule="auto"/>
        <w:tabs>
          <w:tab w:leader="none" w:pos="64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$7.8 million decrease due to higher debt allowance for funds used during construction (AFUDC) primarily driven by higher construction work in progress balances in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 Expense</w:t>
      </w:r>
    </w:p>
    <w:p>
      <w:pPr>
        <w:spacing w:after="0" w:line="26" w:lineRule="exact"/>
        <w:rPr>
          <w:sz w:val="20"/>
          <w:szCs w:val="20"/>
          <w:color w:val="auto"/>
        </w:rPr>
      </w:pPr>
    </w:p>
    <w:p>
      <w:pPr>
        <w:ind w:right="680"/>
        <w:spacing w:after="0" w:line="260" w:lineRule="auto"/>
        <w:rPr>
          <w:sz w:val="20"/>
          <w:szCs w:val="20"/>
          <w:color w:val="auto"/>
        </w:rPr>
      </w:pPr>
      <w:r>
        <w:rPr>
          <w:rFonts w:ascii="Times New Roman" w:cs="Times New Roman" w:eastAsia="Times New Roman" w:hAnsi="Times New Roman"/>
          <w:sz w:val="20"/>
          <w:szCs w:val="20"/>
          <w:color w:val="auto"/>
        </w:rPr>
        <w:t>Evergy's income tax expense decreased $3.4 million for the three months ended June 30, 2024, compared to the same period in 2023, primarily driven by:</w:t>
      </w:r>
    </w:p>
    <w:p>
      <w:pPr>
        <w:spacing w:after="0" w:line="74" w:lineRule="exact"/>
        <w:rPr>
          <w:sz w:val="20"/>
          <w:szCs w:val="20"/>
          <w:color w:val="auto"/>
        </w:rPr>
      </w:pPr>
    </w:p>
    <w:p>
      <w:pPr>
        <w:ind w:left="660" w:right="140" w:hanging="328"/>
        <w:spacing w:after="0" w:line="269" w:lineRule="auto"/>
        <w:tabs>
          <w:tab w:leader="none" w:pos="64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$5.5 million decrease primarily due to higher amortization of excess deferred income taxes authorized by Evergy Kansas Central's and Evergy Metro's 2023 rate case; and</w:t>
      </w:r>
    </w:p>
    <w:p>
      <w:pPr>
        <w:spacing w:after="0" w:line="64" w:lineRule="exact"/>
        <w:rPr>
          <w:rFonts w:ascii="Times New Roman" w:cs="Times New Roman" w:eastAsia="Times New Roman" w:hAnsi="Times New Roman"/>
          <w:sz w:val="20"/>
          <w:szCs w:val="20"/>
          <w:color w:val="auto"/>
        </w:rPr>
      </w:pPr>
    </w:p>
    <w:p>
      <w:pPr>
        <w:ind w:left="660" w:right="360" w:hanging="328"/>
        <w:spacing w:after="0" w:line="269" w:lineRule="auto"/>
        <w:tabs>
          <w:tab w:leader="none" w:pos="64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$2.8 million decrease primarily due to higher wind and other income tax credits in 2024 principally driven by the acquisition of Persimmon Creek in the second quarter of 2023; partially offset by</w:t>
      </w:r>
    </w:p>
    <w:p>
      <w:pPr>
        <w:spacing w:after="0" w:line="64" w:lineRule="exact"/>
        <w:rPr>
          <w:rFonts w:ascii="Times New Roman" w:cs="Times New Roman" w:eastAsia="Times New Roman" w:hAnsi="Times New Roman"/>
          <w:sz w:val="20"/>
          <w:szCs w:val="20"/>
          <w:color w:val="auto"/>
        </w:rPr>
      </w:pPr>
    </w:p>
    <w:p>
      <w:pPr>
        <w:ind w:left="660" w:right="180" w:hanging="328"/>
        <w:spacing w:after="0" w:line="283" w:lineRule="auto"/>
        <w:tabs>
          <w:tab w:leader="none" w:pos="648"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$5.4 million increase primarily due to Evergy Kansas Central higher pre-tax income in the second quarter of 2024; partially offset by Evergy Metro and Evergy Missouri West lower pre-tax income in the second quarter of 2024.</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Evergy's income tax expense decreased $8.5 million year to date June 30, 2024, compared to the same period in 2023, primarily driven by:</w:t>
      </w:r>
    </w:p>
    <w:p>
      <w:pPr>
        <w:spacing w:after="0" w:line="121" w:lineRule="exact"/>
        <w:rPr>
          <w:sz w:val="20"/>
          <w:szCs w:val="20"/>
          <w:color w:val="auto"/>
        </w:rPr>
      </w:pPr>
    </w:p>
    <w:p>
      <w:pPr>
        <w:ind w:left="660" w:right="360" w:hanging="328"/>
        <w:spacing w:after="0" w:line="269" w:lineRule="auto"/>
        <w:tabs>
          <w:tab w:leader="none" w:pos="64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$5.9 million decrease primarily due to higher wind and other income tax credits in 2024 principally driven by the acquisition of Persimmon Creek in the second quarter of 2023; and</w:t>
      </w:r>
    </w:p>
    <w:p>
      <w:pPr>
        <w:spacing w:after="0" w:line="64" w:lineRule="exact"/>
        <w:rPr>
          <w:rFonts w:ascii="Times New Roman" w:cs="Times New Roman" w:eastAsia="Times New Roman" w:hAnsi="Times New Roman"/>
          <w:sz w:val="20"/>
          <w:szCs w:val="20"/>
          <w:color w:val="auto"/>
        </w:rPr>
      </w:pPr>
    </w:p>
    <w:p>
      <w:pPr>
        <w:ind w:left="660" w:right="140" w:hanging="328"/>
        <w:spacing w:after="0" w:line="269" w:lineRule="auto"/>
        <w:tabs>
          <w:tab w:leader="none" w:pos="64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$4.3 million decrease primarily due to higher amortization of excess deferred income taxes authorized by Evergy Kansas Central's and Evergy Metro's 2023 rate case.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LIQUIDITY AND CAPITAL RESOURCES</w:t>
      </w:r>
    </w:p>
    <w:p>
      <w:pPr>
        <w:spacing w:after="0" w:line="23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Evergy relies primarily upon cash from operations, short-term borrowings, long-term debt and equity issuances and its existing cash and cash equivalents to fund its capital requirements. Evergy's capital requirements primarily consist of capital expenditures, payment of contractual obligations and other commitments, and the payment of dividends to shareholders. See the Evergy Companies' combined 2023 Form 10-K for more information on Evergy's sources and uses of cash.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Short-Term Borrowings</w:t>
      </w:r>
    </w:p>
    <w:p>
      <w:pPr>
        <w:spacing w:after="0" w:line="32"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As of June 30, 2024, Evergy had $1,527.6 million of available borrowing capacity under its master credit facility. The available borrowing capacity under the master credit facility consisted of $199.3 million for Evergy, Inc., $153.4 million for Evergy Kansas Central, $584.7 million for Evergy Metro and $590.2 million for Evergy Missouri West. The Evergy Companies' borrowing capacity under the master credit facility also supports their issuance of commercial paper. See Note 8 to the consolidated financial statements for more information regarding the master credit facility.</w:t>
      </w:r>
    </w:p>
    <w:p>
      <w:pPr>
        <w:spacing w:after="0" w:line="196"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20"/>
          <w:szCs w:val="20"/>
          <w:color w:val="auto"/>
        </w:rPr>
        <w:t>Along with cash flows from operations and receivable sales facilities, Evergy generally uses borrowings under its master credit facility and the issuance of commercial paper to meet its day-to-day cash flow requirements. Evergy may also utilize these short-term borrowings to repay maturing long-term debt until the long-term debt is able to be refinanced. Evergy believes that its existing cash on hand and available borrowing capacity under its master credit facility provide sufficient liquidity for its existing capital requirements.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Significant Debt Issuances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9 to the consolidated financial statements for information regarding significant debt issuances.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Credit Ratings</w:t>
      </w:r>
    </w:p>
    <w:p>
      <w:pPr>
        <w:spacing w:after="0" w:line="32" w:lineRule="exact"/>
        <w:rPr>
          <w:sz w:val="20"/>
          <w:szCs w:val="20"/>
          <w:color w:val="auto"/>
        </w:rPr>
      </w:pPr>
    </w:p>
    <w:p>
      <w:pPr>
        <w:ind w:right="440"/>
        <w:spacing w:after="0" w:line="253" w:lineRule="auto"/>
        <w:rPr>
          <w:sz w:val="20"/>
          <w:szCs w:val="20"/>
          <w:color w:val="auto"/>
        </w:rPr>
      </w:pPr>
      <w:r>
        <w:rPr>
          <w:rFonts w:ascii="Times New Roman" w:cs="Times New Roman" w:eastAsia="Times New Roman" w:hAnsi="Times New Roman"/>
          <w:sz w:val="20"/>
          <w:szCs w:val="20"/>
          <w:color w:val="auto"/>
        </w:rPr>
        <w:t>In May 2024, Moody's Investor Service changed Evergy Missouri West's outlook from Stable to Negative, and affirmed credit ratings as detailed in the following table.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720" w:type="dxa"/>
            <w:vAlign w:val="bottom"/>
            <w:tcBorders>
              <w:top w:val="single" w:sz="8" w:color="auto"/>
            </w:tcBorders>
          </w:tcPr>
          <w:p>
            <w:pPr>
              <w:spacing w:after="0"/>
              <w:rPr>
                <w:sz w:val="21"/>
                <w:szCs w:val="21"/>
                <w:color w:val="auto"/>
              </w:rPr>
            </w:pPr>
          </w:p>
        </w:tc>
        <w:tc>
          <w:tcPr>
            <w:tcW w:w="5520" w:type="dxa"/>
            <w:vAlign w:val="bottom"/>
            <w:tcBorders>
              <w:top w:val="single" w:sz="8" w:color="auto"/>
            </w:tcBorders>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Moody's</w:t>
            </w:r>
          </w:p>
        </w:tc>
      </w:tr>
      <w:tr>
        <w:trPr>
          <w:trHeight w:val="240"/>
        </w:trPr>
        <w:tc>
          <w:tcPr>
            <w:tcW w:w="5720" w:type="dxa"/>
            <w:vAlign w:val="bottom"/>
            <w:tcBorders>
              <w:bottom w:val="single" w:sz="8" w:color="auto"/>
            </w:tcBorders>
          </w:tcPr>
          <w:p>
            <w:pPr>
              <w:spacing w:after="0"/>
              <w:rPr>
                <w:sz w:val="20"/>
                <w:szCs w:val="20"/>
                <w:color w:val="auto"/>
              </w:rPr>
            </w:pPr>
          </w:p>
        </w:tc>
        <w:tc>
          <w:tcPr>
            <w:tcW w:w="5520" w:type="dxa"/>
            <w:vAlign w:val="bottom"/>
            <w:tcBorders>
              <w:bottom w:val="single" w:sz="8" w:color="auto"/>
            </w:tcBorders>
          </w:tcPr>
          <w:p>
            <w:pPr>
              <w:jc w:val="center"/>
              <w:ind w:left="3470"/>
              <w:spacing w:after="0" w:line="240" w:lineRule="exact"/>
              <w:rPr>
                <w:sz w:val="20"/>
                <w:szCs w:val="20"/>
                <w:color w:val="auto"/>
              </w:rPr>
            </w:pPr>
            <w:r>
              <w:rPr>
                <w:rFonts w:ascii="Times New Roman" w:cs="Times New Roman" w:eastAsia="Times New Roman" w:hAnsi="Times New Roman"/>
                <w:sz w:val="18"/>
                <w:szCs w:val="18"/>
                <w:b w:val="1"/>
                <w:bCs w:val="1"/>
                <w:color w:val="auto"/>
                <w:w w:val="96"/>
              </w:rPr>
              <w:t>Investors Service</w:t>
            </w:r>
            <w:r>
              <w:rPr>
                <w:rFonts w:ascii="Times New Roman" w:cs="Times New Roman" w:eastAsia="Times New Roman" w:hAnsi="Times New Roman"/>
                <w:sz w:val="23"/>
                <w:szCs w:val="23"/>
                <w:b w:val="1"/>
                <w:bCs w:val="1"/>
                <w:color w:val="auto"/>
                <w:w w:val="96"/>
                <w:vertAlign w:val="superscript"/>
              </w:rPr>
              <w:t>(a)</w:t>
            </w: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Evergy Missouri West</w:t>
            </w:r>
          </w:p>
        </w:tc>
        <w:tc>
          <w:tcPr>
            <w:tcW w:w="5520" w:type="dxa"/>
            <w:vAlign w:val="bottom"/>
            <w:shd w:val="clear" w:color="auto" w:fill="CCEEFF"/>
          </w:tcPr>
          <w:p>
            <w:pPr>
              <w:spacing w:after="0"/>
              <w:rPr>
                <w:sz w:val="19"/>
                <w:szCs w:val="19"/>
                <w:color w:val="auto"/>
              </w:rPr>
            </w:pPr>
          </w:p>
        </w:tc>
      </w:tr>
      <w:tr>
        <w:trPr>
          <w:trHeight w:val="229"/>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Credit Rating</w:t>
            </w:r>
          </w:p>
        </w:tc>
        <w:tc>
          <w:tcPr>
            <w:tcW w:w="5520" w:type="dxa"/>
            <w:vAlign w:val="bottom"/>
          </w:tcPr>
          <w:p>
            <w:pPr>
              <w:jc w:val="center"/>
              <w:ind w:left="3470"/>
              <w:spacing w:after="0"/>
              <w:rPr>
                <w:sz w:val="20"/>
                <w:szCs w:val="20"/>
                <w:color w:val="auto"/>
              </w:rPr>
            </w:pPr>
            <w:r>
              <w:rPr>
                <w:rFonts w:ascii="Times New Roman" w:cs="Times New Roman" w:eastAsia="Times New Roman" w:hAnsi="Times New Roman"/>
                <w:sz w:val="18"/>
                <w:szCs w:val="18"/>
                <w:color w:val="auto"/>
                <w:w w:val="97"/>
              </w:rPr>
              <w:t>Baa2</w:t>
            </w:r>
          </w:p>
        </w:tc>
      </w:tr>
      <w:tr>
        <w:trPr>
          <w:trHeight w:val="23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Secured Debt</w:t>
            </w:r>
          </w:p>
        </w:tc>
        <w:tc>
          <w:tcPr>
            <w:tcW w:w="5520" w:type="dxa"/>
            <w:vAlign w:val="bottom"/>
            <w:shd w:val="clear" w:color="auto" w:fill="CCEEFF"/>
          </w:tcPr>
          <w:p>
            <w:pPr>
              <w:jc w:val="center"/>
              <w:ind w:left="3490"/>
              <w:spacing w:after="0"/>
              <w:rPr>
                <w:sz w:val="20"/>
                <w:szCs w:val="20"/>
                <w:color w:val="auto"/>
              </w:rPr>
            </w:pPr>
            <w:r>
              <w:rPr>
                <w:rFonts w:ascii="Times New Roman" w:cs="Times New Roman" w:eastAsia="Times New Roman" w:hAnsi="Times New Roman"/>
                <w:sz w:val="18"/>
                <w:szCs w:val="18"/>
                <w:color w:val="auto"/>
                <w:w w:val="99"/>
              </w:rPr>
              <w:t>A3</w:t>
            </w:r>
          </w:p>
        </w:tc>
      </w:tr>
      <w:tr>
        <w:trPr>
          <w:trHeight w:val="237"/>
        </w:trPr>
        <w:tc>
          <w:tcPr>
            <w:tcW w:w="5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5520" w:type="dxa"/>
            <w:vAlign w:val="bottom"/>
            <w:tcBorders>
              <w:bottom w:val="single" w:sz="8" w:color="auto"/>
            </w:tcBorders>
          </w:tcPr>
          <w:p>
            <w:pPr>
              <w:jc w:val="center"/>
              <w:ind w:left="3470"/>
              <w:spacing w:after="0"/>
              <w:rPr>
                <w:sz w:val="20"/>
                <w:szCs w:val="20"/>
                <w:color w:val="auto"/>
              </w:rPr>
            </w:pPr>
            <w:r>
              <w:rPr>
                <w:rFonts w:ascii="Times New Roman" w:cs="Times New Roman" w:eastAsia="Times New Roman" w:hAnsi="Times New Roman"/>
                <w:sz w:val="18"/>
                <w:szCs w:val="18"/>
                <w:color w:val="auto"/>
                <w:w w:val="95"/>
              </w:rPr>
              <w:t>P-2</w:t>
            </w:r>
          </w:p>
        </w:tc>
      </w:tr>
    </w:tbl>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vertAlign w:val="superscript"/>
        </w:rPr>
        <w:t>(a)</w:t>
      </w:r>
      <w:r>
        <w:rPr>
          <w:rFonts w:ascii="Times New Roman" w:cs="Times New Roman" w:eastAsia="Times New Roman" w:hAnsi="Times New Roman"/>
          <w:sz w:val="16"/>
          <w:szCs w:val="16"/>
          <w:color w:val="auto"/>
        </w:rPr>
        <w:t>A securities rating is not a recommendation to buy, sell or hold securities and may be subject to revision or withdrawal at any time by the assigning rating agency.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Pensions</w:t>
      </w:r>
    </w:p>
    <w:p>
      <w:pPr>
        <w:spacing w:after="0" w:line="26"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0"/>
          <w:szCs w:val="20"/>
          <w:color w:val="auto"/>
        </w:rPr>
        <w:t xml:space="preserve">Year to date June 30, 2024, Evergy made no cash pension contributions. </w:t>
      </w:r>
      <w:r>
        <w:rPr>
          <w:rFonts w:ascii="Times New Roman" w:cs="Times New Roman" w:eastAsia="Times New Roman" w:hAnsi="Times New Roman"/>
          <w:sz w:val="20"/>
          <w:szCs w:val="20"/>
          <w:color w:val="202122"/>
        </w:rPr>
        <w:t>Evergy expects to make cash pension contributions of</w:t>
      </w:r>
      <w:r>
        <w:rPr>
          <w:rFonts w:ascii="Times New Roman" w:cs="Times New Roman" w:eastAsia="Times New Roman" w:hAnsi="Times New Roman"/>
          <w:sz w:val="20"/>
          <w:szCs w:val="20"/>
          <w:color w:val="auto"/>
        </w:rPr>
        <w:t xml:space="preserve"> $36.8 million </w:t>
      </w:r>
      <w:r>
        <w:rPr>
          <w:rFonts w:ascii="Times New Roman" w:cs="Times New Roman" w:eastAsia="Times New Roman" w:hAnsi="Times New Roman"/>
          <w:sz w:val="20"/>
          <w:szCs w:val="20"/>
          <w:color w:val="202122"/>
        </w:rPr>
        <w:t xml:space="preserve">in </w:t>
      </w:r>
      <w:r>
        <w:rPr>
          <w:rFonts w:ascii="Times New Roman" w:cs="Times New Roman" w:eastAsia="Times New Roman" w:hAnsi="Times New Roman"/>
          <w:sz w:val="20"/>
          <w:szCs w:val="20"/>
          <w:color w:val="000000"/>
        </w:rPr>
        <w:t>2024</w:t>
      </w:r>
      <w:r>
        <w:rPr>
          <w:rFonts w:ascii="Times New Roman" w:cs="Times New Roman" w:eastAsia="Times New Roman" w:hAnsi="Times New Roman"/>
          <w:sz w:val="20"/>
          <w:szCs w:val="20"/>
          <w:color w:val="202122"/>
        </w:rPr>
        <w:t xml:space="preserve">. </w:t>
      </w:r>
      <w:r>
        <w:rPr>
          <w:rFonts w:ascii="Times New Roman" w:cs="Times New Roman" w:eastAsia="Times New Roman" w:hAnsi="Times New Roman"/>
          <w:sz w:val="20"/>
          <w:szCs w:val="20"/>
          <w:color w:val="000000"/>
        </w:rPr>
        <w:t>Year to date June 30, 2024, Evergy made post-retirement benefit contributions of $0.4 million. Evergy expects to make additional</w:t>
      </w:r>
      <w:r>
        <w:rPr>
          <w:rFonts w:ascii="Times New Roman" w:cs="Times New Roman" w:eastAsia="Times New Roman" w:hAnsi="Times New Roman"/>
          <w:sz w:val="20"/>
          <w:szCs w:val="20"/>
          <w:color w:val="202122"/>
        </w:rPr>
        <w:t xml:space="preserve"> </w:t>
      </w:r>
      <w:r>
        <w:rPr>
          <w:rFonts w:ascii="Times New Roman" w:cs="Times New Roman" w:eastAsia="Times New Roman" w:hAnsi="Times New Roman"/>
          <w:sz w:val="20"/>
          <w:szCs w:val="20"/>
          <w:color w:val="000000"/>
        </w:rPr>
        <w:t>post-retirement benefit contributions of $0.2 million in 2024. See Note 7 to the consolidated financial statements for additional information on Evergy's pension and post-retirement plans.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Debt Covenants</w:t>
      </w:r>
    </w:p>
    <w:p>
      <w:pPr>
        <w:spacing w:after="0" w:line="32" w:lineRule="exact"/>
        <w:rPr>
          <w:sz w:val="20"/>
          <w:szCs w:val="20"/>
          <w:color w:val="auto"/>
        </w:rPr>
      </w:pPr>
    </w:p>
    <w:p>
      <w:pPr>
        <w:ind w:right="460"/>
        <w:spacing w:after="0" w:line="253" w:lineRule="auto"/>
        <w:rPr>
          <w:sz w:val="20"/>
          <w:szCs w:val="20"/>
          <w:color w:val="auto"/>
        </w:rPr>
      </w:pPr>
      <w:r>
        <w:rPr>
          <w:rFonts w:ascii="Times New Roman" w:cs="Times New Roman" w:eastAsia="Times New Roman" w:hAnsi="Times New Roman"/>
          <w:sz w:val="20"/>
          <w:szCs w:val="20"/>
          <w:color w:val="auto"/>
        </w:rPr>
        <w:t>As of June 30, 2024, Evergy was in compliance with all debt covenants under the master credit facility and certain debt instruments that contain restrictions that require the maintenance of certain capitalization and leverage ratios. See Note 8 to the consolidated financial statements for more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Regulatory Authorizations</w:t>
      </w:r>
    </w:p>
    <w:p>
      <w:pPr>
        <w:spacing w:after="0" w:line="32" w:lineRule="exact"/>
        <w:rPr>
          <w:sz w:val="20"/>
          <w:szCs w:val="20"/>
          <w:color w:val="auto"/>
        </w:rPr>
      </w:pPr>
    </w:p>
    <w:p>
      <w:pPr>
        <w:ind w:right="160"/>
        <w:spacing w:after="0" w:line="293" w:lineRule="auto"/>
        <w:rPr>
          <w:sz w:val="20"/>
          <w:szCs w:val="20"/>
          <w:color w:val="auto"/>
        </w:rPr>
      </w:pPr>
      <w:r>
        <w:rPr>
          <w:rFonts w:ascii="Times New Roman" w:cs="Times New Roman" w:eastAsia="Times New Roman" w:hAnsi="Times New Roman"/>
          <w:sz w:val="19"/>
          <w:szCs w:val="19"/>
          <w:color w:val="auto"/>
        </w:rPr>
        <w:t>The following table summarizes the regulatory short-term and long-term debt financing authorizations for Evergy Kansas Central, Evergy Kansas South, Evergy Metro and Evergy Missouri West and the remaining amount available under these authorizations as of June 30, 2024.</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Type of Authorization</w:t>
            </w:r>
          </w:p>
        </w:tc>
        <w:tc>
          <w:tcPr>
            <w:tcW w:w="2360" w:type="dxa"/>
            <w:vAlign w:val="bottom"/>
            <w:tcBorders>
              <w:top w:val="single" w:sz="8" w:color="auto"/>
            </w:tcBorders>
            <w:vMerge w:val="restart"/>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7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180" w:type="dxa"/>
            <w:vAlign w:val="bottom"/>
            <w:tcBorders>
              <w:top w:val="single" w:sz="8" w:color="auto"/>
            </w:tcBorders>
            <w:gridSpan w:val="2"/>
            <w:vMerge w:val="restart"/>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Authorization Amount</w:t>
            </w:r>
          </w:p>
        </w:tc>
        <w:tc>
          <w:tcPr>
            <w:tcW w:w="1820" w:type="dxa"/>
            <w:vAlign w:val="bottom"/>
            <w:tcBorders>
              <w:top w:val="single" w:sz="8" w:color="auto"/>
            </w:tcBorders>
            <w:gridSpan w:val="2"/>
          </w:tcPr>
          <w:p>
            <w:pPr>
              <w:ind w:left="220"/>
              <w:spacing w:after="0" w:line="202" w:lineRule="exact"/>
              <w:rPr>
                <w:sz w:val="20"/>
                <w:szCs w:val="20"/>
                <w:color w:val="auto"/>
              </w:rPr>
            </w:pPr>
            <w:r>
              <w:rPr>
                <w:rFonts w:ascii="Times New Roman" w:cs="Times New Roman" w:eastAsia="Times New Roman" w:hAnsi="Times New Roman"/>
                <w:sz w:val="18"/>
                <w:szCs w:val="18"/>
                <w:b w:val="1"/>
                <w:bCs w:val="1"/>
                <w:color w:val="auto"/>
              </w:rPr>
              <w:t>Available Under</w:t>
            </w:r>
          </w:p>
        </w:tc>
        <w:tc>
          <w:tcPr>
            <w:tcW w:w="0" w:type="dxa"/>
            <w:vAlign w:val="bottom"/>
          </w:tcPr>
          <w:p>
            <w:pPr>
              <w:spacing w:after="0"/>
              <w:rPr>
                <w:sz w:val="1"/>
                <w:szCs w:val="1"/>
                <w:color w:val="auto"/>
              </w:rPr>
            </w:pPr>
          </w:p>
        </w:tc>
      </w:tr>
      <w:tr>
        <w:trPr>
          <w:trHeight w:val="243"/>
        </w:trPr>
        <w:tc>
          <w:tcPr>
            <w:tcW w:w="3160" w:type="dxa"/>
            <w:vAlign w:val="bottom"/>
            <w:tcBorders>
              <w:bottom w:val="single" w:sz="8" w:color="auto"/>
            </w:tcBorders>
            <w:vMerge w:val="continue"/>
          </w:tcPr>
          <w:p>
            <w:pPr>
              <w:spacing w:after="0"/>
              <w:rPr>
                <w:sz w:val="21"/>
                <w:szCs w:val="21"/>
                <w:color w:val="auto"/>
              </w:rPr>
            </w:pPr>
          </w:p>
        </w:tc>
        <w:tc>
          <w:tcPr>
            <w:tcW w:w="2360" w:type="dxa"/>
            <w:vAlign w:val="bottom"/>
            <w:tcBorders>
              <w:bottom w:val="single" w:sz="8" w:color="auto"/>
            </w:tcBorders>
            <w:vMerge w:val="continue"/>
          </w:tcPr>
          <w:p>
            <w:pPr>
              <w:spacing w:after="0"/>
              <w:rPr>
                <w:sz w:val="21"/>
                <w:szCs w:val="21"/>
                <w:color w:val="auto"/>
              </w:rPr>
            </w:pPr>
          </w:p>
        </w:tc>
        <w:tc>
          <w:tcPr>
            <w:tcW w:w="1720" w:type="dxa"/>
            <w:vAlign w:val="bottom"/>
            <w:tcBorders>
              <w:bottom w:val="single" w:sz="8" w:color="auto"/>
            </w:tcBorders>
            <w:vMerge w:val="continue"/>
          </w:tcPr>
          <w:p>
            <w:pPr>
              <w:spacing w:after="0"/>
              <w:rPr>
                <w:sz w:val="21"/>
                <w:szCs w:val="21"/>
                <w:color w:val="auto"/>
              </w:rPr>
            </w:pPr>
          </w:p>
        </w:tc>
        <w:tc>
          <w:tcPr>
            <w:tcW w:w="2180" w:type="dxa"/>
            <w:vAlign w:val="bottom"/>
            <w:tcBorders>
              <w:bottom w:val="single" w:sz="8" w:color="auto"/>
            </w:tcBorders>
            <w:gridSpan w:val="2"/>
            <w:vMerge w:val="continue"/>
          </w:tcPr>
          <w:p>
            <w:pPr>
              <w:spacing w:after="0"/>
              <w:rPr>
                <w:sz w:val="21"/>
                <w:szCs w:val="21"/>
                <w:color w:val="auto"/>
              </w:rPr>
            </w:pPr>
          </w:p>
        </w:tc>
        <w:tc>
          <w:tcPr>
            <w:tcW w:w="18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Authorization</w:t>
            </w:r>
          </w:p>
        </w:tc>
        <w:tc>
          <w:tcPr>
            <w:tcW w:w="0" w:type="dxa"/>
            <w:vAlign w:val="bottom"/>
          </w:tcPr>
          <w:p>
            <w:pPr>
              <w:spacing w:after="0"/>
              <w:rPr>
                <w:sz w:val="1"/>
                <w:szCs w:val="1"/>
                <w:color w:val="auto"/>
              </w:rPr>
            </w:pPr>
          </w:p>
        </w:tc>
      </w:tr>
      <w:tr>
        <w:trPr>
          <w:trHeight w:val="169"/>
        </w:trPr>
        <w:tc>
          <w:tcPr>
            <w:tcW w:w="31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Evergy Kansas Central &amp;</w:t>
            </w:r>
          </w:p>
        </w:tc>
        <w:tc>
          <w:tcPr>
            <w:tcW w:w="2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South</w:t>
            </w:r>
          </w:p>
        </w:tc>
        <w:tc>
          <w:tcPr>
            <w:tcW w:w="2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(in millions)</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236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7"/>
              </w:rPr>
              <w:t>FERC</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2024</w:t>
            </w:r>
          </w:p>
        </w:tc>
        <w:tc>
          <w:tcPr>
            <w:tcW w:w="8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1,250.0</w:t>
            </w:r>
          </w:p>
        </w:tc>
        <w:tc>
          <w:tcPr>
            <w:tcW w:w="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496.6</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23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236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7"/>
              </w:rPr>
              <w:t>FERC</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2024</w:t>
            </w:r>
          </w:p>
        </w:tc>
        <w:tc>
          <w:tcPr>
            <w:tcW w:w="8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1,250.0</w:t>
            </w:r>
          </w:p>
        </w:tc>
        <w:tc>
          <w:tcPr>
            <w:tcW w:w="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985.7</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Missouri West</w:t>
            </w:r>
          </w:p>
        </w:tc>
        <w:tc>
          <w:tcPr>
            <w:tcW w:w="23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236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7"/>
              </w:rPr>
              <w:t>FERC</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2024</w:t>
            </w:r>
          </w:p>
        </w:tc>
        <w:tc>
          <w:tcPr>
            <w:tcW w:w="8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750.0</w:t>
            </w:r>
          </w:p>
        </w:tc>
        <w:tc>
          <w:tcPr>
            <w:tcW w:w="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526.7</w:t>
            </w:r>
          </w:p>
        </w:tc>
        <w:tc>
          <w:tcPr>
            <w:tcW w:w="0" w:type="dxa"/>
            <w:vAlign w:val="bottom"/>
          </w:tcPr>
          <w:p>
            <w:pPr>
              <w:spacing w:after="0"/>
              <w:rPr>
                <w:sz w:val="1"/>
                <w:szCs w:val="1"/>
                <w:color w:val="auto"/>
              </w:rPr>
            </w:pPr>
          </w:p>
        </w:tc>
      </w:tr>
      <w:tr>
        <w:trPr>
          <w:trHeight w:val="237"/>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360" w:type="dxa"/>
            <w:vAlign w:val="bottom"/>
            <w:tcBorders>
              <w:bottom w:val="single" w:sz="8" w:color="auto"/>
            </w:tcBorders>
          </w:tcPr>
          <w:p>
            <w:pPr>
              <w:jc w:val="center"/>
              <w:ind w:left="830"/>
              <w:spacing w:after="0"/>
              <w:rPr>
                <w:sz w:val="20"/>
                <w:szCs w:val="20"/>
                <w:color w:val="auto"/>
              </w:rPr>
            </w:pPr>
            <w:r>
              <w:rPr>
                <w:rFonts w:ascii="Times New Roman" w:cs="Times New Roman" w:eastAsia="Times New Roman" w:hAnsi="Times New Roman"/>
                <w:sz w:val="18"/>
                <w:szCs w:val="18"/>
                <w:color w:val="auto"/>
                <w:w w:val="97"/>
              </w:rPr>
              <w:t>FERC</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October 2024</w:t>
            </w: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600.0</w:t>
            </w:r>
          </w:p>
        </w:tc>
        <w:tc>
          <w:tcPr>
            <w:tcW w:w="6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In July 2024, Evergy Kansas Central, Evergy Kansas South, Evergy Metro and Evergy Missouri West filed requests with FERC to issue and to have outstanding at any one time up to $1,250.0 million, $1,000.0 million, $1,250.0 million and $750.0 million in short-term debt instruments, respectively, through December 2026. Evergy Kansas Central, Evergy Kansas South, Evergy Metro and Evergy Missouri West have requested a response from FERC by October 4, 2024.</w:t>
      </w:r>
    </w:p>
    <w:p>
      <w:pPr>
        <w:spacing w:after="0" w:line="17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20"/>
          <w:szCs w:val="20"/>
          <w:color w:val="auto"/>
        </w:rPr>
        <w:t>In July 2024, Evergy Missouri West filed a request with FERC to issue up to a total of $600.0 million in long-term debt instruments for a two-year authorization period beginning on the date of the FERC approval. Evergy Missouri West has requested a response from FERC by November 22,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Evergy's cash flows from operating, investing and financing activities.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5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June 30</w:t>
            </w:r>
          </w:p>
        </w:tc>
        <w:tc>
          <w:tcPr>
            <w:tcW w:w="3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57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(millions)</w:t>
            </w:r>
          </w:p>
        </w:tc>
        <w:tc>
          <w:tcPr>
            <w:tcW w:w="920" w:type="dxa"/>
            <w:vAlign w:val="bottom"/>
          </w:tcPr>
          <w:p>
            <w:pPr>
              <w:spacing w:after="0"/>
              <w:rPr>
                <w:sz w:val="17"/>
                <w:szCs w:val="17"/>
                <w:color w:val="auto"/>
              </w:rPr>
            </w:pPr>
          </w:p>
        </w:tc>
      </w:tr>
      <w:tr>
        <w:trPr>
          <w:trHeight w:val="232"/>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w:t>
            </w: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3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(1,307.4)</w:t>
            </w:r>
          </w:p>
        </w:tc>
      </w:tr>
      <w:tr>
        <w:trPr>
          <w:trHeight w:val="237"/>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4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Operating Activities</w:t>
      </w:r>
    </w:p>
    <w:p>
      <w:pPr>
        <w:spacing w:after="0" w:line="2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0"/>
          <w:szCs w:val="20"/>
          <w:color w:val="auto"/>
        </w:rPr>
        <w:t>Evergy's cash flows from operating activities decreased $80.4 million year to date June 30, 2024, compared to the same period in 2023, primarily driven by a decrease in cash receipts for retail electric sales in 2024 primarily due to lower collection of receivables in January in 2024 compared to the same period in 2023.</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used in Investing Activities</w:t>
      </w:r>
    </w:p>
    <w:p>
      <w:pPr>
        <w:spacing w:after="0" w:line="32" w:lineRule="exact"/>
        <w:rPr>
          <w:sz w:val="20"/>
          <w:szCs w:val="20"/>
          <w:color w:val="auto"/>
        </w:rPr>
      </w:pPr>
    </w:p>
    <w:p>
      <w:pPr>
        <w:ind w:right="360"/>
        <w:spacing w:after="0" w:line="253" w:lineRule="auto"/>
        <w:rPr>
          <w:sz w:val="20"/>
          <w:szCs w:val="20"/>
          <w:color w:val="auto"/>
        </w:rPr>
      </w:pPr>
      <w:r>
        <w:rPr>
          <w:rFonts w:ascii="Times New Roman" w:cs="Times New Roman" w:eastAsia="Times New Roman" w:hAnsi="Times New Roman"/>
          <w:sz w:val="20"/>
          <w:szCs w:val="20"/>
          <w:color w:val="auto"/>
        </w:rPr>
        <w:t>Evergy's cash flows used in investing activities decreased $37.3 million year to date June 30, 2024, compared to the same period in 2023, primarily driven by:</w:t>
      </w:r>
    </w:p>
    <w:p>
      <w:pPr>
        <w:spacing w:after="0" w:line="80" w:lineRule="exact"/>
        <w:rPr>
          <w:sz w:val="20"/>
          <w:szCs w:val="20"/>
          <w:color w:val="auto"/>
        </w:rPr>
      </w:pPr>
    </w:p>
    <w:p>
      <w:pPr>
        <w:ind w:left="640" w:hanging="308"/>
        <w:spacing w:after="0"/>
        <w:tabs>
          <w:tab w:leader="none" w:pos="6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acquisition of Persimmon Creek for $217.9 million, net of cash acquired, in 2023; partially offset by</w:t>
      </w:r>
    </w:p>
    <w:p>
      <w:pPr>
        <w:spacing w:after="0" w:line="107" w:lineRule="exact"/>
        <w:rPr>
          <w:rFonts w:ascii="Times New Roman" w:cs="Times New Roman" w:eastAsia="Times New Roman" w:hAnsi="Times New Roman"/>
          <w:sz w:val="20"/>
          <w:szCs w:val="20"/>
          <w:color w:val="auto"/>
        </w:rPr>
      </w:pPr>
    </w:p>
    <w:p>
      <w:pPr>
        <w:ind w:left="660" w:right="100" w:hanging="328"/>
        <w:spacing w:after="0" w:line="258" w:lineRule="auto"/>
        <w:tabs>
          <w:tab w:leader="none" w:pos="64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$191.9 million increase in other additions to property, plant and equipment, due to increases at Evergy Kansas Central and Evergy Missouri West of $77.3 million and $112.0 million, respectively, primarily due to increased spending for a variety of capital projects including transmission and distribution projects related to grid resiliency and other infrastructure improvements, and Evergy Missouri West's purchase of a joint ownership interest in Dogwood for approximately $60 million in April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Financing Activities</w:t>
      </w:r>
    </w:p>
    <w:p>
      <w:pPr>
        <w:spacing w:after="0" w:line="12"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20"/>
          <w:szCs w:val="20"/>
          <w:color w:val="auto"/>
        </w:rPr>
        <w:t>Evergy's cash flows from financing activities increased $44.7 million year to date June 30, 2024, compared to the same period in 2023, primarily driven by:</w:t>
      </w:r>
    </w:p>
    <w:p>
      <w:pPr>
        <w:spacing w:after="0" w:line="74" w:lineRule="exact"/>
        <w:rPr>
          <w:sz w:val="20"/>
          <w:szCs w:val="20"/>
          <w:color w:val="auto"/>
        </w:rPr>
      </w:pPr>
    </w:p>
    <w:p>
      <w:pPr>
        <w:ind w:left="660" w:right="520" w:hanging="328"/>
        <w:spacing w:after="0" w:line="295" w:lineRule="auto"/>
        <w:tabs>
          <w:tab w:leader="none" w:pos="648"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$350.0 million increase due to lower retirements of long-term debt, net due to Evergy Metro's repayment of $300.0 million of 3.15% Senior Notes in March 2023 and Evergy Kansas South's repayment of $50.0 million of 6.15% FMBs in May 2023; and</w:t>
      </w:r>
    </w:p>
    <w:p>
      <w:pPr>
        <w:spacing w:after="0" w:line="43" w:lineRule="exact"/>
        <w:rPr>
          <w:rFonts w:ascii="Times New Roman" w:cs="Times New Roman" w:eastAsia="Times New Roman" w:hAnsi="Times New Roman"/>
          <w:sz w:val="19"/>
          <w:szCs w:val="19"/>
          <w:color w:val="auto"/>
        </w:rPr>
      </w:pPr>
    </w:p>
    <w:p>
      <w:pPr>
        <w:ind w:left="660" w:right="260" w:hanging="328"/>
        <w:spacing w:after="0" w:line="269" w:lineRule="auto"/>
        <w:tabs>
          <w:tab w:leader="none" w:pos="6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$230.2 million increase in proceeds from long-term debt, net due to the issuance of $920.7 million of long-term debt year to date June 30, 2024, compared to the issuance of $690.5 million of long-term debt in the same period in 2023; partially offset by</w:t>
      </w:r>
    </w:p>
    <w:p>
      <w:pPr>
        <w:spacing w:after="0" w:line="64" w:lineRule="exact"/>
        <w:rPr>
          <w:rFonts w:ascii="Times New Roman" w:cs="Times New Roman" w:eastAsia="Times New Roman" w:hAnsi="Times New Roman"/>
          <w:sz w:val="20"/>
          <w:szCs w:val="20"/>
          <w:color w:val="auto"/>
        </w:rPr>
      </w:pPr>
    </w:p>
    <w:p>
      <w:pPr>
        <w:ind w:left="660" w:right="340" w:hanging="328"/>
        <w:spacing w:after="0" w:line="283" w:lineRule="auto"/>
        <w:tabs>
          <w:tab w:leader="none" w:pos="6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$520.5 million decrease in short-term debt borrowings primarily driven by the repayment of commercial paper borrowings with proceeds from long-term debt issuances.</w:t>
      </w:r>
    </w:p>
    <w:p>
      <w:pPr>
        <w:spacing w:after="0" w:line="14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EVERGY KANSAS CENTRAL,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MANAGEMENT'S NARRATIVE ANALYSIS OF RESULTS OF OPERATIONS</w:t>
      </w:r>
    </w:p>
    <w:p>
      <w:pPr>
        <w:spacing w:after="0" w:line="220"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20"/>
          <w:szCs w:val="20"/>
          <w:color w:val="auto"/>
        </w:rPr>
        <w:t>The below results of operations and related discussion for Evergy Kansas Central is presented in a reduced disclosure format in accordance with General Instruction (H)(2)(a) to Form 10-Q.</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Evergy Kansas Central's comparative results of operations.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June 30</w:t>
            </w:r>
          </w:p>
        </w:tc>
        <w:tc>
          <w:tcPr>
            <w:tcW w:w="2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7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6"/>
                <w:szCs w:val="16"/>
                <w:color w:val="auto"/>
              </w:rPr>
              <w:t>(millions)</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1,420.5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102.3</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1,318.2</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262.6</w:t>
            </w:r>
          </w:p>
        </w:tc>
        <w:tc>
          <w:tcPr>
            <w:tcW w:w="28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SPP network transmission costs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172.7</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16.1</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233.6</w:t>
            </w:r>
          </w:p>
        </w:tc>
        <w:tc>
          <w:tcPr>
            <w:tcW w:w="28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279.7</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26.9</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125.9</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15.7</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w:t>
            </w:r>
          </w:p>
        </w:tc>
      </w:tr>
      <w:tr>
        <w:trPr>
          <w:trHeight w:val="223"/>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346.0</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28.8</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114.0</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equity method investees, net of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(0.4)</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236.1</w:t>
            </w:r>
          </w:p>
        </w:tc>
        <w:tc>
          <w:tcPr>
            <w:tcW w:w="28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41.8</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Kansas Central, Inc.</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229.9</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41.8</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ind w:left="1"/>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Evergy Kansas Central Gross Margin (GAAP) and Utility Gross Margin (non-GAAP)</w:t>
      </w:r>
    </w:p>
    <w:p>
      <w:pPr>
        <w:spacing w:after="0" w:line="32" w:lineRule="exact"/>
        <w:rPr>
          <w:sz w:val="20"/>
          <w:szCs w:val="20"/>
          <w:color w:val="auto"/>
        </w:rPr>
      </w:pPr>
    </w:p>
    <w:p>
      <w:pPr>
        <w:ind w:left="1" w:right="220"/>
        <w:spacing w:after="0" w:line="253" w:lineRule="auto"/>
        <w:rPr>
          <w:sz w:val="20"/>
          <w:szCs w:val="20"/>
          <w:color w:val="auto"/>
        </w:rPr>
      </w:pPr>
      <w:r>
        <w:rPr>
          <w:rFonts w:ascii="Times New Roman" w:cs="Times New Roman" w:eastAsia="Times New Roman" w:hAnsi="Times New Roman"/>
          <w:sz w:val="20"/>
          <w:szCs w:val="20"/>
          <w:color w:val="auto"/>
        </w:rPr>
        <w:t>The following table summarizes Evergy Kansas Central's gross margin (GAAP) and MWhs sold and reconciles Evergy Kansas Central's gross margin (GAAP) to Evergy Kansas Central's utility gross margin (non-GAAP). See "Executive Summary - Non-GAAP Measures" for additional information regarding gross margin (GAAP) and utility gross margin (non-GAAP).</w:t>
      </w:r>
    </w:p>
    <w:p>
      <w:pPr>
        <w:spacing w:after="0" w:line="97" w:lineRule="exact"/>
        <w:rPr>
          <w:sz w:val="20"/>
          <w:szCs w:val="20"/>
          <w:color w:val="auto"/>
        </w:rPr>
      </w:pPr>
    </w:p>
    <w:tbl>
      <w:tblPr>
        <w:tblLayout w:type="fixed"/>
        <w:tblInd w:w="1" w:type="dxa"/>
        <w:tblCellMar>
          <w:top w:w="0" w:type="dxa"/>
          <w:left w:w="0" w:type="dxa"/>
          <w:bottom w:w="0" w:type="dxa"/>
          <w:right w:w="0" w:type="dxa"/>
        </w:tblCellMar>
      </w:tblPr>
      <w:tr>
        <w:trPr>
          <w:trHeight w:val="248"/>
        </w:trPr>
        <w:tc>
          <w:tcPr>
            <w:tcW w:w="40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5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Revenues and Expenses</w:t>
            </w:r>
          </w:p>
        </w:tc>
        <w:tc>
          <w:tcPr>
            <w:tcW w:w="68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MWhs Sold</w:t>
            </w:r>
          </w:p>
        </w:tc>
        <w:tc>
          <w:tcPr>
            <w:tcW w:w="980" w:type="dxa"/>
            <w:vAlign w:val="bottom"/>
            <w:tcBorders>
              <w:top w:val="single" w:sz="8" w:color="auto"/>
            </w:tcBorders>
          </w:tcPr>
          <w:p>
            <w:pPr>
              <w:spacing w:after="0"/>
              <w:rPr>
                <w:sz w:val="21"/>
                <w:szCs w:val="21"/>
                <w:color w:val="auto"/>
              </w:rPr>
            </w:pPr>
          </w:p>
        </w:tc>
      </w:tr>
      <w:tr>
        <w:trPr>
          <w:trHeight w:val="238"/>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June 30</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4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8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revenues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6"/>
                <w:szCs w:val="16"/>
                <w:color w:val="auto"/>
              </w:rPr>
              <w:t>(millions)</w:t>
            </w: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80" w:type="dxa"/>
            <w:vAlign w:val="bottom"/>
          </w:tcPr>
          <w:p>
            <w:pPr>
              <w:jc w:val="center"/>
              <w:ind w:right="91"/>
              <w:spacing w:after="0"/>
              <w:rPr>
                <w:sz w:val="20"/>
                <w:szCs w:val="20"/>
                <w:color w:val="auto"/>
              </w:rPr>
            </w:pPr>
            <w:r>
              <w:rPr>
                <w:rFonts w:ascii="Times New Roman" w:cs="Times New Roman" w:eastAsia="Times New Roman" w:hAnsi="Times New Roman"/>
                <w:sz w:val="16"/>
                <w:szCs w:val="16"/>
                <w:color w:val="auto"/>
              </w:rPr>
              <w:t>(thousands)</w:t>
            </w:r>
          </w:p>
        </w:tc>
        <w:tc>
          <w:tcPr>
            <w:tcW w:w="980" w:type="dxa"/>
            <w:vAlign w:val="bottom"/>
          </w:tcPr>
          <w:p>
            <w:pPr>
              <w:spacing w:after="0"/>
              <w:rPr>
                <w:sz w:val="19"/>
                <w:szCs w:val="19"/>
                <w:color w:val="auto"/>
              </w:rPr>
            </w:pPr>
          </w:p>
        </w:tc>
      </w:tr>
      <w:tr>
        <w:trPr>
          <w:trHeight w:val="230"/>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448.0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63.6</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3,111</w:t>
            </w:r>
          </w:p>
        </w:tc>
        <w:tc>
          <w:tcPr>
            <w:tcW w:w="138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144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r>
      <w:tr>
        <w:trPr>
          <w:trHeight w:val="229"/>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391.9</w:t>
            </w:r>
          </w:p>
        </w:tc>
        <w:tc>
          <w:tcPr>
            <w:tcW w:w="28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33.1</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3,543</w:t>
            </w:r>
          </w:p>
        </w:tc>
        <w:tc>
          <w:tcPr>
            <w:tcW w:w="13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44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w:t>
            </w:r>
          </w:p>
        </w:tc>
      </w:tr>
      <w:tr>
        <w:trPr>
          <w:trHeight w:val="229"/>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220.2</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13.5</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2,630</w:t>
            </w:r>
          </w:p>
        </w:tc>
        <w:tc>
          <w:tcPr>
            <w:tcW w:w="13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(28)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r>
      <w:tr>
        <w:trPr>
          <w:trHeight w:val="230"/>
        </w:trPr>
        <w:tc>
          <w:tcPr>
            <w:tcW w:w="4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retail revenues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12.1</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5.3</w:t>
            </w: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13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electric retail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1,072.2</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115.5</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956.7</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9,303</w:t>
            </w:r>
          </w:p>
        </w:tc>
        <w:tc>
          <w:tcPr>
            <w:tcW w:w="138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159</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9,144</w:t>
            </w: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Wholesale revenues</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115.8</w:t>
            </w:r>
          </w:p>
        </w:tc>
        <w:tc>
          <w:tcPr>
            <w:tcW w:w="28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(10.6)</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4,454</w:t>
            </w:r>
          </w:p>
        </w:tc>
        <w:tc>
          <w:tcPr>
            <w:tcW w:w="138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(163)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w:t>
            </w: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224.3</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27.1</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3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(29.7)</w:t>
            </w: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3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1,420.5</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102.3</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1,318.2</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13,757</w:t>
            </w:r>
          </w:p>
        </w:tc>
        <w:tc>
          <w:tcPr>
            <w:tcW w:w="13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13,761</w:t>
            </w: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(262.6)</w:t>
            </w:r>
          </w:p>
        </w:tc>
        <w:tc>
          <w:tcPr>
            <w:tcW w:w="28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SPP network transmission costs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(172.7)</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(16.1)</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40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and maintenance </w:t>
            </w:r>
            <w:r>
              <w:rPr>
                <w:rFonts w:ascii="Times New Roman" w:cs="Times New Roman" w:eastAsia="Times New Roman" w:hAnsi="Times New Roman"/>
                <w:sz w:val="23"/>
                <w:szCs w:val="23"/>
                <w:color w:val="auto"/>
                <w:vertAlign w:val="superscript"/>
              </w:rPr>
              <w:t>(a)</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(131.9)</w:t>
            </w:r>
          </w:p>
        </w:tc>
        <w:tc>
          <w:tcPr>
            <w:tcW w:w="28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(18.7)</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(279.7)</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(26.9)</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(125.9)</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(15.7)</w:t>
            </w: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4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 (GAAP)</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447.7</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20.5</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427.2</w:t>
            </w:r>
          </w:p>
        </w:tc>
        <w:tc>
          <w:tcPr>
            <w:tcW w:w="1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40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and maintenance </w:t>
            </w:r>
            <w:r>
              <w:rPr>
                <w:rFonts w:ascii="Times New Roman" w:cs="Times New Roman" w:eastAsia="Times New Roman" w:hAnsi="Times New Roman"/>
                <w:sz w:val="23"/>
                <w:szCs w:val="23"/>
                <w:color w:val="auto"/>
                <w:vertAlign w:val="superscript"/>
              </w:rPr>
              <w:t>(a)</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131.9</w:t>
            </w:r>
          </w:p>
        </w:tc>
        <w:tc>
          <w:tcPr>
            <w:tcW w:w="28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18.7</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279.7</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26.9</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125.9</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15.7</w:t>
            </w: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4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r>
      <w:tr>
        <w:trPr>
          <w:trHeight w:val="230"/>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Utility gross margin (non-GAAP)</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985.2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81.8</w:t>
            </w:r>
          </w:p>
        </w:tc>
        <w:tc>
          <w:tcPr>
            <w:tcW w:w="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903.4</w:t>
            </w:r>
          </w:p>
        </w:tc>
        <w:tc>
          <w:tcPr>
            <w:tcW w:w="14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r>
    </w:tbl>
    <w:p>
      <w:pPr>
        <w:ind w:left="161" w:right="200" w:hanging="161"/>
        <w:spacing w:after="0" w:line="226" w:lineRule="auto"/>
        <w:tabs>
          <w:tab w:leader="none" w:pos="142" w:val="left"/>
        </w:tabs>
        <w:numPr>
          <w:ilvl w:val="0"/>
          <w:numId w:val="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$101.7 million and $110.0 million year to date June 30, 2024 and 2023, respectively.</w:t>
      </w:r>
    </w:p>
    <w:p>
      <w:pPr>
        <w:spacing w:after="0" w:line="189" w:lineRule="exact"/>
        <w:rPr>
          <w:sz w:val="20"/>
          <w:szCs w:val="20"/>
          <w:color w:val="auto"/>
        </w:rPr>
      </w:pPr>
    </w:p>
    <w:p>
      <w:pPr>
        <w:ind w:left="1" w:right="40"/>
        <w:spacing w:after="0" w:line="261" w:lineRule="auto"/>
        <w:rPr>
          <w:sz w:val="20"/>
          <w:szCs w:val="20"/>
          <w:color w:val="auto"/>
        </w:rPr>
      </w:pPr>
      <w:r>
        <w:rPr>
          <w:rFonts w:ascii="Times New Roman" w:cs="Times New Roman" w:eastAsia="Times New Roman" w:hAnsi="Times New Roman"/>
          <w:sz w:val="20"/>
          <w:szCs w:val="20"/>
          <w:color w:val="auto"/>
        </w:rPr>
        <w:t>Evergy Kansas Central's gross margin (GAAP) increased $20.5 million year to date June 30, 2024, compared to the same period in 2023, and Evergy Kansas Central's utility gross margin (non-GAAP) increased $81.8 million year to date June 30, 2024, compared to the same period in 2023, both measures were driven by:</w:t>
      </w:r>
    </w:p>
    <w:p>
      <w:pPr>
        <w:spacing w:after="0" w:line="73" w:lineRule="exact"/>
        <w:rPr>
          <w:sz w:val="20"/>
          <w:szCs w:val="20"/>
          <w:color w:val="auto"/>
        </w:rPr>
      </w:pPr>
    </w:p>
    <w:p>
      <w:pPr>
        <w:ind w:left="641" w:hanging="308"/>
        <w:spacing w:after="0"/>
        <w:tabs>
          <w:tab w:leader="none" w:pos="641"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$66.7 million increase primarily from new Evergy Kansas Central retail rates effective in December 2023;</w:t>
      </w:r>
    </w:p>
    <w:p>
      <w:pPr>
        <w:spacing w:after="0" w:line="107" w:lineRule="exact"/>
        <w:rPr>
          <w:rFonts w:ascii="Times New Roman" w:cs="Times New Roman" w:eastAsia="Times New Roman" w:hAnsi="Times New Roman"/>
          <w:sz w:val="20"/>
          <w:szCs w:val="20"/>
          <w:color w:val="auto"/>
        </w:rPr>
      </w:pPr>
    </w:p>
    <w:p>
      <w:pPr>
        <w:ind w:left="661" w:right="340" w:hanging="328"/>
        <w:spacing w:after="0" w:line="283" w:lineRule="auto"/>
        <w:tabs>
          <w:tab w:leader="none" w:pos="649"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$27.1 million increase in transmission revenue primarily due to updated transmission costs reflected in Evergy Kansas Central's FERC TFR effective in January 2024; and</w:t>
      </w:r>
    </w:p>
    <w:p>
      <w:pPr>
        <w:spacing w:after="0" w:line="51" w:lineRule="exact"/>
        <w:rPr>
          <w:rFonts w:ascii="Times New Roman" w:cs="Times New Roman" w:eastAsia="Times New Roman" w:hAnsi="Times New Roman"/>
          <w:sz w:val="20"/>
          <w:szCs w:val="20"/>
          <w:color w:val="auto"/>
        </w:rPr>
      </w:pPr>
    </w:p>
    <w:p>
      <w:pPr>
        <w:ind w:left="661" w:right="340" w:hanging="328"/>
        <w:spacing w:after="0" w:line="269" w:lineRule="auto"/>
        <w:tabs>
          <w:tab w:leader="none" w:pos="649"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$14.2 million increase primarily due to higher retail sales driven by favorable weather (cooling degree days increased 10%) and higher weather-normalized residential and commercial demand; partially offset by</w:t>
      </w:r>
    </w:p>
    <w:p>
      <w:pPr>
        <w:spacing w:after="0" w:line="64" w:lineRule="exact"/>
        <w:rPr>
          <w:rFonts w:ascii="Times New Roman" w:cs="Times New Roman" w:eastAsia="Times New Roman" w:hAnsi="Times New Roman"/>
          <w:sz w:val="20"/>
          <w:szCs w:val="20"/>
          <w:color w:val="auto"/>
        </w:rPr>
      </w:pPr>
    </w:p>
    <w:p>
      <w:pPr>
        <w:ind w:left="661" w:right="40" w:hanging="328"/>
        <w:spacing w:after="0" w:line="269" w:lineRule="auto"/>
        <w:tabs>
          <w:tab w:leader="none" w:pos="649"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$15.0 million decrease related to non-regulated sales in 2023 related to Evergy Kansas Central's 8% ownership share of JEC, which is included in rate base in 2024 as a result of Evergy Kansas Central's 2023 rate case;</w:t>
      </w:r>
    </w:p>
    <w:p>
      <w:pPr>
        <w:spacing w:after="0" w:line="64" w:lineRule="exact"/>
        <w:rPr>
          <w:rFonts w:ascii="Times New Roman" w:cs="Times New Roman" w:eastAsia="Times New Roman" w:hAnsi="Times New Roman"/>
          <w:sz w:val="20"/>
          <w:szCs w:val="20"/>
          <w:color w:val="auto"/>
        </w:rPr>
      </w:pPr>
    </w:p>
    <w:p>
      <w:pPr>
        <w:ind w:left="641" w:hanging="308"/>
        <w:spacing w:after="0"/>
        <w:tabs>
          <w:tab w:leader="none" w:pos="641"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$6.6 million decrease related to Evergy Kansas Central's transmission delivery charge (TDC) rider in 2024; and</w:t>
      </w:r>
    </w:p>
    <w:p>
      <w:pPr>
        <w:spacing w:after="0" w:line="121" w:lineRule="exact"/>
        <w:rPr>
          <w:rFonts w:ascii="Times New Roman" w:cs="Times New Roman" w:eastAsia="Times New Roman" w:hAnsi="Times New Roman"/>
          <w:sz w:val="20"/>
          <w:szCs w:val="20"/>
          <w:color w:val="auto"/>
        </w:rPr>
      </w:pPr>
    </w:p>
    <w:p>
      <w:pPr>
        <w:ind w:left="661" w:right="60" w:hanging="328"/>
        <w:spacing w:after="0" w:line="269" w:lineRule="auto"/>
        <w:tabs>
          <w:tab w:leader="none" w:pos="649"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$4.6 million decrease due to higher mark-to-market losses related to forward contracts for natural gas and electricity entered into as economic hedges against fuel price volatility related to Evergy Kansas Central's 8% ownership share of JEC in 2024.</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1"/>
          </w:cols>
          <w:pgMar w:left="319" w:top="11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Additionally, the increase in Evergy Kansas Central's gross margin (GAAP) was also driven by:</w:t>
      </w:r>
    </w:p>
    <w:p>
      <w:pPr>
        <w:spacing w:after="0" w:line="121" w:lineRule="exact"/>
        <w:rPr>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$26.9 million increase in depreciation and amortization as described further below; and</w:t>
      </w:r>
    </w:p>
    <w:p>
      <w:pPr>
        <w:spacing w:after="0" w:line="107" w:lineRule="exact"/>
        <w:rPr>
          <w:rFonts w:ascii="Times New Roman" w:cs="Times New Roman" w:eastAsia="Times New Roman" w:hAnsi="Times New Roman"/>
          <w:sz w:val="20"/>
          <w:szCs w:val="20"/>
          <w:color w:val="auto"/>
        </w:rPr>
      </w:pPr>
    </w:p>
    <w:p>
      <w:pPr>
        <w:ind w:left="660" w:right="40" w:hanging="328"/>
        <w:spacing w:after="0" w:line="258" w:lineRule="auto"/>
        <w:tabs>
          <w:tab w:leader="none" w:pos="64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$18.7 million increase in operating and maintenance expenses which are determined to be directly attributable to revenue producing activities primarily driven by a $12.5 million increase in plant operating and maintenance expense at fossil-fuel generating units and a $7.4 million increase in transmission and distribution operating and maintenance expense; partially offset by a $2.2 million decrease in operating and maintenance expense at Wolf Creek as described further below; and</w:t>
      </w:r>
    </w:p>
    <w:p>
      <w:pPr>
        <w:spacing w:after="0" w:line="7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$15.7 million increase in taxes other than income tax as described further below.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Operating and Maintenance</w:t>
      </w:r>
    </w:p>
    <w:p>
      <w:pPr>
        <w:spacing w:after="0" w:line="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Evergy Kansas Central's operating and maintenance expense increased $10.4 million year to date June 30, 2024, compared to the same period in 2023, primarily driven by:</w:t>
      </w:r>
    </w:p>
    <w:p>
      <w:pPr>
        <w:spacing w:after="0" w:line="80" w:lineRule="exact"/>
        <w:rPr>
          <w:sz w:val="20"/>
          <w:szCs w:val="20"/>
          <w:color w:val="auto"/>
        </w:rPr>
      </w:pPr>
    </w:p>
    <w:p>
      <w:pPr>
        <w:ind w:left="660" w:right="840" w:hanging="328"/>
        <w:spacing w:after="0" w:line="283"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$12.5 million increase in plant operating and maintenance expense at fossil-fuel generating units primarily due to a major maintenance outage at JEC in 2024; and</w:t>
      </w:r>
    </w:p>
    <w:p>
      <w:pPr>
        <w:spacing w:after="0" w:line="38" w:lineRule="exact"/>
        <w:rPr>
          <w:rFonts w:ascii="Times New Roman" w:cs="Times New Roman" w:eastAsia="Times New Roman" w:hAnsi="Times New Roman"/>
          <w:sz w:val="20"/>
          <w:szCs w:val="20"/>
          <w:color w:val="auto"/>
        </w:rPr>
      </w:pPr>
    </w:p>
    <w:p>
      <w:pPr>
        <w:ind w:left="660" w:right="40" w:hanging="328"/>
        <w:spacing w:after="0" w:line="261"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$7.4 million increase in transmission and distribution operating and maintenance expense primarily due to a $5.2 million increase in labor expense primarily due to a decrease in labor capitalization driven by lower capitalization activity related to the installation of transformers and meters in 2024, higher storm outage activity and higher employee headcount; partially offset by</w:t>
      </w:r>
    </w:p>
    <w:p>
      <w:pPr>
        <w:spacing w:after="0" w:line="73" w:lineRule="exact"/>
        <w:rPr>
          <w:rFonts w:ascii="Times New Roman" w:cs="Times New Roman" w:eastAsia="Times New Roman" w:hAnsi="Times New Roman"/>
          <w:sz w:val="20"/>
          <w:szCs w:val="20"/>
          <w:color w:val="auto"/>
        </w:rPr>
      </w:pPr>
    </w:p>
    <w:p>
      <w:pPr>
        <w:ind w:left="660" w:right="60" w:hanging="328"/>
        <w:spacing w:after="0" w:line="283"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$4.4 million decrease due to the amortization of refunds to customers of storms reserves previously collected in rates in accordance with Evergy Kansas Central's 2023 rate case; and</w:t>
      </w:r>
    </w:p>
    <w:p>
      <w:pPr>
        <w:spacing w:after="0" w:line="38" w:lineRule="exact"/>
        <w:rPr>
          <w:rFonts w:ascii="Times New Roman" w:cs="Times New Roman" w:eastAsia="Times New Roman" w:hAnsi="Times New Roman"/>
          <w:sz w:val="20"/>
          <w:szCs w:val="20"/>
          <w:color w:val="auto"/>
        </w:rPr>
      </w:pPr>
    </w:p>
    <w:p>
      <w:pPr>
        <w:ind w:left="660" w:right="80" w:hanging="328"/>
        <w:spacing w:after="0" w:line="283"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$2.2 million decrease in plant operating and maintenance expense at Wolf Creek primarily driven by lower labor expense due to an increase in labor capitalization as a result of the refueling outage completed in May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Depreciation and Amortization</w:t>
      </w:r>
    </w:p>
    <w:p>
      <w:pPr>
        <w:spacing w:after="0" w:line="32" w:lineRule="exact"/>
        <w:rPr>
          <w:sz w:val="20"/>
          <w:szCs w:val="20"/>
          <w:color w:val="auto"/>
        </w:rPr>
      </w:pPr>
    </w:p>
    <w:p>
      <w:pPr>
        <w:ind w:right="340"/>
        <w:spacing w:after="0" w:line="253" w:lineRule="auto"/>
        <w:rPr>
          <w:sz w:val="20"/>
          <w:szCs w:val="20"/>
          <w:color w:val="auto"/>
        </w:rPr>
      </w:pPr>
      <w:r>
        <w:rPr>
          <w:rFonts w:ascii="Times New Roman" w:cs="Times New Roman" w:eastAsia="Times New Roman" w:hAnsi="Times New Roman"/>
          <w:sz w:val="20"/>
          <w:szCs w:val="20"/>
          <w:color w:val="auto"/>
        </w:rPr>
        <w:t>Evergy Kansas Central's depreciation and amortization expense increased $26.9 million year to date June 30, 2024, compared to the same period in 2023, driven by:</w:t>
      </w:r>
    </w:p>
    <w:p>
      <w:pPr>
        <w:spacing w:after="0" w:line="80" w:lineRule="exact"/>
        <w:rPr>
          <w:sz w:val="20"/>
          <w:szCs w:val="20"/>
          <w:color w:val="auto"/>
        </w:rPr>
      </w:pPr>
    </w:p>
    <w:p>
      <w:pPr>
        <w:ind w:left="660" w:right="20" w:hanging="328"/>
        <w:spacing w:after="0" w:line="283" w:lineRule="auto"/>
        <w:tabs>
          <w:tab w:leader="none" w:pos="64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$20.2 million increase primarily due to a change in depreciation rates as a result of Evergy Kansas Central's 2023 rate case effective in December 2023; and</w:t>
      </w:r>
    </w:p>
    <w:p>
      <w:pPr>
        <w:spacing w:after="0" w:line="3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$6.7 million increase primarily due to capital additions.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Taxes Other than Income Tax</w:t>
      </w:r>
    </w:p>
    <w:p>
      <w:pPr>
        <w:spacing w:after="0" w:line="2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9"/>
          <w:szCs w:val="19"/>
          <w:color w:val="auto"/>
        </w:rPr>
        <w:t>Evergy Kansas Central's taxes other than income tax increased $15.7 million year to date June 30, 2024, compared to the same period in 2023, primarily driven by the rebasing of property taxes as a result of Evergy Kansas Central's 2023 rate case effective in December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Other Income, Net</w:t>
      </w:r>
    </w:p>
    <w:p>
      <w:pPr>
        <w:spacing w:after="0" w:line="26"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20"/>
          <w:szCs w:val="20"/>
          <w:color w:val="auto"/>
        </w:rPr>
        <w:t>Evergy Kansas Central's other expense, net year to date June 30, 2023 became other income, net year to date June 30, 2024 as a result of a $14.1 million increase in net other income items, primarily driven by:</w:t>
      </w:r>
    </w:p>
    <w:p>
      <w:pPr>
        <w:spacing w:after="0" w:line="60" w:lineRule="exact"/>
        <w:rPr>
          <w:sz w:val="20"/>
          <w:szCs w:val="20"/>
          <w:color w:val="auto"/>
        </w:rPr>
      </w:pPr>
    </w:p>
    <w:p>
      <w:pPr>
        <w:ind w:left="660" w:right="420" w:hanging="328"/>
        <w:spacing w:after="0" w:line="283" w:lineRule="auto"/>
        <w:tabs>
          <w:tab w:leader="none" w:pos="64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$9.2 million decrease in pension non-service costs primarily due to the resetting of pension expense in retail rates as a result of Evergy Kansas Central's 2023 rate case effective in December 2023; and</w:t>
      </w:r>
    </w:p>
    <w:p>
      <w:pPr>
        <w:spacing w:after="0" w:line="5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$5.4 million increase in equity AFUDC principally driven by higher construction work in progress balances in 2024.</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Interest Expense</w:t>
      </w:r>
    </w:p>
    <w:p>
      <w:pPr>
        <w:spacing w:after="0" w:line="32"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20"/>
          <w:szCs w:val="20"/>
          <w:color w:val="auto"/>
        </w:rPr>
        <w:t>Evergy Kansas Central's interest expense increased $7.2 million year to date June 30, 2024, compared to the same period in 2023, primarily driven by:</w:t>
      </w:r>
    </w:p>
    <w:p>
      <w:pPr>
        <w:spacing w:after="0" w:line="80" w:lineRule="exact"/>
        <w:rPr>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$13.5 million increase due to issuances of long-term debt; partially offset by</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$4.7 million decrease due to higher debt AFUDC primarily driven by higher construction work in progress balances in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Income Tax Expense</w:t>
      </w:r>
    </w:p>
    <w:p>
      <w:pPr>
        <w:spacing w:after="0" w:line="32" w:lineRule="exact"/>
        <w:rPr>
          <w:sz w:val="20"/>
          <w:szCs w:val="20"/>
          <w:color w:val="auto"/>
        </w:rPr>
      </w:pPr>
    </w:p>
    <w:p>
      <w:pPr>
        <w:ind w:right="640"/>
        <w:spacing w:after="0" w:line="253" w:lineRule="auto"/>
        <w:rPr>
          <w:sz w:val="20"/>
          <w:szCs w:val="20"/>
          <w:color w:val="auto"/>
        </w:rPr>
      </w:pPr>
      <w:r>
        <w:rPr>
          <w:rFonts w:ascii="Times New Roman" w:cs="Times New Roman" w:eastAsia="Times New Roman" w:hAnsi="Times New Roman"/>
          <w:sz w:val="20"/>
          <w:szCs w:val="20"/>
          <w:color w:val="auto"/>
        </w:rPr>
        <w:t>Evergy Kansas Central's income tax expense decreased $6.5 million year to date June 30, 2024, compared to the same period in 2023, primarily driven by:</w:t>
      </w:r>
    </w:p>
    <w:p>
      <w:pPr>
        <w:spacing w:after="0" w:line="80" w:lineRule="exact"/>
        <w:rPr>
          <w:sz w:val="20"/>
          <w:szCs w:val="20"/>
          <w:color w:val="auto"/>
        </w:rPr>
      </w:pPr>
    </w:p>
    <w:p>
      <w:pPr>
        <w:ind w:left="660" w:right="360" w:hanging="328"/>
        <w:spacing w:after="0" w:line="269" w:lineRule="auto"/>
        <w:tabs>
          <w:tab w:leader="none" w:pos="64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$7.3 million decrease primarily due to higher wind and other income tax credits in 2024 principally driven by the acquisition of Persimmon Creek in the second quarter of 2023; and</w:t>
      </w:r>
    </w:p>
    <w:p>
      <w:pPr>
        <w:spacing w:after="0" w:line="64" w:lineRule="exact"/>
        <w:rPr>
          <w:rFonts w:ascii="Times New Roman" w:cs="Times New Roman" w:eastAsia="Times New Roman" w:hAnsi="Times New Roman"/>
          <w:sz w:val="20"/>
          <w:szCs w:val="20"/>
          <w:color w:val="auto"/>
        </w:rPr>
      </w:pPr>
    </w:p>
    <w:p>
      <w:pPr>
        <w:ind w:left="660" w:right="140" w:hanging="328"/>
        <w:spacing w:after="0" w:line="283" w:lineRule="auto"/>
        <w:tabs>
          <w:tab w:leader="none" w:pos="64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$6.9 million decrease primarily due to higher amortization of excess deferred income taxes authorized by Evergy Kansas Central's 2023 rate case; partially offset by</w:t>
      </w:r>
    </w:p>
    <w:p>
      <w:pPr>
        <w:spacing w:after="0" w:line="3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$7.8 million increase due to higher pre-tax income in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EVERGY METRO, INC.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MANAGEMENT'S NARRATIVE ANALYSIS OF RESULTS OF OPERATIONS</w:t>
      </w:r>
    </w:p>
    <w:p>
      <w:pPr>
        <w:spacing w:after="0" w:line="233" w:lineRule="exact"/>
        <w:rPr>
          <w:sz w:val="20"/>
          <w:szCs w:val="20"/>
          <w:color w:val="auto"/>
        </w:rPr>
      </w:pPr>
    </w:p>
    <w:p>
      <w:pPr>
        <w:ind w:right="540"/>
        <w:spacing w:after="0" w:line="283" w:lineRule="auto"/>
        <w:rPr>
          <w:sz w:val="20"/>
          <w:szCs w:val="20"/>
          <w:color w:val="auto"/>
        </w:rPr>
      </w:pPr>
      <w:r>
        <w:rPr>
          <w:rFonts w:ascii="Times New Roman" w:cs="Times New Roman" w:eastAsia="Times New Roman" w:hAnsi="Times New Roman"/>
          <w:sz w:val="20"/>
          <w:szCs w:val="20"/>
          <w:color w:val="auto"/>
        </w:rPr>
        <w:t>The below results of operations and related discussion for Evergy Metro is presented in a reduced disclosure format in accordance with General Instruction (H)(2)(a) to Form 10-Q.</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Evergy Metro's comparative results of operations.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June 30</w:t>
            </w:r>
          </w:p>
        </w:tc>
        <w:tc>
          <w:tcPr>
            <w:tcW w:w="2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7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211"/>
              <w:spacing w:after="0"/>
              <w:rPr>
                <w:sz w:val="20"/>
                <w:szCs w:val="20"/>
                <w:color w:val="auto"/>
              </w:rPr>
            </w:pPr>
            <w:r>
              <w:rPr>
                <w:rFonts w:ascii="Times New Roman" w:cs="Times New Roman" w:eastAsia="Times New Roman" w:hAnsi="Times New Roman"/>
                <w:sz w:val="16"/>
                <w:szCs w:val="16"/>
                <w:color w:val="auto"/>
              </w:rPr>
              <w:t>(millions)</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894.9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891.7</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282.1</w:t>
            </w:r>
          </w:p>
        </w:tc>
        <w:tc>
          <w:tcPr>
            <w:tcW w:w="26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24.7</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135.5</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73.5</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r>
      <w:tr>
        <w:trPr>
          <w:trHeight w:val="223"/>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201.4</w:t>
            </w:r>
          </w:p>
        </w:tc>
        <w:tc>
          <w:tcPr>
            <w:tcW w:w="26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(27.3)</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76.0</w:t>
            </w:r>
          </w:p>
        </w:tc>
        <w:tc>
          <w:tcPr>
            <w:tcW w:w="26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30"/>
        </w:trPr>
        <w:tc>
          <w:tcPr>
            <w:tcW w:w="7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16.1</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30"/>
        </w:trPr>
        <w:tc>
          <w:tcPr>
            <w:tcW w:w="7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107.3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(24.3)</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ind w:left="1"/>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
        <w:spacing w:after="0"/>
        <w:rPr>
          <w:sz w:val="20"/>
          <w:szCs w:val="20"/>
          <w:color w:val="auto"/>
        </w:rPr>
      </w:pPr>
      <w:r>
        <w:rPr>
          <w:rFonts w:ascii="Times New Roman" w:cs="Times New Roman" w:eastAsia="Times New Roman" w:hAnsi="Times New Roman"/>
          <w:sz w:val="20"/>
          <w:szCs w:val="20"/>
          <w:b w:val="1"/>
          <w:bCs w:val="1"/>
          <w:color w:val="auto"/>
        </w:rPr>
        <w:t>Evergy Metro Gross Margin (GAAP) and Utility Gross Margin (non-GAAP)</w:t>
      </w:r>
    </w:p>
    <w:p>
      <w:pPr>
        <w:spacing w:after="0" w:line="32" w:lineRule="exact"/>
        <w:rPr>
          <w:sz w:val="20"/>
          <w:szCs w:val="20"/>
          <w:color w:val="auto"/>
        </w:rPr>
      </w:pPr>
    </w:p>
    <w:p>
      <w:pPr>
        <w:jc w:val="both"/>
        <w:ind w:left="1"/>
        <w:spacing w:after="0" w:line="253" w:lineRule="auto"/>
        <w:rPr>
          <w:sz w:val="20"/>
          <w:szCs w:val="20"/>
          <w:color w:val="auto"/>
        </w:rPr>
      </w:pPr>
      <w:r>
        <w:rPr>
          <w:rFonts w:ascii="Times New Roman" w:cs="Times New Roman" w:eastAsia="Times New Roman" w:hAnsi="Times New Roman"/>
          <w:sz w:val="20"/>
          <w:szCs w:val="20"/>
          <w:color w:val="auto"/>
        </w:rPr>
        <w:t>The following table summarizes Evergy Metro's gross margin (GAAP) and MWhs sold and reconciles Evergy Metro's gross margin (GAAP) to Evergy Metro's utility gross margin (non-GAAP). See "Executive Summary - Non-GAAP Measures" for additional information regarding gross margin (GAAP) and utility gross margin (non-GAAP).</w:t>
      </w:r>
    </w:p>
    <w:p>
      <w:pPr>
        <w:spacing w:after="0" w:line="111" w:lineRule="exact"/>
        <w:rPr>
          <w:sz w:val="20"/>
          <w:szCs w:val="20"/>
          <w:color w:val="auto"/>
        </w:rPr>
      </w:pPr>
    </w:p>
    <w:tbl>
      <w:tblPr>
        <w:tblLayout w:type="fixed"/>
        <w:tblInd w:w="1" w:type="dxa"/>
        <w:tblCellMar>
          <w:top w:w="0" w:type="dxa"/>
          <w:left w:w="0" w:type="dxa"/>
          <w:bottom w:w="0" w:type="dxa"/>
          <w:right w:w="0" w:type="dxa"/>
        </w:tblCellMar>
      </w:tblPr>
      <w:tr>
        <w:trPr>
          <w:trHeight w:val="248"/>
        </w:trPr>
        <w:tc>
          <w:tcPr>
            <w:tcW w:w="39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gridSpan w:val="4"/>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Revenues and Expenses</w:t>
            </w:r>
          </w:p>
        </w:tc>
        <w:tc>
          <w:tcPr>
            <w:tcW w:w="7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MWhs Sold</w:t>
            </w:r>
          </w:p>
        </w:tc>
        <w:tc>
          <w:tcPr>
            <w:tcW w:w="960" w:type="dxa"/>
            <w:vAlign w:val="bottom"/>
            <w:tcBorders>
              <w:top w:val="single" w:sz="8" w:color="auto"/>
            </w:tcBorders>
          </w:tcPr>
          <w:p>
            <w:pPr>
              <w:spacing w:after="0"/>
              <w:rPr>
                <w:sz w:val="21"/>
                <w:szCs w:val="21"/>
                <w:color w:val="auto"/>
              </w:rPr>
            </w:pPr>
          </w:p>
        </w:tc>
      </w:tr>
      <w:tr>
        <w:trPr>
          <w:trHeight w:val="238"/>
        </w:trPr>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June 30</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8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revenues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center"/>
              <w:ind w:right="170"/>
              <w:spacing w:after="0"/>
              <w:rPr>
                <w:sz w:val="20"/>
                <w:szCs w:val="20"/>
                <w:color w:val="auto"/>
              </w:rPr>
            </w:pPr>
            <w:r>
              <w:rPr>
                <w:rFonts w:ascii="Times New Roman" w:cs="Times New Roman" w:eastAsia="Times New Roman" w:hAnsi="Times New Roman"/>
                <w:sz w:val="16"/>
                <w:szCs w:val="16"/>
                <w:color w:val="auto"/>
              </w:rPr>
              <w:t>(millions)</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rPr>
              <w:t>(thousands)</w:t>
            </w:r>
          </w:p>
        </w:tc>
        <w:tc>
          <w:tcPr>
            <w:tcW w:w="960" w:type="dxa"/>
            <w:vAlign w:val="bottom"/>
          </w:tcPr>
          <w:p>
            <w:pPr>
              <w:spacing w:after="0"/>
              <w:rPr>
                <w:sz w:val="19"/>
                <w:szCs w:val="19"/>
                <w:color w:val="auto"/>
              </w:rPr>
            </w:pPr>
          </w:p>
        </w:tc>
      </w:tr>
      <w:tr>
        <w:trPr>
          <w:trHeight w:val="230"/>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340.9</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2,681</w:t>
            </w:r>
          </w:p>
        </w:tc>
        <w:tc>
          <w:tcPr>
            <w:tcW w:w="1400" w:type="dxa"/>
            <w:vAlign w:val="bottom"/>
            <w:shd w:val="clear" w:color="auto" w:fill="CCEEFF"/>
          </w:tcPr>
          <w:p>
            <w:pPr>
              <w:jc w:val="center"/>
              <w:ind w:left="451"/>
              <w:spacing w:after="0"/>
              <w:rPr>
                <w:sz w:val="20"/>
                <w:szCs w:val="20"/>
                <w:color w:val="auto"/>
              </w:rPr>
            </w:pPr>
            <w:r>
              <w:rPr>
                <w:rFonts w:ascii="Times New Roman" w:cs="Times New Roman" w:eastAsia="Times New Roman" w:hAnsi="Times New Roman"/>
                <w:sz w:val="18"/>
                <w:szCs w:val="18"/>
                <w:color w:val="auto"/>
                <w:w w:val="99"/>
              </w:rPr>
              <w:t>60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r>
      <w:tr>
        <w:trPr>
          <w:trHeight w:val="229"/>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356.2</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(17.0)</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1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3,603</w:t>
            </w:r>
          </w:p>
        </w:tc>
        <w:tc>
          <w:tcPr>
            <w:tcW w:w="1400" w:type="dxa"/>
            <w:vAlign w:val="bottom"/>
          </w:tcPr>
          <w:p>
            <w:pPr>
              <w:jc w:val="center"/>
              <w:ind w:left="451"/>
              <w:spacing w:after="0"/>
              <w:rPr>
                <w:sz w:val="20"/>
                <w:szCs w:val="20"/>
                <w:color w:val="auto"/>
              </w:rPr>
            </w:pPr>
            <w:r>
              <w:rPr>
                <w:rFonts w:ascii="Times New Roman" w:cs="Times New Roman" w:eastAsia="Times New Roman" w:hAnsi="Times New Roman"/>
                <w:sz w:val="18"/>
                <w:szCs w:val="18"/>
                <w:color w:val="auto"/>
                <w:w w:val="99"/>
              </w:rPr>
              <w:t>11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r>
      <w:tr>
        <w:trPr>
          <w:trHeight w:val="229"/>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Industrial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64.7</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857</w:t>
            </w:r>
          </w:p>
        </w:tc>
        <w:tc>
          <w:tcPr>
            <w:tcW w:w="1400" w:type="dxa"/>
            <w:vAlign w:val="bottom"/>
            <w:shd w:val="clear" w:color="auto" w:fill="CCEEFF"/>
          </w:tcPr>
          <w:p>
            <w:pPr>
              <w:jc w:val="center"/>
              <w:ind w:left="451"/>
              <w:spacing w:after="0"/>
              <w:rPr>
                <w:sz w:val="20"/>
                <w:szCs w:val="20"/>
                <w:color w:val="auto"/>
              </w:rPr>
            </w:pPr>
            <w:r>
              <w:rPr>
                <w:rFonts w:ascii="Times New Roman" w:cs="Times New Roman" w:eastAsia="Times New Roman" w:hAnsi="Times New Roman"/>
                <w:sz w:val="18"/>
                <w:szCs w:val="18"/>
                <w:color w:val="auto"/>
                <w:w w:val="99"/>
              </w:rPr>
              <w:t>20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r>
      <w:tr>
        <w:trPr>
          <w:trHeight w:val="230"/>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retail revenues</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(0.6)</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24</w:t>
            </w:r>
          </w:p>
        </w:tc>
        <w:tc>
          <w:tcPr>
            <w:tcW w:w="1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39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electric retail</w:t>
            </w: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767.3</w:t>
            </w: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(19.4)</w:t>
            </w:r>
          </w:p>
        </w:tc>
        <w:tc>
          <w:tcPr>
            <w:tcW w:w="3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w:t>
            </w:r>
          </w:p>
        </w:tc>
        <w:tc>
          <w:tcPr>
            <w:tcW w:w="2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7,165</w:t>
            </w:r>
          </w:p>
        </w:tc>
        <w:tc>
          <w:tcPr>
            <w:tcW w:w="1400" w:type="dxa"/>
            <w:vAlign w:val="bottom"/>
            <w:tcBorders>
              <w:top w:val="single" w:sz="8" w:color="auto"/>
            </w:tcBorders>
            <w:shd w:val="clear" w:color="auto" w:fill="CCEEFF"/>
          </w:tcPr>
          <w:p>
            <w:pPr>
              <w:jc w:val="center"/>
              <w:ind w:left="451"/>
              <w:spacing w:after="0"/>
              <w:rPr>
                <w:sz w:val="20"/>
                <w:szCs w:val="20"/>
                <w:color w:val="auto"/>
              </w:rPr>
            </w:pPr>
            <w:r>
              <w:rPr>
                <w:rFonts w:ascii="Times New Roman" w:cs="Times New Roman" w:eastAsia="Times New Roman" w:hAnsi="Times New Roman"/>
                <w:sz w:val="18"/>
                <w:szCs w:val="18"/>
                <w:color w:val="auto"/>
                <w:w w:val="99"/>
              </w:rPr>
              <w:t>82</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w:t>
            </w: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Wholesale revenues</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31.8</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2,191</w:t>
            </w:r>
          </w:p>
        </w:tc>
        <w:tc>
          <w:tcPr>
            <w:tcW w:w="1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(190)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w:t>
            </w:r>
          </w:p>
        </w:tc>
      </w:tr>
      <w:tr>
        <w:trPr>
          <w:trHeight w:val="22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c>
          <w:tcPr>
            <w:tcW w:w="1400" w:type="dxa"/>
            <w:vAlign w:val="bottom"/>
            <w:shd w:val="clear" w:color="auto" w:fill="CCEEFF"/>
          </w:tcPr>
          <w:p>
            <w:pPr>
              <w:jc w:val="center"/>
              <w:ind w:left="411"/>
              <w:spacing w:after="0"/>
              <w:rPr>
                <w:sz w:val="20"/>
                <w:szCs w:val="20"/>
                <w:color w:val="auto"/>
              </w:rPr>
            </w:pPr>
            <w:r>
              <w:rPr>
                <w:rFonts w:ascii="Times New Roman" w:cs="Times New Roman" w:eastAsia="Times New Roman" w:hAnsi="Times New Roman"/>
                <w:sz w:val="18"/>
                <w:szCs w:val="18"/>
                <w:color w:val="auto"/>
                <w:w w:val="96"/>
              </w:rPr>
              <w:t>N/A</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86.0</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25.4</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c>
          <w:tcPr>
            <w:tcW w:w="1400" w:type="dxa"/>
            <w:vAlign w:val="bottom"/>
            <w:tcBorders>
              <w:bottom w:val="single" w:sz="8" w:color="auto"/>
            </w:tcBorders>
          </w:tcPr>
          <w:p>
            <w:pPr>
              <w:jc w:val="center"/>
              <w:ind w:left="411"/>
              <w:spacing w:after="0"/>
              <w:rPr>
                <w:sz w:val="20"/>
                <w:szCs w:val="20"/>
                <w:color w:val="auto"/>
              </w:rPr>
            </w:pPr>
            <w:r>
              <w:rPr>
                <w:rFonts w:ascii="Times New Roman" w:cs="Times New Roman" w:eastAsia="Times New Roman" w:hAnsi="Times New Roman"/>
                <w:sz w:val="18"/>
                <w:szCs w:val="18"/>
                <w:color w:val="auto"/>
                <w:w w:val="96"/>
              </w:rPr>
              <w:t>N/A</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3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894.9</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891.7</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9,356</w:t>
            </w:r>
          </w:p>
        </w:tc>
        <w:tc>
          <w:tcPr>
            <w:tcW w:w="1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(108)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9,464</w:t>
            </w: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(282.1)</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(24.7)</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and maintenance </w:t>
            </w:r>
            <w:r>
              <w:rPr>
                <w:rFonts w:ascii="Times New Roman" w:cs="Times New Roman" w:eastAsia="Times New Roman" w:hAnsi="Times New Roman"/>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(101.7)</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(9.6)</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19"/>
                <w:szCs w:val="19"/>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5.4</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(73.5)</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w:t>
            </w: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 (GAAP)</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235.2</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(33.5)</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268.7</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and maintenance </w:t>
            </w:r>
            <w:r>
              <w:rPr>
                <w:rFonts w:ascii="Times New Roman" w:cs="Times New Roman" w:eastAsia="Times New Roman" w:hAnsi="Times New Roman"/>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101.7</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9.6</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other than income tax</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73.5</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7.8</w:t>
            </w: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2"/>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Utility gross margin (non-GAAP)</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612.8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(21.5)</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634.3</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707199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71995" cy="17145"/>
                    </a:xfrm>
                    <a:prstGeom prst="rect">
                      <a:avLst/>
                    </a:prstGeom>
                    <a:noFill/>
                  </pic:spPr>
                </pic:pic>
              </a:graphicData>
            </a:graphic>
          </wp:anchor>
        </w:drawing>
      </w:r>
    </w:p>
    <w:p>
      <w:pPr>
        <w:ind w:left="161" w:right="120" w:hanging="161"/>
        <w:spacing w:after="0" w:line="227" w:lineRule="auto"/>
        <w:tabs>
          <w:tab w:leader="none" w:pos="142" w:val="left"/>
        </w:tabs>
        <w:numPr>
          <w:ilvl w:val="0"/>
          <w:numId w:val="3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$33.8 million and $40.0 million year to date June 30, 2024 and 2023, respectively.</w:t>
      </w:r>
    </w:p>
    <w:p>
      <w:pPr>
        <w:spacing w:after="0" w:line="172" w:lineRule="exact"/>
        <w:rPr>
          <w:sz w:val="20"/>
          <w:szCs w:val="20"/>
          <w:color w:val="auto"/>
        </w:rPr>
      </w:pPr>
    </w:p>
    <w:p>
      <w:pPr>
        <w:ind w:left="1" w:right="40"/>
        <w:spacing w:after="0" w:line="268" w:lineRule="auto"/>
        <w:rPr>
          <w:sz w:val="20"/>
          <w:szCs w:val="20"/>
          <w:color w:val="auto"/>
        </w:rPr>
      </w:pPr>
      <w:r>
        <w:rPr>
          <w:rFonts w:ascii="Times New Roman" w:cs="Times New Roman" w:eastAsia="Times New Roman" w:hAnsi="Times New Roman"/>
          <w:sz w:val="20"/>
          <w:szCs w:val="20"/>
          <w:color w:val="auto"/>
        </w:rPr>
        <w:t>Evergy Metro's gross margin (GAAP) decreased $33.5 million year to date June 30, 2024, compared to the same period in 2023, and Evergy Metro's utility gross margin (non-GAAP) decreased $21.5 million year to date June 30, 2024, compared to the same period in 2023, both measures were driven by:</w:t>
      </w:r>
    </w:p>
    <w:p>
      <w:pPr>
        <w:spacing w:after="0" w:line="53" w:lineRule="exact"/>
        <w:rPr>
          <w:sz w:val="20"/>
          <w:szCs w:val="20"/>
          <w:color w:val="auto"/>
        </w:rPr>
      </w:pPr>
    </w:p>
    <w:p>
      <w:pPr>
        <w:ind w:left="661" w:right="780" w:hanging="328"/>
        <w:spacing w:after="0" w:line="283" w:lineRule="auto"/>
        <w:tabs>
          <w:tab w:leader="none" w:pos="649"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$11.1 million decrease as a result of recording a reduction in the second quarter of 2023 to Evergy Metro's ERSP refund obligation to customers;</w:t>
      </w:r>
    </w:p>
    <w:p>
      <w:pPr>
        <w:spacing w:after="0" w:line="38" w:lineRule="exact"/>
        <w:rPr>
          <w:rFonts w:ascii="Times New Roman" w:cs="Times New Roman" w:eastAsia="Times New Roman" w:hAnsi="Times New Roman"/>
          <w:sz w:val="20"/>
          <w:szCs w:val="20"/>
          <w:color w:val="auto"/>
        </w:rPr>
      </w:pPr>
    </w:p>
    <w:p>
      <w:pPr>
        <w:ind w:left="641" w:hanging="308"/>
        <w:spacing w:after="0"/>
        <w:tabs>
          <w:tab w:leader="none" w:pos="641"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$9.9 million decrease from new Evergy Metro retail rates effective in December 2023; and</w:t>
      </w:r>
    </w:p>
    <w:p>
      <w:pPr>
        <w:spacing w:after="0" w:line="121" w:lineRule="exact"/>
        <w:rPr>
          <w:rFonts w:ascii="Times New Roman" w:cs="Times New Roman" w:eastAsia="Times New Roman" w:hAnsi="Times New Roman"/>
          <w:sz w:val="20"/>
          <w:szCs w:val="20"/>
          <w:color w:val="auto"/>
        </w:rPr>
      </w:pPr>
    </w:p>
    <w:p>
      <w:pPr>
        <w:ind w:left="661" w:right="80" w:hanging="328"/>
        <w:spacing w:after="0" w:line="283" w:lineRule="auto"/>
        <w:tabs>
          <w:tab w:leader="none" w:pos="649"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$6.4 decrease primarily driven by changes in Evergy Metro's rate design in its Kansas jurisdiction impacting the timing of billings to its Kansas commercial customers; partially offset by</w:t>
      </w:r>
    </w:p>
    <w:p>
      <w:pPr>
        <w:spacing w:after="0" w:line="38" w:lineRule="exact"/>
        <w:rPr>
          <w:rFonts w:ascii="Times New Roman" w:cs="Times New Roman" w:eastAsia="Times New Roman" w:hAnsi="Times New Roman"/>
          <w:sz w:val="20"/>
          <w:szCs w:val="20"/>
          <w:color w:val="auto"/>
        </w:rPr>
      </w:pPr>
    </w:p>
    <w:p>
      <w:pPr>
        <w:ind w:left="641" w:hanging="308"/>
        <w:spacing w:after="0"/>
        <w:tabs>
          <w:tab w:leader="none" w:pos="641"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$3.2 million increase related to Evergy Metro's TDC rider in 2024; and</w:t>
      </w:r>
    </w:p>
    <w:p>
      <w:pPr>
        <w:spacing w:after="0" w:line="121" w:lineRule="exact"/>
        <w:rPr>
          <w:rFonts w:ascii="Times New Roman" w:cs="Times New Roman" w:eastAsia="Times New Roman" w:hAnsi="Times New Roman"/>
          <w:sz w:val="20"/>
          <w:szCs w:val="20"/>
          <w:color w:val="auto"/>
        </w:rPr>
      </w:pPr>
    </w:p>
    <w:p>
      <w:pPr>
        <w:ind w:left="661" w:right="120" w:hanging="328"/>
        <w:spacing w:after="0" w:line="269" w:lineRule="auto"/>
        <w:tabs>
          <w:tab w:leader="none" w:pos="649"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$2.7 million increase in transmission revenue primarily due to updated transmission costs reflected in Evergy Metro's FERC TFR effective in January 2024.</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1"/>
          </w:cols>
          <w:pgMar w:left="319" w:top="118" w:right="4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Additionally, the decrease in Evergy Metro's gross margin (GAAP) was also driven by:</w:t>
      </w:r>
    </w:p>
    <w:p>
      <w:pPr>
        <w:spacing w:after="0" w:line="121" w:lineRule="exact"/>
        <w:rPr>
          <w:sz w:val="20"/>
          <w:szCs w:val="20"/>
          <w:color w:val="auto"/>
        </w:rPr>
      </w:pPr>
    </w:p>
    <w:p>
      <w:pPr>
        <w:ind w:left="660" w:right="100" w:hanging="328"/>
        <w:spacing w:after="0" w:line="254" w:lineRule="auto"/>
        <w:tabs>
          <w:tab w:leader="none" w:pos="64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$9.6 million increase in operating and maintenance expenses which are determined to be directly attributable to revenue producing activities primarily driven by a $10.8 million increase in transmission and distribution operating and maintenance expense; partially offset by a $2.2 million decrease in plant operating and maintenance expense at fossil-fuel generating units and a $2.0 million decrease in plant operating and maintenance expense at Wolf Creek as further described below; and</w:t>
      </w:r>
    </w:p>
    <w:p>
      <w:pPr>
        <w:spacing w:after="0" w:line="7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$7.8 million increase in taxes other than income tax as further described below; partially offset by</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$5.4 million decrease in depreciation and amortization as further described below.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Metro Operating and Maintenance</w:t>
      </w:r>
    </w:p>
    <w:p>
      <w:pPr>
        <w:spacing w:after="0" w:line="3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Evergy Metro's operating and maintenance expense increased $3.4 million year to date June 30, 2024, compared to the same period in 2023, primarily driven by:</w:t>
      </w:r>
    </w:p>
    <w:p>
      <w:pPr>
        <w:spacing w:after="0" w:line="80" w:lineRule="exact"/>
        <w:rPr>
          <w:sz w:val="20"/>
          <w:szCs w:val="20"/>
          <w:color w:val="auto"/>
        </w:rPr>
      </w:pPr>
    </w:p>
    <w:p>
      <w:pPr>
        <w:ind w:left="660" w:right="80" w:hanging="328"/>
        <w:spacing w:after="0" w:line="253" w:lineRule="auto"/>
        <w:tabs>
          <w:tab w:leader="none" w:pos="64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$10.8 million increase in transmission and distribution operating and maintenance expenses driven by a $6.5 million increase in non-labor expense primarily due to $2.4 million of higher costs incurred from storms in 2024 and a $2.0 million increase in vegetation management costs and a $4.3 million increase in labor expense primarily due to a decrease in labor capitalization driven by lower capitalization activity related to the installation of transformers and meters in 2024, higher storm outage activity and higher employee headcount; partially offset by</w:t>
      </w:r>
    </w:p>
    <w:p>
      <w:pPr>
        <w:spacing w:after="0" w:line="83" w:lineRule="exact"/>
        <w:rPr>
          <w:rFonts w:ascii="Times New Roman" w:cs="Times New Roman" w:eastAsia="Times New Roman" w:hAnsi="Times New Roman"/>
          <w:sz w:val="20"/>
          <w:szCs w:val="20"/>
          <w:color w:val="auto"/>
        </w:rPr>
      </w:pPr>
    </w:p>
    <w:p>
      <w:pPr>
        <w:ind w:left="660" w:right="220" w:hanging="328"/>
        <w:spacing w:after="0" w:line="283" w:lineRule="auto"/>
        <w:tabs>
          <w:tab w:leader="none" w:pos="64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$3.3 million decrease due to higher costs billed primarily to Evergy Missouri West for common use assets related to facilities and software assets; and</w:t>
      </w:r>
    </w:p>
    <w:p>
      <w:pPr>
        <w:spacing w:after="0" w:line="38" w:lineRule="exact"/>
        <w:rPr>
          <w:rFonts w:ascii="Times New Roman" w:cs="Times New Roman" w:eastAsia="Times New Roman" w:hAnsi="Times New Roman"/>
          <w:sz w:val="20"/>
          <w:szCs w:val="20"/>
          <w:color w:val="auto"/>
        </w:rPr>
      </w:pPr>
    </w:p>
    <w:p>
      <w:pPr>
        <w:ind w:left="660" w:right="80" w:hanging="328"/>
        <w:spacing w:after="0" w:line="283" w:lineRule="auto"/>
        <w:tabs>
          <w:tab w:leader="none" w:pos="64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$2.0 million decrease in plant operating and maintenance expense at Wolf Creek primarily driven by lower labor expense due to an increase in labor capitalization as a result of the refueling outage completed in May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Metro Depreciation and Amortization</w:t>
      </w:r>
    </w:p>
    <w:p>
      <w:pPr>
        <w:spacing w:after="0" w:line="32" w:lineRule="exact"/>
        <w:rPr>
          <w:sz w:val="20"/>
          <w:szCs w:val="20"/>
          <w:color w:val="auto"/>
        </w:rPr>
      </w:pPr>
    </w:p>
    <w:p>
      <w:pPr>
        <w:ind w:right="360"/>
        <w:spacing w:after="0" w:line="253" w:lineRule="auto"/>
        <w:rPr>
          <w:sz w:val="20"/>
          <w:szCs w:val="20"/>
          <w:color w:val="auto"/>
        </w:rPr>
      </w:pPr>
      <w:r>
        <w:rPr>
          <w:rFonts w:ascii="Times New Roman" w:cs="Times New Roman" w:eastAsia="Times New Roman" w:hAnsi="Times New Roman"/>
          <w:sz w:val="20"/>
          <w:szCs w:val="20"/>
          <w:color w:val="auto"/>
        </w:rPr>
        <w:t>Evergy Metro's depreciation and amortization expense decreased $5.4 million year to date June 30, 2024, compared to the same period in 2023, primarily due to a change in depreciation rates as a result of Evergy Metro's 2023 rate case effective in December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Metro Taxes Other than Income Tax</w:t>
      </w:r>
    </w:p>
    <w:p>
      <w:pPr>
        <w:spacing w:after="0" w:line="32" w:lineRule="exact"/>
        <w:rPr>
          <w:sz w:val="20"/>
          <w:szCs w:val="20"/>
          <w:color w:val="auto"/>
        </w:rPr>
      </w:pPr>
    </w:p>
    <w:p>
      <w:pPr>
        <w:ind w:right="780"/>
        <w:spacing w:after="0" w:line="253" w:lineRule="auto"/>
        <w:rPr>
          <w:sz w:val="20"/>
          <w:szCs w:val="20"/>
          <w:color w:val="auto"/>
        </w:rPr>
      </w:pPr>
      <w:r>
        <w:rPr>
          <w:rFonts w:ascii="Times New Roman" w:cs="Times New Roman" w:eastAsia="Times New Roman" w:hAnsi="Times New Roman"/>
          <w:sz w:val="20"/>
          <w:szCs w:val="20"/>
          <w:color w:val="auto"/>
        </w:rPr>
        <w:t>Evergy Metro's taxes other than income tax increased $7.8 million year to date June 30, 2024, compared to the same period in 2023, primarily driven by the rebasing of property taxes as a result of Evergy Metro's 2023 rate case effective in December 2023.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Metro Other Expense, Net</w:t>
      </w:r>
    </w:p>
    <w:p>
      <w:pPr>
        <w:spacing w:after="0" w:line="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Evergy Metro's other expense, net decreased $10.9 million year to date June 30, 2024, compared to the same period in 2023, primarily driven by an $11.9 million decrease in pension non-service costs primarily due to the resetting of pension expense in retail rates as a result of Evergy Metro's 2023 rate case effective in December 2023.</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Metro Interest Expense</w:t>
      </w:r>
    </w:p>
    <w:p>
      <w:pPr>
        <w:spacing w:after="0" w:line="32"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20"/>
          <w:szCs w:val="20"/>
          <w:color w:val="auto"/>
        </w:rPr>
        <w:t>Evergy Metro's interest expense increased $10.4 million year to date June 30, 2024, compared to the same period in 2023, primarily driven by:</w:t>
      </w:r>
    </w:p>
    <w:p>
      <w:pPr>
        <w:spacing w:after="0" w:line="80" w:lineRule="exact"/>
        <w:rPr>
          <w:sz w:val="20"/>
          <w:szCs w:val="20"/>
          <w:color w:val="auto"/>
        </w:rPr>
      </w:pPr>
    </w:p>
    <w:p>
      <w:pPr>
        <w:ind w:left="660" w:right="200" w:hanging="328"/>
        <w:spacing w:after="0" w:line="283" w:lineRule="auto"/>
        <w:tabs>
          <w:tab w:leader="none" w:pos="64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$6.0 million increase in interest expense on short-term borrowings primarily due to higher commercial paper borrowings in 2024; and</w:t>
      </w:r>
    </w:p>
    <w:p>
      <w:pPr>
        <w:spacing w:after="0" w:line="3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$9.5 million increase due issuances of long-term debt; partially offset by</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$2.0 million decrease due to maturities of long-term debt.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DISCLOSURES ABOUT MARKET RISK</w:t>
      </w:r>
    </w:p>
    <w:p>
      <w:pPr>
        <w:spacing w:after="0" w:line="23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20"/>
          <w:szCs w:val="20"/>
          <w:color w:val="auto"/>
        </w:rPr>
        <w:t>In the ordinary course of business, Evergy faces risks that are either non-financial or non-quantifiable. Such risks principally include business, legal, operational and credit risks and are discussed elsewhere in this report as well as in the Evergy Companies' combined 2023 Form 10-K and therefore are not represented here.</w:t>
      </w:r>
    </w:p>
    <w:p>
      <w:pPr>
        <w:spacing w:after="0" w:line="1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Evergy's interim period disclosures about market risk included in quarterly reports on Form 10-Q address material changes, if any, from the most recently filed annual report on Form 10-K. Therefore, these interim period disclosures should be read in conjunction with Part II, Item 7A, Quantitative and Qualitative Disclosures About Market Risk included in the Evergy Companies' combined 2023 Form 10-K. Evergy's exposure to market risk has not changed materially since December 31, 2023.</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8" w:right="5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3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0"/>
          <w:szCs w:val="20"/>
          <w:color w:val="auto"/>
        </w:rPr>
        <w:t>Evergy maintains a set of disclosure controls and procedures designed to provide reasonable assurance that information required to be disclosed by the Exchange Act is recorded, processed, summarized and reported within the time periods specified in the SEC’s rules and forms. In addition, the disclosure controls and procedures provide reasonable assurance that information required to be disclosed is accumulated and communicated to management, including to the chief executive officer and chief financial officer, allowing timely decisions regarding required disclosure. Evergy carried out an evaluation of its disclosure controls and procedures (as defined in Rules 13a-15(e) and 15d-15(e) under the Exchange Act). This evaluation was conducted under the supervision, and with the participation, of Evergy's management, including the chief executive officer and chief financial officer, and Evergy's disclosure committee. Based upon this evaluation, the chief executive officer and chief financial officer of Evergy have concluded as of the end of the period covered by this report that the disclosure controls and procedures of Evergy were effective at a reasonable assurance level.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3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There has been no change in Evergy's internal control over financial reporting (as defined in Rules 13a-15(f) and 15d-15(f) of the Exchange Act) that occurred during the quarterly period ended June 30, 2024, that has materially affected, or is reasonably likely to materially affect, its internal control over financial reporting.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3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9"/>
          <w:szCs w:val="19"/>
          <w:color w:val="auto"/>
        </w:rPr>
        <w:t>Evergy Kansas Central maintains a set of disclosure controls and procedures designed to provide reasonable assurance that information required to be disclosed by the Exchange Act is recorded, processed, summarized and reported within the time periods specified in the SEC’s rules and forms. In addition, the disclosure controls and procedures provide reasonable assurance that information required to be disclosed is accumulated and communicated to management, including to the chief executive officer and chief financial officer, allowing timely decisions</w:t>
      </w:r>
    </w:p>
    <w:p>
      <w:pPr>
        <w:spacing w:after="0" w:line="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regarding required disclosure. Evergy Kansas Central carried out an evaluation of its disclosure controls and procedures (as defined in Rules 13a-15(e) and 15d-15(e) under the Exchange Act). This evaluation was conducted under the supervision, and with the participation, of Evergy Kansas Central's management, including the chief executive officer and chief financial officer, and Evergy Kansas Central's disclosure committee. Based upon this evaluation, the chief executive officer and chief financial officer of Evergy Kansas Central have concluded as of the end of the period covered by this report that the disclosure controls and procedures of Evergy Kansas Central were effective at a reasonable assurance level.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There has been no change in Evergy Kansas Central's internal control over financial reporting (as defined in Rules 13a-15(f) and 15d-15(f) of the Exchange Act) that occurred during the quarterly period ended June 30, 2024, that has materially affected, or is reasonably likely to materially affect, its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METRO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26"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color w:val="auto"/>
        </w:rPr>
        <w:t>Evergy Metro maintains a set of disclosure controls and procedures designed to provide reasonable assurance that information required to be disclosed by the Exchange Act is recorded, processed, summarized and reported within the time periods specified in the SEC’s rules and forms. In addition, the disclosure controls and procedures provide reasonable assurance that information required to be disclosed is accumulated and communicated to management, including to the chief executive officer and chief financial officer, allowing timely decisions regarding required disclosure. Evergy Metro carried out an evaluation of its disclosure controls and procedures (as defined in Rules 13a-15(e) and 15d-15(e) under the Exchange Act). This evaluation was conducted under the supervision, and with the participation, of Evergy Metro's management, including the chief executive officer and chief financial officer, and Evergy Metro's disclosure committee. Based upon this evaluation, the chief executive officer and chief</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920"/>
        <w:spacing w:after="0" w:line="283" w:lineRule="auto"/>
        <w:rPr>
          <w:sz w:val="20"/>
          <w:szCs w:val="20"/>
          <w:color w:val="auto"/>
        </w:rPr>
      </w:pPr>
      <w:r>
        <w:rPr>
          <w:rFonts w:ascii="Times New Roman" w:cs="Times New Roman" w:eastAsia="Times New Roman" w:hAnsi="Times New Roman"/>
          <w:sz w:val="20"/>
          <w:szCs w:val="20"/>
          <w:color w:val="auto"/>
        </w:rPr>
        <w:t>financial officer of Evergy Metro have concluded as of the end of the period covered by this report that the disclosure controls and procedures of Evergy Metro were effective at a reasonable assurance level.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32" w:lineRule="exact"/>
        <w:rPr>
          <w:sz w:val="20"/>
          <w:szCs w:val="20"/>
          <w:color w:val="auto"/>
        </w:rPr>
      </w:pPr>
    </w:p>
    <w:p>
      <w:pPr>
        <w:ind w:right="460"/>
        <w:spacing w:after="0" w:line="253" w:lineRule="auto"/>
        <w:rPr>
          <w:sz w:val="20"/>
          <w:szCs w:val="20"/>
          <w:color w:val="auto"/>
        </w:rPr>
      </w:pPr>
      <w:r>
        <w:rPr>
          <w:rFonts w:ascii="Times New Roman" w:cs="Times New Roman" w:eastAsia="Times New Roman" w:hAnsi="Times New Roman"/>
          <w:sz w:val="20"/>
          <w:szCs w:val="20"/>
          <w:color w:val="auto"/>
        </w:rPr>
        <w:t>There has been no change in Evergy Metro's internal control over financial reporting (as defined in Rules 13a-15(f) and 15d-15(f) of the Exchange Act) that occurred during the quarterly period ended June 30, 2024, that has materially affected, or is reasonably likely to materially affect, its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 - OTHER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Proceedings</w:t>
      </w:r>
    </w:p>
    <w:p>
      <w:pPr>
        <w:spacing w:after="0" w:line="26" w:lineRule="exact"/>
        <w:rPr>
          <w:sz w:val="20"/>
          <w:szCs w:val="20"/>
          <w:color w:val="auto"/>
        </w:rPr>
      </w:pPr>
    </w:p>
    <w:p>
      <w:pPr>
        <w:jc w:val="both"/>
        <w:ind w:right="200"/>
        <w:spacing w:after="0" w:line="256" w:lineRule="auto"/>
        <w:rPr>
          <w:sz w:val="20"/>
          <w:szCs w:val="20"/>
          <w:color w:val="auto"/>
        </w:rPr>
      </w:pPr>
      <w:r>
        <w:rPr>
          <w:rFonts w:ascii="Times New Roman" w:cs="Times New Roman" w:eastAsia="Times New Roman" w:hAnsi="Times New Roman"/>
          <w:sz w:val="20"/>
          <w:szCs w:val="20"/>
          <w:color w:val="auto"/>
        </w:rPr>
        <w:t>The Evergy Companies are parties to various lawsuits and regulatory proceedings in the ordinary course of their respective businesses. For information regarding material lawsuits and proceedings, see Notes 4 and 12 to the consolidated financial statements. Such information is incorporated herein by reference.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3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Actual results in future periods for the Evergy Companies could differ materially from historical results and the forward-looking statements contained in this report. The business of the Evergy Companies is influenced by many factors that are difficult to predict, involve uncertainties that may materially affect actual results and are often beyond their control. Additional risks and uncertainties not presently known or that management currently believes to be immaterial may also adversely affect the Evergy Companies. Factors that might cause or contribute to such differences include, but are not limited to, those discussed in Part I, Item 1A, Risk Factors included in the 2023 Form 10-K for each of Evergy, Evergy Kansas Central and Evergy Metro, as well as Quarterly Reports on Form 10-Q and from time to time in Current Reports on Form 8-K filed by Evergy, Evergy Kansas Central and Evergy Metro. There have been no material changes with regard to those risk factors since the filing of the 2023 Form 10-K for each of Evergy, Evergy Kansas Central and Evergy Metro. This information, as well as the other information included in this report and in the other documents filed with the SEC, should be carefully considered before making an investment in the securities of the Evergy Companies. Risk factors of Evergy Kansas Central and Evergy Metro are also risk factors of Evergy.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w:t>
      </w:r>
    </w:p>
    <w:p>
      <w:pPr>
        <w:spacing w:after="0" w:line="26"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20"/>
          <w:szCs w:val="20"/>
          <w:color w:val="auto"/>
        </w:rPr>
        <w:t>The following table provides information regarding purchases by Evergy of its equity securities that are registered pursuant to Section 12 of the Exchange Act during the three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80" w:type="dxa"/>
            <w:vAlign w:val="bottom"/>
            <w:tcBorders>
              <w:top w:val="single" w:sz="8" w:color="auto"/>
            </w:tcBorders>
          </w:tcPr>
          <w:p>
            <w:pPr>
              <w:spacing w:after="0"/>
              <w:rPr>
                <w:sz w:val="14"/>
                <w:szCs w:val="14"/>
                <w:color w:val="auto"/>
              </w:rPr>
            </w:pPr>
          </w:p>
        </w:tc>
        <w:tc>
          <w:tcPr>
            <w:tcW w:w="29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tcPr>
          <w:p>
            <w:pPr>
              <w:jc w:val="center"/>
              <w:ind w:left="3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360" w:type="dxa"/>
            <w:vAlign w:val="bottom"/>
            <w:tcBorders>
              <w:top w:val="single" w:sz="8" w:color="auto"/>
            </w:tcBorders>
          </w:tcPr>
          <w:p>
            <w:pPr>
              <w:spacing w:after="0"/>
              <w:rPr>
                <w:sz w:val="14"/>
                <w:szCs w:val="14"/>
                <w:color w:val="auto"/>
              </w:rPr>
            </w:pPr>
          </w:p>
        </w:tc>
        <w:tc>
          <w:tcPr>
            <w:tcW w:w="22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94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b w:val="1"/>
                <w:bCs w:val="1"/>
                <w:color w:val="auto"/>
              </w:rPr>
              <w:t>Shares (or Units)</w:t>
            </w:r>
          </w:p>
        </w:tc>
        <w:tc>
          <w:tcPr>
            <w:tcW w:w="360" w:type="dxa"/>
            <w:vAlign w:val="bottom"/>
          </w:tcPr>
          <w:p>
            <w:pPr>
              <w:spacing w:after="0"/>
              <w:rPr>
                <w:sz w:val="15"/>
                <w:szCs w:val="15"/>
                <w:color w:val="auto"/>
              </w:rPr>
            </w:pPr>
          </w:p>
        </w:tc>
        <w:tc>
          <w:tcPr>
            <w:tcW w:w="2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180"/>
        </w:trPr>
        <w:tc>
          <w:tcPr>
            <w:tcW w:w="1780" w:type="dxa"/>
            <w:vAlign w:val="bottom"/>
          </w:tcPr>
          <w:p>
            <w:pPr>
              <w:spacing w:after="0"/>
              <w:rPr>
                <w:sz w:val="15"/>
                <w:szCs w:val="15"/>
                <w:color w:val="auto"/>
              </w:rPr>
            </w:pPr>
          </w:p>
        </w:tc>
        <w:tc>
          <w:tcPr>
            <w:tcW w:w="292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000" w:type="dxa"/>
            <w:vAlign w:val="bottom"/>
            <w:gridSpan w:val="2"/>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940" w:type="dxa"/>
            <w:vAlign w:val="bottom"/>
          </w:tcPr>
          <w:p>
            <w:pPr>
              <w:jc w:val="center"/>
              <w:ind w:left="330"/>
              <w:spacing w:after="0" w:line="180" w:lineRule="exact"/>
              <w:rPr>
                <w:sz w:val="20"/>
                <w:szCs w:val="20"/>
                <w:color w:val="auto"/>
              </w:rPr>
            </w:pPr>
            <w:r>
              <w:rPr>
                <w:rFonts w:ascii="Times New Roman" w:cs="Times New Roman" w:eastAsia="Times New Roman" w:hAnsi="Times New Roman"/>
                <w:sz w:val="18"/>
                <w:szCs w:val="18"/>
                <w:b w:val="1"/>
                <w:bCs w:val="1"/>
                <w:color w:val="auto"/>
                <w:w w:val="98"/>
              </w:rPr>
              <w:t>Purchased as</w:t>
            </w:r>
          </w:p>
        </w:tc>
        <w:tc>
          <w:tcPr>
            <w:tcW w:w="360" w:type="dxa"/>
            <w:vAlign w:val="bottom"/>
          </w:tcPr>
          <w:p>
            <w:pPr>
              <w:spacing w:after="0"/>
              <w:rPr>
                <w:sz w:val="15"/>
                <w:szCs w:val="15"/>
                <w:color w:val="auto"/>
              </w:rPr>
            </w:pPr>
          </w:p>
        </w:tc>
        <w:tc>
          <w:tcPr>
            <w:tcW w:w="22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Shares (or Units)</w:t>
            </w:r>
          </w:p>
        </w:tc>
        <w:tc>
          <w:tcPr>
            <w:tcW w:w="0" w:type="dxa"/>
            <w:vAlign w:val="bottom"/>
          </w:tcPr>
          <w:p>
            <w:pPr>
              <w:spacing w:after="0"/>
              <w:rPr>
                <w:sz w:val="1"/>
                <w:szCs w:val="1"/>
                <w:color w:val="auto"/>
              </w:rPr>
            </w:pPr>
          </w:p>
        </w:tc>
      </w:tr>
      <w:tr>
        <w:trPr>
          <w:trHeight w:val="184"/>
        </w:trPr>
        <w:tc>
          <w:tcPr>
            <w:tcW w:w="1780" w:type="dxa"/>
            <w:vAlign w:val="bottom"/>
          </w:tcPr>
          <w:p>
            <w:pPr>
              <w:spacing w:after="0"/>
              <w:rPr>
                <w:sz w:val="16"/>
                <w:szCs w:val="16"/>
                <w:color w:val="auto"/>
              </w:rPr>
            </w:pPr>
          </w:p>
        </w:tc>
        <w:tc>
          <w:tcPr>
            <w:tcW w:w="2920" w:type="dxa"/>
            <w:vAlign w:val="bottom"/>
            <w:vMerge w:val="continue"/>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1940" w:type="dxa"/>
            <w:vAlign w:val="bottom"/>
          </w:tcPr>
          <w:p>
            <w:pPr>
              <w:jc w:val="center"/>
              <w:ind w:left="3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360" w:type="dxa"/>
            <w:vAlign w:val="bottom"/>
          </w:tcPr>
          <w:p>
            <w:pPr>
              <w:spacing w:after="0"/>
              <w:rPr>
                <w:sz w:val="16"/>
                <w:szCs w:val="16"/>
                <w:color w:val="auto"/>
              </w:rPr>
            </w:pPr>
          </w:p>
        </w:tc>
        <w:tc>
          <w:tcPr>
            <w:tcW w:w="2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that May Yet Be</w:t>
            </w:r>
          </w:p>
        </w:tc>
        <w:tc>
          <w:tcPr>
            <w:tcW w:w="0" w:type="dxa"/>
            <w:vAlign w:val="bottom"/>
          </w:tcPr>
          <w:p>
            <w:pPr>
              <w:spacing w:after="0"/>
              <w:rPr>
                <w:sz w:val="1"/>
                <w:szCs w:val="1"/>
                <w:color w:val="auto"/>
              </w:rPr>
            </w:pPr>
          </w:p>
        </w:tc>
      </w:tr>
      <w:tr>
        <w:trPr>
          <w:trHeight w:val="175"/>
        </w:trPr>
        <w:tc>
          <w:tcPr>
            <w:tcW w:w="1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2920" w:type="dxa"/>
            <w:vAlign w:val="bottom"/>
          </w:tcPr>
          <w:p>
            <w:pPr>
              <w:jc w:val="center"/>
              <w:ind w:left="110"/>
              <w:spacing w:after="0" w:line="176" w:lineRule="exact"/>
              <w:rPr>
                <w:sz w:val="20"/>
                <w:szCs w:val="20"/>
                <w:color w:val="auto"/>
              </w:rPr>
            </w:pPr>
            <w:r>
              <w:rPr>
                <w:rFonts w:ascii="Times New Roman" w:cs="Times New Roman" w:eastAsia="Times New Roman" w:hAnsi="Times New Roman"/>
                <w:sz w:val="18"/>
                <w:szCs w:val="18"/>
                <w:b w:val="1"/>
                <w:bCs w:val="1"/>
                <w:color w:val="auto"/>
              </w:rPr>
              <w:t>Shares (or Units)</w:t>
            </w:r>
          </w:p>
        </w:tc>
        <w:tc>
          <w:tcPr>
            <w:tcW w:w="200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b w:val="1"/>
                <w:bCs w:val="1"/>
                <w:color w:val="auto"/>
              </w:rPr>
              <w:t>Paid per Share</w:t>
            </w:r>
          </w:p>
        </w:tc>
        <w:tc>
          <w:tcPr>
            <w:tcW w:w="1940" w:type="dxa"/>
            <w:vAlign w:val="bottom"/>
          </w:tcPr>
          <w:p>
            <w:pPr>
              <w:jc w:val="center"/>
              <w:ind w:left="330"/>
              <w:spacing w:after="0" w:line="176" w:lineRule="exact"/>
              <w:rPr>
                <w:sz w:val="20"/>
                <w:szCs w:val="20"/>
                <w:color w:val="auto"/>
              </w:rPr>
            </w:pPr>
            <w:r>
              <w:rPr>
                <w:rFonts w:ascii="Times New Roman" w:cs="Times New Roman" w:eastAsia="Times New Roman" w:hAnsi="Times New Roman"/>
                <w:sz w:val="18"/>
                <w:szCs w:val="18"/>
                <w:b w:val="1"/>
                <w:bCs w:val="1"/>
                <w:color w:val="auto"/>
              </w:rPr>
              <w:t>Announced Plans</w:t>
            </w:r>
          </w:p>
        </w:tc>
        <w:tc>
          <w:tcPr>
            <w:tcW w:w="360" w:type="dxa"/>
            <w:vAlign w:val="bottom"/>
          </w:tcPr>
          <w:p>
            <w:pPr>
              <w:spacing w:after="0"/>
              <w:rPr>
                <w:sz w:val="15"/>
                <w:szCs w:val="15"/>
                <w:color w:val="auto"/>
              </w:rPr>
            </w:pPr>
          </w:p>
        </w:tc>
        <w:tc>
          <w:tcPr>
            <w:tcW w:w="2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 Plans</w:t>
            </w:r>
          </w:p>
        </w:tc>
        <w:tc>
          <w:tcPr>
            <w:tcW w:w="0" w:type="dxa"/>
            <w:vAlign w:val="bottom"/>
          </w:tcPr>
          <w:p>
            <w:pPr>
              <w:spacing w:after="0"/>
              <w:rPr>
                <w:sz w:val="1"/>
                <w:szCs w:val="1"/>
                <w:color w:val="auto"/>
              </w:rPr>
            </w:pPr>
          </w:p>
        </w:tc>
      </w:tr>
      <w:tr>
        <w:trPr>
          <w:trHeight w:val="243"/>
        </w:trPr>
        <w:tc>
          <w:tcPr>
            <w:tcW w:w="1780" w:type="dxa"/>
            <w:vAlign w:val="bottom"/>
            <w:tcBorders>
              <w:bottom w:val="single" w:sz="8" w:color="auto"/>
            </w:tcBorders>
            <w:vMerge w:val="continue"/>
          </w:tcPr>
          <w:p>
            <w:pPr>
              <w:spacing w:after="0"/>
              <w:rPr>
                <w:sz w:val="21"/>
                <w:szCs w:val="21"/>
                <w:color w:val="auto"/>
              </w:rPr>
            </w:pPr>
          </w:p>
        </w:tc>
        <w:tc>
          <w:tcPr>
            <w:tcW w:w="2920" w:type="dxa"/>
            <w:vAlign w:val="bottom"/>
            <w:tcBorders>
              <w:bottom w:val="single" w:sz="8" w:color="auto"/>
            </w:tcBorders>
          </w:tcPr>
          <w:p>
            <w:pPr>
              <w:jc w:val="center"/>
              <w:ind w:left="130"/>
              <w:spacing w:after="0" w:line="243" w:lineRule="exact"/>
              <w:rPr>
                <w:sz w:val="20"/>
                <w:szCs w:val="20"/>
                <w:color w:val="auto"/>
              </w:rPr>
            </w:pPr>
            <w:r>
              <w:rPr>
                <w:rFonts w:ascii="Times New Roman" w:cs="Times New Roman" w:eastAsia="Times New Roman" w:hAnsi="Times New Roman"/>
                <w:sz w:val="18"/>
                <w:szCs w:val="18"/>
                <w:b w:val="1"/>
                <w:bCs w:val="1"/>
                <w:color w:val="auto"/>
                <w:w w:val="95"/>
              </w:rPr>
              <w:t>Purchased</w:t>
            </w:r>
            <w:r>
              <w:rPr>
                <w:rFonts w:ascii="Times New Roman" w:cs="Times New Roman" w:eastAsia="Times New Roman" w:hAnsi="Times New Roman"/>
                <w:sz w:val="23"/>
                <w:szCs w:val="23"/>
                <w:b w:val="1"/>
                <w:bCs w:val="1"/>
                <w:color w:val="auto"/>
                <w:w w:val="95"/>
                <w:vertAlign w:val="superscript"/>
              </w:rPr>
              <w:t>(a)</w:t>
            </w:r>
          </w:p>
        </w:tc>
        <w:tc>
          <w:tcPr>
            <w:tcW w:w="5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(or Unit)</w:t>
            </w:r>
          </w:p>
        </w:tc>
        <w:tc>
          <w:tcPr>
            <w:tcW w:w="194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36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0" w:type="dxa"/>
            <w:vAlign w:val="bottom"/>
          </w:tcPr>
          <w:p>
            <w:pPr>
              <w:spacing w:after="0"/>
              <w:rPr>
                <w:sz w:val="1"/>
                <w:szCs w:val="1"/>
                <w:color w:val="auto"/>
              </w:rPr>
            </w:pPr>
          </w:p>
        </w:tc>
      </w:tr>
      <w:tr>
        <w:trPr>
          <w:trHeight w:val="22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1 - 30</w:t>
            </w:r>
          </w:p>
        </w:tc>
        <w:tc>
          <w:tcPr>
            <w:tcW w:w="29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1,071</w:t>
            </w:r>
          </w:p>
        </w:tc>
        <w:tc>
          <w:tcPr>
            <w:tcW w:w="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52.74</w:t>
            </w:r>
          </w:p>
        </w:tc>
        <w:tc>
          <w:tcPr>
            <w:tcW w:w="1940" w:type="dxa"/>
            <w:vAlign w:val="bottom"/>
            <w:shd w:val="clear" w:color="auto" w:fill="CCEEFF"/>
          </w:tcPr>
          <w:p>
            <w:pPr>
              <w:spacing w:after="0"/>
              <w:rPr>
                <w:sz w:val="19"/>
                <w:szCs w:val="19"/>
                <w:color w:val="auto"/>
              </w:rPr>
            </w:pP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1 - 31</w:t>
            </w:r>
          </w:p>
        </w:tc>
        <w:tc>
          <w:tcPr>
            <w:tcW w:w="2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155</w:t>
            </w:r>
          </w:p>
        </w:tc>
        <w:tc>
          <w:tcPr>
            <w:tcW w:w="500" w:type="dxa"/>
            <w:vAlign w:val="bottom"/>
          </w:tcPr>
          <w:p>
            <w:pPr>
              <w:spacing w:after="0"/>
              <w:rPr>
                <w:sz w:val="19"/>
                <w:szCs w:val="19"/>
                <w:color w:val="auto"/>
              </w:rPr>
            </w:pPr>
          </w:p>
        </w:tc>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53.55</w:t>
            </w:r>
          </w:p>
        </w:tc>
        <w:tc>
          <w:tcPr>
            <w:tcW w:w="194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1 - 30</w:t>
            </w:r>
          </w:p>
        </w:tc>
        <w:tc>
          <w:tcPr>
            <w:tcW w:w="29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1,253</w:t>
            </w:r>
          </w:p>
        </w:tc>
        <w:tc>
          <w:tcPr>
            <w:tcW w:w="5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54.66</w:t>
            </w:r>
          </w:p>
        </w:tc>
        <w:tc>
          <w:tcPr>
            <w:tcW w:w="19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tcBorders>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7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2,479</w:t>
            </w:r>
          </w:p>
        </w:tc>
        <w:tc>
          <w:tcPr>
            <w:tcW w:w="5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53.76</w:t>
            </w:r>
          </w:p>
        </w:tc>
        <w:tc>
          <w:tcPr>
            <w:tcW w:w="19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60" w:hanging="152"/>
        <w:spacing w:after="0"/>
        <w:tabs>
          <w:tab w:leader="none" w:pos="160" w:val="left"/>
        </w:tabs>
        <w:numPr>
          <w:ilvl w:val="0"/>
          <w:numId w:val="4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shares Evergy purchased for withholding taxes related to the vesting of RSUs.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DEFAULTS UPON SENIOR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Available Information</w:t>
      </w:r>
    </w:p>
    <w:p>
      <w:pPr>
        <w:spacing w:after="0" w:line="2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color w:val="auto"/>
        </w:rPr>
        <w:t>The SEC maintains an internet site that contains reports, proxy and information statements and other information regarding issuers that file electronically with the SEC at http://www.sec.gov.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http://investors.evergy.com. Such reports are accessible at no charge and are made available as soon as reasonably practical after such material is filed with or furnished to the SEC.</w:t>
      </w:r>
    </w:p>
    <w:p>
      <w:pPr>
        <w:spacing w:after="0" w:line="179"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0"/>
          <w:szCs w:val="20"/>
          <w:color w:val="auto"/>
        </w:rPr>
        <w:t>Investors should note that the Evergy Companies announce material financial information in SEC filings, press releases and public conference calls. In accordance with SEC guidelines, the Evergy Companies also use the Investor Relations section of their website, http://investors.evergy.com, to communicate with investors. It is possible that the financial and other information posted there could be deemed to be material information. The information on the Evergy Companies' website is not part of this document.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Securities Trading Plans of Directors and Executive Officers</w:t>
      </w:r>
    </w:p>
    <w:p>
      <w:pPr>
        <w:spacing w:after="0" w:line="2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For the three months ended June 30, 2024, no director or officer has adopted, terminated or modified a Rule 10b5-1 plan or non-Rule 10b5-1 trading arrangement required to be disclosed under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7"/>
              </w:rPr>
              <w:t>Table of Contents</w:t>
            </w:r>
          </w:p>
        </w:tc>
        <w:tc>
          <w:tcPr>
            <w:tcW w:w="4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6"/>
        </w:trPr>
        <w:tc>
          <w:tcPr>
            <w:tcW w:w="182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rPr>
              <w:t>ITEM 6. EXHIBITS</w:t>
            </w: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60" w:type="dxa"/>
            <w:vAlign w:val="bottom"/>
          </w:tcPr>
          <w:p>
            <w:pPr>
              <w:spacing w:after="0"/>
              <w:rPr>
                <w:sz w:val="24"/>
                <w:szCs w:val="24"/>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color w:val="auto"/>
                <w:w w:val="98"/>
              </w:rPr>
              <w:t>Exhibit</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gridSpan w:val="7"/>
            <w:vMerge w:val="restart"/>
          </w:tcPr>
          <w:p>
            <w:pPr>
              <w:ind w:left="100"/>
              <w:spacing w:after="0"/>
              <w:rPr>
                <w:sz w:val="20"/>
                <w:szCs w:val="20"/>
                <w:color w:val="auto"/>
              </w:rPr>
            </w:pPr>
            <w:r>
              <w:rPr>
                <w:rFonts w:ascii="Times New Roman" w:cs="Times New Roman" w:eastAsia="Times New Roman" w:hAnsi="Times New Roman"/>
                <w:sz w:val="20"/>
                <w:szCs w:val="20"/>
                <w:color w:val="auto"/>
              </w:rPr>
              <w:t>Description of Document</w:t>
            </w:r>
          </w:p>
        </w:tc>
        <w:tc>
          <w:tcPr>
            <w:tcW w:w="2120" w:type="dxa"/>
            <w:vAlign w:val="bottom"/>
            <w:gridSpan w:val="3"/>
            <w:vMerge w:val="restart"/>
          </w:tcPr>
          <w:p>
            <w:pPr>
              <w:ind w:left="1080"/>
              <w:spacing w:after="0"/>
              <w:rPr>
                <w:sz w:val="20"/>
                <w:szCs w:val="20"/>
                <w:color w:val="auto"/>
              </w:rPr>
            </w:pPr>
            <w:r>
              <w:rPr>
                <w:rFonts w:ascii="Times New Roman" w:cs="Times New Roman" w:eastAsia="Times New Roman" w:hAnsi="Times New Roman"/>
                <w:sz w:val="20"/>
                <w:szCs w:val="20"/>
                <w:color w:val="auto"/>
              </w:rPr>
              <w:t>Registrant</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860" w:type="dxa"/>
            <w:vAlign w:val="bottom"/>
            <w:gridSpan w:val="2"/>
          </w:tcPr>
          <w:p>
            <w:pPr>
              <w:jc w:val="center"/>
              <w:ind w:right="220"/>
              <w:spacing w:after="0" w:line="203" w:lineRule="exact"/>
              <w:rPr>
                <w:sz w:val="20"/>
                <w:szCs w:val="20"/>
                <w:color w:val="auto"/>
              </w:rPr>
            </w:pPr>
            <w:r>
              <w:rPr>
                <w:rFonts w:ascii="Times New Roman" w:cs="Times New Roman" w:eastAsia="Times New Roman" w:hAnsi="Times New Roman"/>
                <w:sz w:val="20"/>
                <w:szCs w:val="20"/>
                <w:color w:val="auto"/>
                <w:w w:val="97"/>
              </w:rPr>
              <w:t>Number</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80" w:type="dxa"/>
            <w:vAlign w:val="bottom"/>
            <w:gridSpan w:val="7"/>
            <w:vMerge w:val="continue"/>
          </w:tcPr>
          <w:p>
            <w:pPr>
              <w:spacing w:after="0"/>
              <w:rPr>
                <w:sz w:val="17"/>
                <w:szCs w:val="17"/>
                <w:color w:val="auto"/>
              </w:rPr>
            </w:pPr>
          </w:p>
        </w:tc>
        <w:tc>
          <w:tcPr>
            <w:tcW w:w="21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31.1</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w w:val="98"/>
              </w:rPr>
              <w:t>Rule 13a-14(a)/15d-14(a) Certification of David A. Campbell.</w:t>
            </w:r>
          </w:p>
        </w:tc>
        <w:tc>
          <w:tcPr>
            <w:tcW w:w="1780" w:type="dxa"/>
            <w:vAlign w:val="bottom"/>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31.2</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8"/>
              </w:rPr>
              <w:t>Rule 13a-14(a)/15d-14(a) Certification of Geoffrey T. Ley.</w:t>
            </w:r>
          </w:p>
        </w:tc>
        <w:tc>
          <w:tcPr>
            <w:tcW w:w="2040" w:type="dxa"/>
            <w:vAlign w:val="bottom"/>
            <w:gridSpan w:val="2"/>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31.3</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w w:val="98"/>
              </w:rPr>
              <w:t>Rule 13a-14(a)/15d-14(a) Certification of David A. Campbell.</w:t>
            </w:r>
          </w:p>
        </w:tc>
        <w:tc>
          <w:tcPr>
            <w:tcW w:w="1780" w:type="dxa"/>
            <w:vAlign w:val="bottom"/>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31.4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8"/>
              </w:rPr>
              <w:t>Rule 13a-14(a)/15d-14(a) Certification of Geoffrey T. Ley.</w:t>
            </w:r>
          </w:p>
        </w:tc>
        <w:tc>
          <w:tcPr>
            <w:tcW w:w="2060" w:type="dxa"/>
            <w:vAlign w:val="bottom"/>
            <w:gridSpan w:val="3"/>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31.5</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w w:val="98"/>
              </w:rPr>
              <w:t>Rule 13a-14(a)/15d-14(a) Certification of David A. Campbell.</w:t>
            </w:r>
          </w:p>
        </w:tc>
        <w:tc>
          <w:tcPr>
            <w:tcW w:w="1780" w:type="dxa"/>
            <w:vAlign w:val="bottom"/>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31.6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Rule 13a-14(a)/15d-14(a) Certification of Geoffrey T. Ley</w:t>
            </w:r>
            <w:r>
              <w:rPr>
                <w:rFonts w:ascii="Times New Roman" w:cs="Times New Roman" w:eastAsia="Times New Roman" w:hAnsi="Times New Roman"/>
                <w:sz w:val="20"/>
                <w:szCs w:val="20"/>
                <w:color w:val="000000"/>
              </w:rPr>
              <w:t>.</w:t>
            </w: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32.1</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2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9"/>
              </w:rPr>
              <w:t>Section 1350 Certifications.</w:t>
            </w:r>
          </w:p>
        </w:tc>
        <w:tc>
          <w:tcPr>
            <w:tcW w:w="2380" w:type="dxa"/>
            <w:vAlign w:val="bottom"/>
            <w:tcBorders>
              <w:top w:val="single" w:sz="8" w:color="0000FF"/>
            </w:tcBorders>
            <w:gridSpan w:val="3"/>
          </w:tcPr>
          <w:p>
            <w:pPr>
              <w:spacing w:after="0"/>
              <w:rPr>
                <w:sz w:val="24"/>
                <w:szCs w:val="24"/>
                <w:color w:val="auto"/>
              </w:rPr>
            </w:pPr>
          </w:p>
        </w:tc>
        <w:tc>
          <w:tcPr>
            <w:tcW w:w="2100" w:type="dxa"/>
            <w:vAlign w:val="bottom"/>
            <w:gridSpan w:val="4"/>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32.2</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2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9"/>
              </w:rPr>
              <w:t>Section 1350 Certifications.</w:t>
            </w:r>
          </w:p>
        </w:tc>
        <w:tc>
          <w:tcPr>
            <w:tcW w:w="4480" w:type="dxa"/>
            <w:vAlign w:val="bottom"/>
            <w:gridSpan w:val="7"/>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33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32.3</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8"/>
              </w:rPr>
              <w:t>Section 1350 Certifications.</w:t>
            </w:r>
          </w:p>
        </w:tc>
        <w:tc>
          <w:tcPr>
            <w:tcW w:w="4500" w:type="dxa"/>
            <w:vAlign w:val="bottom"/>
            <w:gridSpan w:val="8"/>
          </w:tcPr>
          <w:p>
            <w:pPr>
              <w:spacing w:after="0"/>
              <w:rPr>
                <w:sz w:val="24"/>
                <w:szCs w:val="24"/>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378"/>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101.INS</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3"/>
              </w:rPr>
              <w:t>***</w:t>
            </w:r>
          </w:p>
        </w:tc>
        <w:tc>
          <w:tcPr>
            <w:tcW w:w="672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XBRL Instance Document.</w:t>
            </w: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91"/>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101.SCH</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120" w:type="dxa"/>
            <w:vAlign w:val="bottom"/>
            <w:gridSpan w:val="3"/>
          </w:tcPr>
          <w:p>
            <w:pPr>
              <w:ind w:left="300"/>
              <w:spacing w:after="0" w:line="193"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258"/>
        </w:trPr>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291"/>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101.CAL</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120" w:type="dxa"/>
            <w:vAlign w:val="bottom"/>
            <w:gridSpan w:val="3"/>
          </w:tcPr>
          <w:p>
            <w:pPr>
              <w:ind w:left="300"/>
              <w:spacing w:after="0" w:line="193"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258"/>
        </w:trPr>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291"/>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101.DEF</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120" w:type="dxa"/>
            <w:vAlign w:val="bottom"/>
            <w:gridSpan w:val="3"/>
          </w:tcPr>
          <w:p>
            <w:pPr>
              <w:ind w:left="300"/>
              <w:spacing w:after="0" w:line="193"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258"/>
        </w:trPr>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291"/>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101.LAB</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Inline XBRL Taxonomy Extension Labels Linkbase Document.</w:t>
            </w: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120" w:type="dxa"/>
            <w:vAlign w:val="bottom"/>
            <w:gridSpan w:val="3"/>
          </w:tcPr>
          <w:p>
            <w:pPr>
              <w:ind w:left="300"/>
              <w:spacing w:after="0" w:line="193"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258"/>
        </w:trPr>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291"/>
        </w:trPr>
        <w:tc>
          <w:tcPr>
            <w:tcW w:w="1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101.PRE</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193"/>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120" w:type="dxa"/>
            <w:vAlign w:val="bottom"/>
            <w:gridSpan w:val="3"/>
          </w:tcPr>
          <w:p>
            <w:pPr>
              <w:ind w:left="300"/>
              <w:spacing w:after="0" w:line="193"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r>
        <w:trPr>
          <w:trHeight w:val="258"/>
        </w:trPr>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 Metro</w:t>
            </w:r>
          </w:p>
        </w:tc>
        <w:tc>
          <w:tcPr>
            <w:tcW w:w="0" w:type="dxa"/>
            <w:vAlign w:val="bottom"/>
          </w:tcPr>
          <w:p>
            <w:pPr>
              <w:spacing w:after="0"/>
              <w:rPr>
                <w:sz w:val="1"/>
                <w:szCs w:val="1"/>
                <w:color w:val="auto"/>
              </w:rPr>
            </w:pPr>
          </w:p>
        </w:tc>
      </w:tr>
      <w:tr>
        <w:trPr>
          <w:trHeight w:val="291"/>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2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w:t>
            </w: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120" w:type="dxa"/>
            <w:vAlign w:val="bottom"/>
            <w:gridSpan w:val="3"/>
          </w:tcPr>
          <w:p>
            <w:pPr>
              <w:ind w:left="300"/>
              <w:spacing w:after="0" w:line="215" w:lineRule="exact"/>
              <w:rPr>
                <w:sz w:val="20"/>
                <w:szCs w:val="20"/>
                <w:color w:val="auto"/>
              </w:rPr>
            </w:pPr>
            <w:r>
              <w:rPr>
                <w:rFonts w:ascii="Times New Roman" w:cs="Times New Roman" w:eastAsia="Times New Roman" w:hAnsi="Times New Roman"/>
                <w:sz w:val="20"/>
                <w:szCs w:val="20"/>
                <w:color w:val="auto"/>
                <w:w w:val="97"/>
              </w:rPr>
              <w:t>Evergy Kansas Central</w:t>
            </w:r>
          </w:p>
        </w:tc>
        <w:tc>
          <w:tcPr>
            <w:tcW w:w="0" w:type="dxa"/>
            <w:vAlign w:val="bottom"/>
          </w:tcPr>
          <w:p>
            <w:pPr>
              <w:spacing w:after="0"/>
              <w:rPr>
                <w:sz w:val="1"/>
                <w:szCs w:val="1"/>
                <w:color w:val="auto"/>
              </w:rPr>
            </w:pPr>
          </w:p>
        </w:tc>
      </w:tr>
    </w:tbl>
    <w:p>
      <w:pPr>
        <w:ind w:left="8840"/>
        <w:spacing w:after="0"/>
        <w:rPr>
          <w:sz w:val="20"/>
          <w:szCs w:val="20"/>
          <w:color w:val="auto"/>
        </w:rPr>
      </w:pPr>
      <w:r>
        <w:rPr>
          <w:rFonts w:ascii="Times New Roman" w:cs="Times New Roman" w:eastAsia="Times New Roman" w:hAnsi="Times New Roman"/>
          <w:sz w:val="20"/>
          <w:szCs w:val="20"/>
          <w:color w:val="auto"/>
        </w:rPr>
        <w:t>Evergy Metro</w:t>
      </w:r>
    </w:p>
    <w:p>
      <w:pPr>
        <w:spacing w:after="0" w:line="180" w:lineRule="exact"/>
        <w:rPr>
          <w:sz w:val="20"/>
          <w:szCs w:val="20"/>
          <w:color w:val="auto"/>
        </w:rPr>
      </w:pPr>
    </w:p>
    <w:p>
      <w:pPr>
        <w:ind w:right="60" w:firstLine="8"/>
        <w:spacing w:after="0" w:line="261" w:lineRule="auto"/>
        <w:tabs>
          <w:tab w:leader="none" w:pos="14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with the SEC as exhibits to prior SEC filings and are incorporated herein by reference and made a part hereof. The SEC filings and the exhibit number of the documents so filed, and incorporated herein by reference, are stated in parenthesis in the description of such exhibit.</w:t>
      </w:r>
    </w:p>
    <w:p>
      <w:pPr>
        <w:spacing w:after="0" w:line="114" w:lineRule="exact"/>
        <w:rPr>
          <w:sz w:val="20"/>
          <w:szCs w:val="20"/>
          <w:color w:val="auto"/>
        </w:rPr>
      </w:pPr>
    </w:p>
    <w:p>
      <w:pPr>
        <w:jc w:val="both"/>
        <w:ind w:firstLine="8"/>
        <w:spacing w:after="0" w:line="261" w:lineRule="auto"/>
        <w:tabs>
          <w:tab w:leader="none" w:pos="247"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Furnished and shall not be deemed filed for the purpose of Section 18 of the Exchange Act. Such document shall not be incorporated by reference into any registration statement or other document pursuant to the Exchange Act or the Securities Act of 1933, as amended, unless otherwise indicated in such registration statement or other document.</w:t>
      </w:r>
    </w:p>
    <w:p>
      <w:pPr>
        <w:spacing w:after="0" w:line="100" w:lineRule="exact"/>
        <w:rPr>
          <w:rFonts w:ascii="Times New Roman" w:cs="Times New Roman" w:eastAsia="Times New Roman" w:hAnsi="Times New Roman"/>
          <w:sz w:val="20"/>
          <w:szCs w:val="20"/>
          <w:color w:val="auto"/>
        </w:rPr>
      </w:pPr>
    </w:p>
    <w:p>
      <w:pPr>
        <w:ind w:right="560" w:firstLine="8"/>
        <w:spacing w:after="0" w:line="283" w:lineRule="auto"/>
        <w:tabs>
          <w:tab w:leader="none" w:pos="34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instance document does not appear in the interactive data file because its XBRL tags are embedded within the inline XBRL document.</w:t>
      </w:r>
    </w:p>
    <w:p>
      <w:pPr>
        <w:spacing w:after="0" w:line="79" w:lineRule="exact"/>
        <w:rPr>
          <w:sz w:val="20"/>
          <w:szCs w:val="20"/>
          <w:color w:val="auto"/>
        </w:rPr>
      </w:pPr>
    </w:p>
    <w:p>
      <w:pPr>
        <w:ind w:left="160" w:hanging="152"/>
        <w:spacing w:after="0"/>
        <w:tabs>
          <w:tab w:leader="none" w:pos="1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management contract or compensatory plan or arrangement.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06" w:lineRule="exact"/>
        <w:rPr>
          <w:rFonts w:ascii="Times New Roman" w:cs="Times New Roman" w:eastAsia="Times New Roman" w:hAnsi="Times New Roman"/>
          <w:sz w:val="20"/>
          <w:szCs w:val="20"/>
          <w:color w:val="auto"/>
        </w:rPr>
      </w:pPr>
    </w:p>
    <w:p>
      <w:pPr>
        <w:ind w:left="55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9" w:right="5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Copies of any of the exhibits filed with the SEC in connection with this document may be obtained from Evergy, Evergy Kansas Central or Evergy Metro, as applicable, upon written request.</w:t>
      </w:r>
    </w:p>
    <w:p>
      <w:pPr>
        <w:spacing w:after="0" w:line="79"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color w:val="auto"/>
        </w:rPr>
        <w:t>The registrants agree to furnish to the SEC upon request any instrument with respect to long-term debt as to which the total amount of securities authorized does not exceed 10% of total assets of such registrant and its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Evergy, Inc., Evergy Kansas Central, Inc. and Evergy Metro, Inc. have duly caused this report to be signed on their behalf by the undersigned, thereunto duly authorized.</w:t>
      </w:r>
    </w:p>
    <w:p>
      <w:pPr>
        <w:spacing w:after="0" w:line="20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b w:val="1"/>
          <w:bCs w:val="1"/>
          <w:color w:val="auto"/>
        </w:rPr>
        <w:t>EVERGY, INC.</w:t>
      </w:r>
    </w:p>
    <w:p>
      <w:pPr>
        <w:spacing w:after="0" w:line="287" w:lineRule="exact"/>
        <w:rPr>
          <w:sz w:val="20"/>
          <w:szCs w:val="20"/>
          <w:color w:val="auto"/>
        </w:rPr>
      </w:pPr>
    </w:p>
    <w:p>
      <w:pPr>
        <w:ind w:left="20"/>
        <w:spacing w:after="0"/>
        <w:tabs>
          <w:tab w:leader="none" w:pos="880" w:val="left"/>
          <w:tab w:leader="none" w:pos="404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August 8, 2024</w:t>
      </w:r>
      <w:r>
        <w:rPr>
          <w:sz w:val="20"/>
          <w:szCs w:val="20"/>
          <w:color w:val="auto"/>
        </w:rPr>
        <w:tab/>
      </w:r>
      <w:r>
        <w:rPr>
          <w:rFonts w:ascii="Times New Roman" w:cs="Times New Roman" w:eastAsia="Times New Roman" w:hAnsi="Times New Roman"/>
          <w:sz w:val="20"/>
          <w:szCs w:val="20"/>
          <w:u w:val="single" w:color="auto"/>
          <w:color w:val="auto"/>
        </w:rPr>
        <w:t>By: /s/ Geoffrey T. Ley</w:t>
      </w:r>
    </w:p>
    <w:p>
      <w:pPr>
        <w:spacing w:after="0" w:line="2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(Geoffrey T. Ley)</w:t>
      </w:r>
    </w:p>
    <w:p>
      <w:pPr>
        <w:spacing w:after="0" w:line="2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(Vice President, Acting Chief Financial Officer and Treasurer)</w:t>
      </w:r>
    </w:p>
    <w:p>
      <w:pPr>
        <w:spacing w:after="0" w:line="34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EVERGY KANSAS CENTRAL, INC.</w:t>
      </w:r>
    </w:p>
    <w:p>
      <w:pPr>
        <w:spacing w:after="0" w:line="287" w:lineRule="exact"/>
        <w:rPr>
          <w:sz w:val="20"/>
          <w:szCs w:val="20"/>
          <w:color w:val="auto"/>
        </w:rPr>
      </w:pPr>
    </w:p>
    <w:p>
      <w:pPr>
        <w:ind w:left="20"/>
        <w:spacing w:after="0"/>
        <w:tabs>
          <w:tab w:leader="none" w:pos="900" w:val="left"/>
          <w:tab w:leader="none" w:pos="406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August 8, 2024</w:t>
      </w:r>
      <w:r>
        <w:rPr>
          <w:sz w:val="20"/>
          <w:szCs w:val="20"/>
          <w:color w:val="auto"/>
        </w:rPr>
        <w:tab/>
      </w:r>
      <w:r>
        <w:rPr>
          <w:rFonts w:ascii="Times New Roman" w:cs="Times New Roman" w:eastAsia="Times New Roman" w:hAnsi="Times New Roman"/>
          <w:sz w:val="20"/>
          <w:szCs w:val="20"/>
          <w:u w:val="single" w:color="auto"/>
          <w:color w:val="auto"/>
        </w:rPr>
        <w:t>By: /s/ Geoffrey T. Ley</w:t>
      </w:r>
    </w:p>
    <w:p>
      <w:pPr>
        <w:spacing w:after="0" w:line="2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(Geoffrey T. Ley)</w:t>
      </w:r>
    </w:p>
    <w:p>
      <w:pPr>
        <w:spacing w:after="0" w:line="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(Vice President, Acting Chief Financial Officer and Treasurer)</w:t>
      </w:r>
    </w:p>
    <w:p>
      <w:pPr>
        <w:spacing w:after="0" w:line="38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EVERGY METRO, INC.</w:t>
      </w:r>
    </w:p>
    <w:p>
      <w:pPr>
        <w:spacing w:after="0" w:line="287" w:lineRule="exact"/>
        <w:rPr>
          <w:sz w:val="20"/>
          <w:szCs w:val="20"/>
          <w:color w:val="auto"/>
        </w:rPr>
      </w:pPr>
    </w:p>
    <w:p>
      <w:pPr>
        <w:ind w:left="20"/>
        <w:spacing w:after="0"/>
        <w:tabs>
          <w:tab w:leader="none" w:pos="900" w:val="left"/>
          <w:tab w:leader="none" w:pos="406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August 8, 2024</w:t>
      </w:r>
      <w:r>
        <w:rPr>
          <w:sz w:val="20"/>
          <w:szCs w:val="20"/>
          <w:color w:val="auto"/>
        </w:rPr>
        <w:tab/>
      </w:r>
      <w:r>
        <w:rPr>
          <w:rFonts w:ascii="Times New Roman" w:cs="Times New Roman" w:eastAsia="Times New Roman" w:hAnsi="Times New Roman"/>
          <w:sz w:val="20"/>
          <w:szCs w:val="20"/>
          <w:u w:val="single" w:color="auto"/>
          <w:color w:val="auto"/>
        </w:rPr>
        <w:t>By: /s/ Geoffrey T. Ley</w:t>
      </w:r>
    </w:p>
    <w:p>
      <w:pPr>
        <w:spacing w:after="0" w:line="2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(Geoffrey T. Ley)</w:t>
      </w:r>
    </w:p>
    <w:p>
      <w:pPr>
        <w:spacing w:after="0" w:line="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(Vice President, Acting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118" w:right="45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Campbell, certify that:</w:t>
      </w:r>
    </w:p>
    <w:p>
      <w:pPr>
        <w:spacing w:after="0" w:line="252" w:lineRule="exact"/>
        <w:rPr>
          <w:sz w:val="20"/>
          <w:szCs w:val="20"/>
          <w:color w:val="auto"/>
        </w:rPr>
      </w:pPr>
    </w:p>
    <w:p>
      <w:pPr>
        <w:ind w:left="320" w:hanging="312"/>
        <w:spacing w:after="0"/>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Inc.;</w:t>
      </w:r>
    </w:p>
    <w:p>
      <w:pPr>
        <w:spacing w:after="0" w:line="225"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32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420" w:hanging="652"/>
        <w:spacing w:after="0" w:line="282" w:lineRule="auto"/>
        <w:tabs>
          <w:tab w:leader="none" w:pos="32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3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60" w:hanging="644"/>
        <w:spacing w:after="0" w:line="266" w:lineRule="auto"/>
        <w:tabs>
          <w:tab w:leader="none" w:pos="1032"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042"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032"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 w:hanging="644"/>
        <w:spacing w:after="0" w:line="266" w:lineRule="auto"/>
        <w:tabs>
          <w:tab w:leader="none" w:pos="1042"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60" w:hanging="652"/>
        <w:spacing w:after="0" w:line="282" w:lineRule="auto"/>
        <w:tabs>
          <w:tab w:leader="none" w:pos="3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740" w:hanging="644"/>
        <w:spacing w:after="0" w:line="312" w:lineRule="auto"/>
        <w:tabs>
          <w:tab w:leader="none" w:pos="1022"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1300" w:right="420" w:hanging="644"/>
        <w:spacing w:after="0" w:line="282" w:lineRule="auto"/>
        <w:tabs>
          <w:tab w:leader="none" w:pos="1032"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August 8, 2024</w:t>
            </w: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David Campbell</w:t>
            </w:r>
          </w:p>
        </w:tc>
        <w:tc>
          <w:tcPr>
            <w:tcW w:w="2140" w:type="dxa"/>
            <w:vAlign w:val="bottom"/>
          </w:tcPr>
          <w:p>
            <w:pPr>
              <w:spacing w:after="0"/>
              <w:rPr>
                <w:sz w:val="18"/>
                <w:szCs w:val="18"/>
                <w:color w:val="auto"/>
              </w:rPr>
            </w:pPr>
          </w:p>
        </w:tc>
      </w:tr>
      <w:tr>
        <w:trPr>
          <w:trHeight w:val="196"/>
        </w:trPr>
        <w:tc>
          <w:tcPr>
            <w:tcW w:w="60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35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David A. Campbell</w:t>
            </w:r>
          </w:p>
        </w:tc>
      </w:tr>
      <w:tr>
        <w:trPr>
          <w:trHeight w:val="234"/>
        </w:trPr>
        <w:tc>
          <w:tcPr>
            <w:tcW w:w="60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Chairman, Chief Executive Officer and President</w:t>
            </w:r>
          </w:p>
        </w:tc>
      </w:tr>
    </w:tbl>
    <w:p>
      <w:pPr>
        <w:sectPr>
          <w:pgSz w:w="11900" w:h="16838" w:orient="portrait"/>
          <w:cols w:equalWidth="0" w:num="1">
            <w:col w:w="11240"/>
          </w:cols>
          <w:pgMar w:left="320" w:top="891"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Geoffrey T. Ley, certify that:</w:t>
      </w:r>
    </w:p>
    <w:p>
      <w:pPr>
        <w:spacing w:after="0" w:line="252"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Inc.;</w:t>
      </w:r>
    </w:p>
    <w:p>
      <w:pPr>
        <w:spacing w:after="0" w:line="252"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August 8, 2024</w:t>
            </w: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Geoffrey T. Ley</w:t>
            </w:r>
          </w:p>
        </w:tc>
      </w:tr>
      <w:tr>
        <w:trPr>
          <w:trHeight w:val="196"/>
        </w:trPr>
        <w:tc>
          <w:tcPr>
            <w:tcW w:w="60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136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Geoffrey T. Ley</w:t>
            </w:r>
          </w:p>
        </w:tc>
        <w:tc>
          <w:tcPr>
            <w:tcW w:w="1980" w:type="dxa"/>
            <w:vAlign w:val="bottom"/>
          </w:tcPr>
          <w:p>
            <w:pPr>
              <w:spacing w:after="0"/>
              <w:rPr>
                <w:sz w:val="17"/>
                <w:szCs w:val="17"/>
                <w:color w:val="auto"/>
              </w:rPr>
            </w:pPr>
          </w:p>
        </w:tc>
      </w:tr>
      <w:tr>
        <w:trPr>
          <w:trHeight w:val="184"/>
        </w:trPr>
        <w:tc>
          <w:tcPr>
            <w:tcW w:w="60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334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w w:val="98"/>
              </w:rPr>
              <w:t>Vice President, Acting Chief Financial Officer</w:t>
            </w:r>
          </w:p>
        </w:tc>
      </w:tr>
      <w:tr>
        <w:trPr>
          <w:trHeight w:val="234"/>
        </w:trPr>
        <w:tc>
          <w:tcPr>
            <w:tcW w:w="60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Treasurer</w:t>
            </w:r>
          </w:p>
        </w:tc>
      </w:tr>
    </w:tbl>
    <w:p>
      <w:pPr>
        <w:sectPr>
          <w:pgSz w:w="11900" w:h="16838" w:orient="portrait"/>
          <w:cols w:equalWidth="0" w:num="1">
            <w:col w:w="11240"/>
          </w:cols>
          <w:pgMar w:left="320" w:top="891"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color w:val="auto"/>
        </w:rPr>
        <w:t>Exhibit 31.3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Campbell, certify that:</w:t>
      </w:r>
    </w:p>
    <w:p>
      <w:pPr>
        <w:spacing w:after="0" w:line="252"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Metro, Inc.;</w:t>
      </w:r>
    </w:p>
    <w:p>
      <w:pPr>
        <w:spacing w:after="0" w:line="252"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August 8, 2024</w:t>
            </w: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Campbell</w:t>
            </w:r>
          </w:p>
        </w:tc>
      </w:tr>
      <w:tr>
        <w:trPr>
          <w:trHeight w:val="20"/>
        </w:trPr>
        <w:tc>
          <w:tcPr>
            <w:tcW w:w="5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35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David A. Campbell</w:t>
            </w:r>
          </w:p>
        </w:tc>
      </w:tr>
      <w:tr>
        <w:trPr>
          <w:trHeight w:val="234"/>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Chairman, Chief Executive Officer and President</w:t>
            </w:r>
          </w:p>
        </w:tc>
      </w:tr>
    </w:tbl>
    <w:p>
      <w:pPr>
        <w:sectPr>
          <w:pgSz w:w="11900" w:h="16838" w:orient="portrait"/>
          <w:cols w:equalWidth="0" w:num="1">
            <w:col w:w="11240"/>
          </w:cols>
          <w:pgMar w:left="320" w:top="891"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color w:val="auto"/>
        </w:rPr>
        <w:t>Exhibit 31.4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Geoffrey T. Ley, certify that:</w:t>
      </w:r>
    </w:p>
    <w:p>
      <w:pPr>
        <w:spacing w:after="0" w:line="252"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Metro, Inc.;</w:t>
      </w:r>
    </w:p>
    <w:p>
      <w:pPr>
        <w:spacing w:after="0" w:line="252"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August 8, 2024</w:t>
            </w: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Geoffrey T. Ley</w:t>
            </w:r>
          </w:p>
        </w:tc>
      </w:tr>
      <w:tr>
        <w:trPr>
          <w:trHeight w:val="196"/>
        </w:trPr>
        <w:tc>
          <w:tcPr>
            <w:tcW w:w="6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36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Geoffrey T. Ley</w:t>
            </w:r>
          </w:p>
        </w:tc>
        <w:tc>
          <w:tcPr>
            <w:tcW w:w="1980" w:type="dxa"/>
            <w:vAlign w:val="bottom"/>
          </w:tcPr>
          <w:p>
            <w:pPr>
              <w:spacing w:after="0"/>
              <w:rPr>
                <w:sz w:val="17"/>
                <w:szCs w:val="17"/>
                <w:color w:val="auto"/>
              </w:rPr>
            </w:pPr>
          </w:p>
        </w:tc>
      </w:tr>
      <w:tr>
        <w:trPr>
          <w:trHeight w:val="184"/>
        </w:trPr>
        <w:tc>
          <w:tcPr>
            <w:tcW w:w="60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334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w w:val="98"/>
              </w:rPr>
              <w:t>Vice President, Acting Chief Financial Officer</w:t>
            </w:r>
          </w:p>
        </w:tc>
      </w:tr>
      <w:tr>
        <w:trPr>
          <w:trHeight w:val="234"/>
        </w:trPr>
        <w:tc>
          <w:tcPr>
            <w:tcW w:w="6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Treasurer</w:t>
            </w:r>
          </w:p>
        </w:tc>
      </w:tr>
    </w:tbl>
    <w:p>
      <w:pPr>
        <w:sectPr>
          <w:pgSz w:w="11900" w:h="16838" w:orient="portrait"/>
          <w:cols w:equalWidth="0" w:num="1">
            <w:col w:w="11240"/>
          </w:cols>
          <w:pgMar w:left="320" w:top="891"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color w:val="auto"/>
        </w:rPr>
        <w:t>Exhibit 31.5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Campbell, certify that:</w:t>
      </w:r>
    </w:p>
    <w:p>
      <w:pPr>
        <w:spacing w:after="0" w:line="252"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Kansas Central, Inc.;</w:t>
      </w:r>
    </w:p>
    <w:p>
      <w:pPr>
        <w:spacing w:after="0" w:line="252"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August 8, 2024</w:t>
            </w: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David Campbell</w:t>
            </w:r>
          </w:p>
        </w:tc>
      </w:tr>
      <w:tr>
        <w:trPr>
          <w:trHeight w:val="20"/>
        </w:trPr>
        <w:tc>
          <w:tcPr>
            <w:tcW w:w="5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35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David A. Campbell</w:t>
            </w:r>
          </w:p>
        </w:tc>
      </w:tr>
      <w:tr>
        <w:trPr>
          <w:trHeight w:val="234"/>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Chairman, Chief Executive Officer and President</w:t>
            </w:r>
          </w:p>
        </w:tc>
      </w:tr>
    </w:tbl>
    <w:p>
      <w:pPr>
        <w:sectPr>
          <w:pgSz w:w="11900" w:h="16838" w:orient="portrait"/>
          <w:cols w:equalWidth="0" w:num="1">
            <w:col w:w="11240"/>
          </w:cols>
          <w:pgMar w:left="320" w:top="891"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color w:val="auto"/>
        </w:rPr>
        <w:t>Exhibit 31.6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Geoffrey T. Ley, certify that:</w:t>
      </w:r>
    </w:p>
    <w:p>
      <w:pPr>
        <w:spacing w:after="0" w:line="252"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Kansas Central, Inc.;</w:t>
      </w:r>
    </w:p>
    <w:p>
      <w:pPr>
        <w:spacing w:after="0" w:line="252"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2"/>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100" w:hanging="571"/>
        <w:spacing w:after="0" w:line="282" w:lineRule="auto"/>
        <w:tabs>
          <w:tab w:leader="none" w:pos="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August 8, 2024</w:t>
            </w: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Geoffrey T. Ley</w:t>
            </w:r>
          </w:p>
        </w:tc>
      </w:tr>
      <w:tr>
        <w:trPr>
          <w:trHeight w:val="196"/>
        </w:trPr>
        <w:tc>
          <w:tcPr>
            <w:tcW w:w="6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36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Geoffrey T. Ley</w:t>
            </w:r>
          </w:p>
        </w:tc>
        <w:tc>
          <w:tcPr>
            <w:tcW w:w="1980" w:type="dxa"/>
            <w:vAlign w:val="bottom"/>
          </w:tcPr>
          <w:p>
            <w:pPr>
              <w:spacing w:after="0"/>
              <w:rPr>
                <w:sz w:val="17"/>
                <w:szCs w:val="17"/>
                <w:color w:val="auto"/>
              </w:rPr>
            </w:pPr>
          </w:p>
        </w:tc>
      </w:tr>
      <w:tr>
        <w:trPr>
          <w:trHeight w:val="184"/>
        </w:trPr>
        <w:tc>
          <w:tcPr>
            <w:tcW w:w="60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334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w w:val="98"/>
              </w:rPr>
              <w:t>Vice President, Acting Chief Financial Officer</w:t>
            </w:r>
          </w:p>
        </w:tc>
      </w:tr>
      <w:tr>
        <w:trPr>
          <w:trHeight w:val="234"/>
        </w:trPr>
        <w:tc>
          <w:tcPr>
            <w:tcW w:w="6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Treasurer</w:t>
            </w:r>
          </w:p>
        </w:tc>
      </w:tr>
    </w:tbl>
    <w:p>
      <w:pPr>
        <w:sectPr>
          <w:pgSz w:w="11900" w:h="16838" w:orient="portrait"/>
          <w:cols w:equalWidth="0" w:num="1">
            <w:col w:w="11240"/>
          </w:cols>
          <w:pgMar w:left="320" w:top="891"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Evergy, Inc. (the "Company") for the quarterly period ended June 30, 2024, as filed with the Securities and Exchange Commission on the date hereof (the "Report"), David A. Campbell, as President and Chief Executive Officer of the Company, and Geoffrey T. Ley, as Vice President, Acting Chief Financial Officer and Treasurer of the Company, each hereby certifies, pursuant to 18 U.S.C. Section 1350, as adopted pursuant to Section 906 of the Sarbanes-Oxley Act of 2002, that, to the best of his knowledge:</w:t>
      </w:r>
    </w:p>
    <w:p>
      <w:pPr>
        <w:spacing w:after="0" w:line="207" w:lineRule="exact"/>
        <w:rPr>
          <w:sz w:val="20"/>
          <w:szCs w:val="20"/>
          <w:color w:val="auto"/>
        </w:rPr>
      </w:pPr>
    </w:p>
    <w:p>
      <w:pPr>
        <w:ind w:left="820" w:hanging="488"/>
        <w:spacing w:after="0"/>
        <w:tabs>
          <w:tab w:leader="none" w:pos="8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820" w:right="760" w:hanging="488"/>
        <w:spacing w:after="0" w:line="282" w:lineRule="auto"/>
        <w:tabs>
          <w:tab w:leader="none" w:pos="81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1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David Campbell</w:t>
            </w:r>
          </w:p>
        </w:tc>
        <w:tc>
          <w:tcPr>
            <w:tcW w:w="2980" w:type="dxa"/>
            <w:vAlign w:val="bottom"/>
          </w:tcPr>
          <w:p>
            <w:pPr>
              <w:spacing w:after="0"/>
              <w:rPr>
                <w:sz w:val="17"/>
                <w:szCs w:val="17"/>
                <w:color w:val="auto"/>
              </w:rPr>
            </w:pPr>
          </w:p>
        </w:tc>
      </w:tr>
      <w:tr>
        <w:trPr>
          <w:trHeight w:val="196"/>
        </w:trPr>
        <w:tc>
          <w:tcPr>
            <w:tcW w:w="14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4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David A. Campbell</w:t>
            </w:r>
          </w:p>
        </w:tc>
      </w:tr>
      <w:tr>
        <w:trPr>
          <w:trHeight w:val="2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r>
      <w:tr>
        <w:trPr>
          <w:trHeight w:val="238"/>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8, 2024</w:t>
            </w:r>
          </w:p>
        </w:tc>
      </w:tr>
      <w:tr>
        <w:trPr>
          <w:trHeight w:val="418"/>
        </w:trPr>
        <w:tc>
          <w:tcPr>
            <w:tcW w:w="1460" w:type="dxa"/>
            <w:vAlign w:val="bottom"/>
          </w:tcPr>
          <w:p>
            <w:pPr>
              <w:spacing w:after="0"/>
              <w:rPr>
                <w:sz w:val="24"/>
                <w:szCs w:val="24"/>
                <w:color w:val="auto"/>
              </w:rPr>
            </w:pPr>
          </w:p>
        </w:tc>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Geoffrey T. Ley</w:t>
            </w:r>
          </w:p>
        </w:tc>
      </w:tr>
      <w:tr>
        <w:trPr>
          <w:trHeight w:val="196"/>
        </w:trPr>
        <w:tc>
          <w:tcPr>
            <w:tcW w:w="14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136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Geoffrey T. Ley</w:t>
            </w:r>
          </w:p>
        </w:tc>
        <w:tc>
          <w:tcPr>
            <w:tcW w:w="3020" w:type="dxa"/>
            <w:vAlign w:val="bottom"/>
            <w:gridSpan w:val="2"/>
          </w:tcPr>
          <w:p>
            <w:pPr>
              <w:spacing w:after="0"/>
              <w:rPr>
                <w:sz w:val="17"/>
                <w:szCs w:val="17"/>
                <w:color w:val="auto"/>
              </w:rPr>
            </w:pPr>
          </w:p>
        </w:tc>
      </w:tr>
      <w:tr>
        <w:trPr>
          <w:trHeight w:val="2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Vice President, Acting Chief Financial Officer and Treasurer</w:t>
            </w:r>
          </w:p>
        </w:tc>
      </w:tr>
      <w:tr>
        <w:trPr>
          <w:trHeight w:val="238"/>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8, 2024</w:t>
            </w:r>
          </w:p>
        </w:tc>
      </w:tr>
    </w:tbl>
    <w:p>
      <w:pPr>
        <w:sectPr>
          <w:pgSz w:w="11900" w:h="16838" w:orient="portrait"/>
          <w:cols w:equalWidth="0" w:num="1">
            <w:col w:w="11240"/>
          </w:cols>
          <w:pgMar w:left="320" w:top="891"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Evergy Metro, Inc. (the "Company") for the quarterly period ended June 30, 2024, as filed with the Securities and Exchange Commission on the date hereof (the "Report"), David A. Campbell, as President and Chief Executive Officer of the Company, and Geoffrey T. Ley, as Vice President, Acting Chief Financial Officer and Treasurer of the Company, each hereby certifies, pursuant to 18 U.S.C. Section 1350, as adopted pursuant to Section 906 of the Sarbanes-Oxley Act of 2002, that, to the best of his knowledge:</w:t>
      </w:r>
    </w:p>
    <w:p>
      <w:pPr>
        <w:spacing w:after="0" w:line="207" w:lineRule="exact"/>
        <w:rPr>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David Campbell</w:t>
            </w:r>
          </w:p>
        </w:tc>
        <w:tc>
          <w:tcPr>
            <w:tcW w:w="2980" w:type="dxa"/>
            <w:vAlign w:val="bottom"/>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4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David A. Campbell</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r>
      <w:tr>
        <w:trPr>
          <w:trHeight w:val="23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8, 2024</w:t>
            </w:r>
          </w:p>
        </w:tc>
      </w:tr>
      <w:tr>
        <w:trPr>
          <w:trHeight w:val="418"/>
        </w:trPr>
        <w:tc>
          <w:tcPr>
            <w:tcW w:w="1500" w:type="dxa"/>
            <w:vAlign w:val="bottom"/>
          </w:tcPr>
          <w:p>
            <w:pPr>
              <w:spacing w:after="0"/>
              <w:rPr>
                <w:sz w:val="24"/>
                <w:szCs w:val="24"/>
                <w:color w:val="auto"/>
              </w:rPr>
            </w:pP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Geoffrey T. Ley</w:t>
            </w:r>
          </w:p>
        </w:tc>
        <w:tc>
          <w:tcPr>
            <w:tcW w:w="3000" w:type="dxa"/>
            <w:vAlign w:val="bottom"/>
            <w:gridSpan w:val="2"/>
          </w:tcPr>
          <w:p>
            <w:pPr>
              <w:spacing w:after="0"/>
              <w:rPr>
                <w:sz w:val="24"/>
                <w:szCs w:val="24"/>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4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Geoffrey T. Ley</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Vice President, Acting Chief Financial Officer and Treasurer</w:t>
            </w:r>
          </w:p>
        </w:tc>
      </w:tr>
      <w:tr>
        <w:trPr>
          <w:trHeight w:val="23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8, 2024</w:t>
            </w:r>
          </w:p>
        </w:tc>
      </w:tr>
    </w:tbl>
    <w:p>
      <w:pPr>
        <w:sectPr>
          <w:pgSz w:w="11900" w:h="16838" w:orient="portrait"/>
          <w:cols w:equalWidth="0" w:num="1">
            <w:col w:w="11240"/>
          </w:cols>
          <w:pgMar w:left="320" w:top="891"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color w:val="auto"/>
        </w:rPr>
        <w:t>Exhibit 32.3</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Evergy Kansas Central, Inc. (the "Company") for the quarterly period ended June 30, 2024, as filed with the Securities and Exchange Commission on the date hereof (the "Report"), David A. Campbell, as President and Chief Executive Officer of the Company, and Geoffrey T. Ley, as Vice President, Acting Chief Financial Officer and Treasurer of the Company, each hereby certifies, pursuant to 18 U.S.C. Section 1350, as adopted pursuant to Section 906 of the Sarbanes-Oxley Act of 2002, that, to the best of his knowledge:</w:t>
      </w:r>
    </w:p>
    <w:p>
      <w:pPr>
        <w:spacing w:after="0" w:line="207" w:lineRule="exact"/>
        <w:rPr>
          <w:sz w:val="20"/>
          <w:szCs w:val="20"/>
          <w:color w:val="auto"/>
        </w:rPr>
      </w:pPr>
    </w:p>
    <w:p>
      <w:pPr>
        <w:ind w:left="640" w:hanging="308"/>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David Campbell</w:t>
            </w:r>
          </w:p>
        </w:tc>
        <w:tc>
          <w:tcPr>
            <w:tcW w:w="2980" w:type="dxa"/>
            <w:vAlign w:val="bottom"/>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4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David A. Campbell</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r>
      <w:tr>
        <w:trPr>
          <w:trHeight w:val="23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8, 2024</w:t>
            </w:r>
          </w:p>
        </w:tc>
      </w:tr>
      <w:tr>
        <w:trPr>
          <w:trHeight w:val="418"/>
        </w:trPr>
        <w:tc>
          <w:tcPr>
            <w:tcW w:w="1500" w:type="dxa"/>
            <w:vAlign w:val="bottom"/>
          </w:tcPr>
          <w:p>
            <w:pPr>
              <w:spacing w:after="0"/>
              <w:rPr>
                <w:sz w:val="24"/>
                <w:szCs w:val="24"/>
                <w:color w:val="auto"/>
              </w:rPr>
            </w:pP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Geoffrey T. Ley</w:t>
            </w:r>
          </w:p>
        </w:tc>
        <w:tc>
          <w:tcPr>
            <w:tcW w:w="3000" w:type="dxa"/>
            <w:vAlign w:val="bottom"/>
            <w:gridSpan w:val="2"/>
          </w:tcPr>
          <w:p>
            <w:pPr>
              <w:spacing w:after="0"/>
              <w:rPr>
                <w:sz w:val="24"/>
                <w:szCs w:val="24"/>
                <w:color w:val="auto"/>
              </w:rPr>
            </w:pPr>
          </w:p>
        </w:tc>
      </w:tr>
      <w:tr>
        <w:trPr>
          <w:trHeight w:val="196"/>
        </w:trPr>
        <w:tc>
          <w:tcPr>
            <w:tcW w:w="1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4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Geoffrey T. Ley</w:t>
            </w:r>
          </w:p>
        </w:tc>
      </w:t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Vice President, Acting Chief Financial Officer and Treasurer</w:t>
            </w:r>
          </w:p>
        </w:tc>
      </w:tr>
      <w:tr>
        <w:trPr>
          <w:trHeight w:val="23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8, 2024</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1)"/>
      <w:numFmt w:val="lowerLetter"/>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1."/>
      <w:numFmt w:val="decimal"/>
      <w:start w:val="4"/>
    </w:lvl>
    <w:lvl w:ilvl="1">
      <w:lvlJc w:val="left"/>
      <w:lvlText w:val="•"/>
      <w:numFmt w:val="bullet"/>
      <w:start w:val="1"/>
    </w:lvl>
  </w:abstractNum>
  <w:abstractNum w:abstractNumId="6">
    <w:nsid w:val="737B8DDC"/>
    <w:multiLevelType w:val="hybridMultilevel"/>
    <w:lvl w:ilvl="0">
      <w:lvlJc w:val="left"/>
      <w:lvlText w:val="(%1)"/>
      <w:numFmt w:val="lowerLetter"/>
      <w:start w:val="1"/>
    </w:lvl>
  </w:abstractNum>
  <w:abstractNum w:abstractNumId="7">
    <w:nsid w:val="6CEAF087"/>
    <w:multiLevelType w:val="hybridMultilevel"/>
    <w:lvl w:ilvl="0">
      <w:lvlJc w:val="left"/>
      <w:lvlText w:val="(%1)"/>
      <w:numFmt w:val="lowerLetter"/>
      <w:start w:val="1"/>
    </w:lvl>
  </w:abstractNum>
  <w:abstractNum w:abstractNumId="8">
    <w:nsid w:val="22221A70"/>
    <w:multiLevelType w:val="hybridMultilevel"/>
    <w:lvl w:ilvl="0">
      <w:lvlJc w:val="left"/>
      <w:lvlText w:val="(%1)"/>
      <w:numFmt w:val="lowerLetter"/>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1."/>
      <w:numFmt w:val="lowerRoman"/>
      <w:start w:val="1"/>
    </w:lvl>
  </w:abstractNum>
  <w:abstractNum w:abstractNumId="11">
    <w:nsid w:val="614FD4A1"/>
    <w:multiLevelType w:val="hybridMultilevel"/>
    <w:lvl w:ilvl="0">
      <w:lvlJc w:val="left"/>
      <w:lvlText w:val="(%1)"/>
      <w:numFmt w:val="lowerLetter"/>
      <w:start w:val="1"/>
    </w:lvl>
  </w:abstractNum>
  <w:abstractNum w:abstractNumId="12">
    <w:nsid w:val="419AC241"/>
    <w:multiLevelType w:val="hybridMultilevel"/>
    <w:lvl w:ilvl="0">
      <w:lvlJc w:val="left"/>
      <w:lvlText w:val="(%1)"/>
      <w:numFmt w:val="lowerLetter"/>
      <w:start w:val="1"/>
    </w:lvl>
  </w:abstractNum>
  <w:abstractNum w:abstractNumId="13">
    <w:nsid w:val="5577F8E1"/>
    <w:multiLevelType w:val="hybridMultilevel"/>
    <w:lvl w:ilvl="0">
      <w:lvlJc w:val="left"/>
      <w:lvlText w:val="(%1)"/>
      <w:numFmt w:val="lowerLetter"/>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1)"/>
      <w:numFmt w:val="lowerLetter"/>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1)"/>
      <w:numFmt w:val="lowerLetter"/>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1)"/>
      <w:numFmt w:val="lowerLetter"/>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1."/>
      <w:numFmt w:val="decimal"/>
      <w:start w:val="1"/>
    </w:lvl>
    <w:lvl w:ilvl="1">
      <w:lvlJc w:val="left"/>
      <w:lvlText w:val="(%2)"/>
      <w:numFmt w:val="lowerLetter"/>
      <w:start w:val="1"/>
    </w:lvl>
  </w:abstractNum>
  <w:abstractNum w:abstractNumId="48">
    <w:nsid w:val="12E685FB"/>
    <w:multiLevelType w:val="hybridMultilevel"/>
    <w:lvl w:ilvl="0">
      <w:lvlJc w:val="left"/>
      <w:lvlText w:val="%1."/>
      <w:numFmt w:val="decimal"/>
      <w:start w:val="1"/>
    </w:lvl>
    <w:lvl w:ilvl="1">
      <w:lvlJc w:val="left"/>
      <w:lvlText w:val="(%2)"/>
      <w:numFmt w:val="lowerLetter"/>
      <w:start w:val="1"/>
    </w:lvl>
  </w:abstractNum>
  <w:abstractNum w:abstractNumId="49">
    <w:nsid w:val="70C6A529"/>
    <w:multiLevelType w:val="hybridMultilevel"/>
    <w:lvl w:ilvl="0">
      <w:lvlJc w:val="left"/>
      <w:lvlText w:val="%1."/>
      <w:numFmt w:val="decimal"/>
      <w:start w:val="1"/>
    </w:lvl>
    <w:lvl w:ilvl="1">
      <w:lvlJc w:val="left"/>
      <w:lvlText w:val="(%2)"/>
      <w:numFmt w:val="lowerLetter"/>
      <w:start w:val="1"/>
    </w:lvl>
  </w:abstractNum>
  <w:abstractNum w:abstractNumId="50">
    <w:nsid w:val="520EEDD1"/>
    <w:multiLevelType w:val="hybridMultilevel"/>
    <w:lvl w:ilvl="0">
      <w:lvlJc w:val="left"/>
      <w:lvlText w:val="%1."/>
      <w:numFmt w:val="decimal"/>
      <w:start w:val="1"/>
    </w:lvl>
    <w:lvl w:ilvl="1">
      <w:lvlJc w:val="left"/>
      <w:lvlText w:val="(%2)"/>
      <w:numFmt w:val="lowerLetter"/>
      <w:start w:val="1"/>
    </w:lvl>
  </w:abstractNum>
  <w:abstractNum w:abstractNumId="51">
    <w:nsid w:val="374A3FE6"/>
    <w:multiLevelType w:val="hybridMultilevel"/>
    <w:lvl w:ilvl="0">
      <w:lvlJc w:val="left"/>
      <w:lvlText w:val="%1."/>
      <w:numFmt w:val="decimal"/>
      <w:start w:val="1"/>
    </w:lvl>
    <w:lvl w:ilvl="1">
      <w:lvlJc w:val="left"/>
      <w:lvlText w:val="(%2)"/>
      <w:numFmt w:val="lowerLetter"/>
      <w:start w:val="1"/>
    </w:lvl>
  </w:abstractNum>
  <w:abstractNum w:abstractNumId="52">
    <w:nsid w:val="4F4EF005"/>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53">
    <w:nsid w:val="23F9C13C"/>
    <w:multiLevelType w:val="hybridMultilevel"/>
    <w:lvl w:ilvl="0">
      <w:lvlJc w:val="left"/>
      <w:lvlText w:val="(%1)"/>
      <w:numFmt w:val="decimal"/>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2024-08-09T05:48:37Z</dcterms:created>
  <dcterms:modified xsi:type="dcterms:W3CDTF">2024-08-09T05:48:37Z</dcterms:modified>
</cp:coreProperties>
</file>