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17808d8k.htm"/>
      <w:bookmarkStart w:id="1" w:name="ksd91780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Date of Report (Date of earliest event reported): </w:t>
      </w:r>
    </w:p>
    <w:p>
      <w:pPr>
        <w:pStyle w:val="TextBody"/>
        <w:bidi w:val="0"/>
        <w:spacing w:before="0" w:after="0"/>
        <w:jc w:val="center"/>
        <w:rPr>
          <w:rFonts w:ascii="Times New Roman" w:hAnsi="Times New Roman"/>
          <w:b/>
          <w:sz w:val="20"/>
        </w:rPr>
      </w:pPr>
      <w:r>
        <w:rPr>
          <w:rFonts w:ascii="Times New Roman" w:hAnsi="Times New Roman"/>
          <w:b/>
          <w:sz w:val="20"/>
        </w:rPr>
        <w:t xml:space="preserve">July 1, 2026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8070" w:type="dxa"/>
        <w:jc w:val="left"/>
        <w:tblInd w:w="0" w:type="dxa"/>
        <w:tblLayout w:type="fixed"/>
        <w:tblCellMar>
          <w:top w:w="0" w:type="dxa"/>
          <w:left w:w="0" w:type="dxa"/>
          <w:bottom w:w="0" w:type="dxa"/>
          <w:right w:w="0" w:type="dxa"/>
        </w:tblCellMar>
      </w:tblPr>
      <w:tblGrid>
        <w:gridCol w:w="935"/>
        <w:gridCol w:w="120"/>
        <w:gridCol w:w="5585"/>
        <w:gridCol w:w="120"/>
        <w:gridCol w:w="1310"/>
      </w:tblGrid>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120" w:type="dxa"/>
            <w:tcBorders/>
            <w:vAlign w:val="center"/>
          </w:tcPr>
          <w:p>
            <w:pPr>
              <w:pStyle w:val="TableContents"/>
              <w:bidi w:val="0"/>
              <w:spacing w:before="0" w:after="283"/>
              <w:jc w:val="left"/>
              <w:rPr/>
            </w:pPr>
            <w:r>
              <w:rPr/>
              <w:t>  </w:t>
            </w:r>
          </w:p>
        </w:tc>
        <w:tc>
          <w:tcPr>
            <w:tcW w:w="558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Exact Name of Registrant as Specified in its Charter, State of Incorporation,</w:t>
            </w:r>
          </w:p>
          <w:p>
            <w:pPr>
              <w:pStyle w:val="TableContents"/>
              <w:bidi w:val="0"/>
              <w:spacing w:before="0" w:after="20"/>
              <w:jc w:val="center"/>
              <w:rPr>
                <w:rFonts w:ascii="Times New Roman" w:hAnsi="Times New Roman"/>
                <w:b/>
                <w:sz w:val="16"/>
              </w:rPr>
            </w:pPr>
            <w:r>
              <w:rPr>
                <w:rFonts w:ascii="Times New Roman" w:hAnsi="Times New Roman"/>
                <w:b/>
                <w:sz w:val="16"/>
              </w:rPr>
              <w:t>Address of Principal Executive Offices and Telephone Number</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bdr w:val="single" w:sz="8" w:space="1" w:color="000000"/>
              </w:rPr>
            </w:pPr>
            <w:r>
              <w:rPr>
                <w:rFonts w:ascii="Times New Roman" w:hAnsi="Times New Roman"/>
                <w:b/>
                <w:sz w:val="16"/>
                <w:bdr w:val="single" w:sz="8" w:space="1" w:color="000000"/>
              </w:rPr>
              <w:t>Identification No.</w:t>
            </w:r>
          </w:p>
        </w:tc>
      </w:tr>
      <w:tr>
        <w:trPr/>
        <w:tc>
          <w:tcPr>
            <w:tcW w:w="935" w:type="dxa"/>
            <w:tcBorders/>
            <w:vAlign w:val="center"/>
          </w:tcPr>
          <w:p>
            <w:pPr>
              <w:pStyle w:val="TableContents"/>
              <w:bidi w:val="0"/>
              <w:spacing w:before="0" w:after="0"/>
              <w:jc w:val="center"/>
              <w:rPr>
                <w:b/>
                <w:spacing w:val="0"/>
                <w:sz w:val="20"/>
              </w:rPr>
            </w:pPr>
            <w:r>
              <w:rPr>
                <w:b/>
                <w:spacing w:val="0"/>
                <w:sz w:val="20"/>
              </w:rPr>
              <w:t>001-38515</w:t>
            </w:r>
          </w:p>
        </w:tc>
        <w:tc>
          <w:tcPr>
            <w:tcW w:w="1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center"/>
              <w:rPr>
                <w:b/>
                <w:spacing w:val="0"/>
              </w:rPr>
            </w:pPr>
            <w:r>
              <w:rPr>
                <w:b/>
                <w:spacing w:val="0"/>
              </w:rPr>
              <w:t>Evergy, Inc.</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center"/>
              <w:rPr>
                <w:b/>
                <w:spacing w:val="0"/>
                <w:sz w:val="20"/>
              </w:rPr>
            </w:pPr>
            <w:r>
              <w:rPr>
                <w:b/>
                <w:spacing w:val="0"/>
                <w:sz w:val="20"/>
              </w:rPr>
              <w:t>82-2733395</w:t>
            </w:r>
          </w:p>
        </w:tc>
      </w:tr>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center"/>
              <w:rPr>
                <w:b/>
                <w:spacing w:val="0"/>
              </w:rPr>
            </w:pPr>
            <w:r>
              <w:rPr>
                <w:b/>
                <w:spacing w:val="0"/>
              </w:rPr>
              <w:t>(a Missouri corporation)</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center"/>
              <w:rPr>
                <w:b/>
                <w:spacing w:val="0"/>
              </w:rPr>
            </w:pPr>
            <w:r>
              <w:rPr>
                <w:b/>
                <w:spacing w:val="0"/>
              </w:rPr>
              <w:t>1200 Main Street</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center"/>
              <w:rPr>
                <w:b/>
                <w:spacing w:val="0"/>
              </w:rPr>
            </w:pPr>
            <w:r>
              <w:rPr>
                <w:b/>
                <w:spacing w:val="0"/>
              </w:rPr>
              <w:t>Kansas City, Missouri 64105</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center"/>
              <w:rPr>
                <w:b/>
                <w:spacing w:val="0"/>
              </w:rPr>
            </w:pPr>
            <w:r>
              <w:rPr>
                <w:b/>
                <w:spacing w:val="0"/>
              </w:rPr>
              <w:t xml:space="preserve">(816) </w:t>
            </w:r>
          </w:p>
          <w:p>
            <w:pPr>
              <w:pStyle w:val="TableContents"/>
              <w:bidi w:val="0"/>
              <w:spacing w:before="0" w:after="0"/>
              <w:jc w:val="center"/>
              <w:rPr>
                <w:b/>
                <w:spacing w:val="0"/>
              </w:rPr>
            </w:pPr>
            <w:r>
              <w:rPr>
                <w:b/>
                <w:spacing w:val="0"/>
              </w:rPr>
              <w:t>556-2200</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5705" w:type="dxa"/>
            <w:gridSpan w:val="2"/>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center"/>
              <w:rPr>
                <w:b/>
                <w:spacing w:val="0"/>
              </w:rPr>
            </w:pPr>
            <w:r>
              <w:rPr>
                <w:b/>
                <w:spacing w:val="0"/>
              </w:rPr>
              <w:t>NOT APPLICABLE</w:t>
            </w:r>
          </w:p>
        </w:tc>
        <w:tc>
          <w:tcPr>
            <w:tcW w:w="12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r>
      <w:tr>
        <w:trPr/>
        <w:tc>
          <w:tcPr>
            <w:tcW w:w="8070" w:type="dxa"/>
            <w:gridSpan w:val="5"/>
            <w:tcBorders/>
            <w:vAlign w:val="center"/>
          </w:tcPr>
          <w:p>
            <w:pPr>
              <w:pStyle w:val="TableContents"/>
              <w:bidi w:val="0"/>
              <w:spacing w:before="0" w:after="0"/>
              <w:jc w:val="center"/>
              <w:rPr>
                <w:b/>
                <w:spacing w:val="0"/>
              </w:rPr>
            </w:pPr>
            <w:r>
              <w:rPr>
                <w:b/>
                <w:spacing w:val="0"/>
              </w:rPr>
              <w:t>(Former name or former address, if changed since last report)</w:t>
            </w:r>
          </w:p>
        </w:tc>
      </w:tr>
    </w:tbl>
    <w:p>
      <w:pPr>
        <w:pStyle w:val="TextBody"/>
        <w:bidi w:val="0"/>
        <w:spacing w:before="0" w:after="0"/>
        <w:jc w:val="left"/>
        <w:rPr/>
      </w:pPr>
      <w:r>
        <w:rPr/>
        <w:t> </w:t>
      </w:r>
    </w:p>
    <w:tbl>
      <w:tblPr>
        <w:tblW w:w="6319" w:type="dxa"/>
        <w:jc w:val="left"/>
        <w:tblInd w:w="0" w:type="dxa"/>
        <w:tblLayout w:type="fixed"/>
        <w:tblCellMar>
          <w:top w:w="0" w:type="dxa"/>
          <w:left w:w="0" w:type="dxa"/>
          <w:bottom w:w="0" w:type="dxa"/>
          <w:right w:w="0" w:type="dxa"/>
        </w:tblCellMar>
      </w:tblPr>
      <w:tblGrid>
        <w:gridCol w:w="1155"/>
        <w:gridCol w:w="148"/>
        <w:gridCol w:w="3583"/>
        <w:gridCol w:w="148"/>
        <w:gridCol w:w="1285"/>
      </w:tblGrid>
      <w:tr>
        <w:trPr/>
        <w:tc>
          <w:tcPr>
            <w:tcW w:w="115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58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0"/>
              <w:jc w:val="center"/>
              <w:rPr>
                <w:b/>
                <w:spacing w:val="0"/>
                <w:sz w:val="20"/>
              </w:rPr>
            </w:pPr>
            <w:r>
              <w:rPr>
                <w:b/>
                <w:spacing w:val="0"/>
                <w:sz w:val="20"/>
              </w:rPr>
              <w:t>001-03523</w:t>
            </w:r>
          </w:p>
        </w:tc>
        <w:tc>
          <w:tcPr>
            <w:tcW w:w="148" w:type="dxa"/>
            <w:tcBorders/>
            <w:vAlign w:val="center"/>
          </w:tcPr>
          <w:p>
            <w:pPr>
              <w:pStyle w:val="TableContents"/>
              <w:bidi w:val="0"/>
              <w:spacing w:before="0" w:after="283"/>
              <w:jc w:val="left"/>
              <w:rPr/>
            </w:pPr>
            <w:r>
              <w:rPr/>
              <w:t>  </w:t>
            </w:r>
          </w:p>
        </w:tc>
        <w:tc>
          <w:tcPr>
            <w:tcW w:w="3583" w:type="dxa"/>
            <w:tcBorders/>
            <w:vAlign w:val="center"/>
          </w:tcPr>
          <w:p>
            <w:pPr>
              <w:pStyle w:val="TableContents"/>
              <w:bidi w:val="0"/>
              <w:spacing w:before="0" w:after="0"/>
              <w:jc w:val="center"/>
              <w:rPr>
                <w:b/>
                <w:spacing w:val="0"/>
              </w:rPr>
            </w:pPr>
            <w:r>
              <w:rPr>
                <w:b/>
                <w:spacing w:val="0"/>
              </w:rPr>
              <w:t>Evergy Kansas Central, Inc.</w:t>
            </w:r>
          </w:p>
        </w:tc>
        <w:tc>
          <w:tcPr>
            <w:tcW w:w="148"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0"/>
              <w:jc w:val="center"/>
              <w:rPr>
                <w:b/>
                <w:spacing w:val="0"/>
                <w:sz w:val="20"/>
              </w:rPr>
            </w:pPr>
            <w:r>
              <w:rPr>
                <w:b/>
                <w:spacing w:val="0"/>
                <w:sz w:val="20"/>
              </w:rPr>
              <w:t>48-0290150</w:t>
            </w:r>
          </w:p>
        </w:tc>
      </w:tr>
      <w:tr>
        <w:trPr/>
        <w:tc>
          <w:tcPr>
            <w:tcW w:w="115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3583" w:type="dxa"/>
            <w:tcBorders/>
            <w:vAlign w:val="center"/>
          </w:tcPr>
          <w:p>
            <w:pPr>
              <w:pStyle w:val="TableContents"/>
              <w:bidi w:val="0"/>
              <w:spacing w:before="0" w:after="0"/>
              <w:jc w:val="center"/>
              <w:rPr>
                <w:b/>
                <w:spacing w:val="0"/>
              </w:rPr>
            </w:pPr>
            <w:r>
              <w:rPr>
                <w:b/>
                <w:spacing w:val="0"/>
              </w:rPr>
              <w:t>(a Kansas corporation)</w:t>
            </w:r>
          </w:p>
        </w:tc>
        <w:tc>
          <w:tcPr>
            <w:tcW w:w="148"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3583" w:type="dxa"/>
            <w:tcBorders/>
            <w:vAlign w:val="center"/>
          </w:tcPr>
          <w:p>
            <w:pPr>
              <w:pStyle w:val="TableContents"/>
              <w:bidi w:val="0"/>
              <w:spacing w:before="0" w:after="0"/>
              <w:jc w:val="center"/>
              <w:rPr>
                <w:b/>
                <w:spacing w:val="0"/>
              </w:rPr>
            </w:pPr>
            <w:r>
              <w:rPr>
                <w:b/>
                <w:spacing w:val="0"/>
              </w:rPr>
              <w:t>818 South Kansas Avenue</w:t>
            </w:r>
          </w:p>
        </w:tc>
        <w:tc>
          <w:tcPr>
            <w:tcW w:w="148"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3583" w:type="dxa"/>
            <w:tcBorders/>
            <w:vAlign w:val="center"/>
          </w:tcPr>
          <w:p>
            <w:pPr>
              <w:pStyle w:val="TableContents"/>
              <w:bidi w:val="0"/>
              <w:spacing w:before="0" w:after="0"/>
              <w:jc w:val="center"/>
              <w:rPr>
                <w:b/>
                <w:spacing w:val="0"/>
              </w:rPr>
            </w:pPr>
            <w:r>
              <w:rPr>
                <w:b/>
                <w:spacing w:val="0"/>
              </w:rPr>
              <w:t>Topeka, Kansas 66612</w:t>
            </w:r>
          </w:p>
        </w:tc>
        <w:tc>
          <w:tcPr>
            <w:tcW w:w="148"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3583" w:type="dxa"/>
            <w:tcBorders/>
            <w:vAlign w:val="center"/>
          </w:tcPr>
          <w:p>
            <w:pPr>
              <w:pStyle w:val="TableContents"/>
              <w:bidi w:val="0"/>
              <w:spacing w:before="0" w:after="0"/>
              <w:jc w:val="center"/>
              <w:rPr>
                <w:b/>
                <w:spacing w:val="0"/>
              </w:rPr>
            </w:pPr>
            <w:r>
              <w:rPr>
                <w:b/>
                <w:spacing w:val="0"/>
              </w:rPr>
              <w:t xml:space="preserve">(785) </w:t>
            </w:r>
          </w:p>
          <w:p>
            <w:pPr>
              <w:pStyle w:val="TableContents"/>
              <w:bidi w:val="0"/>
              <w:spacing w:before="0" w:after="0"/>
              <w:jc w:val="center"/>
              <w:rPr>
                <w:b/>
                <w:spacing w:val="0"/>
              </w:rPr>
            </w:pPr>
            <w:r>
              <w:rPr>
                <w:b/>
                <w:spacing w:val="0"/>
              </w:rPr>
              <w:t>575-6300</w:t>
            </w:r>
          </w:p>
        </w:tc>
        <w:tc>
          <w:tcPr>
            <w:tcW w:w="148"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sz w:val="4"/>
                <w:szCs w:val="4"/>
              </w:rPr>
            </w:pPr>
            <w:r>
              <w:rPr>
                <w:sz w:val="4"/>
                <w:szCs w:val="4"/>
              </w:rPr>
            </w:r>
          </w:p>
        </w:tc>
        <w:tc>
          <w:tcPr>
            <w:tcW w:w="3731" w:type="dxa"/>
            <w:gridSpan w:val="2"/>
            <w:tcBorders/>
            <w:vAlign w:val="center"/>
          </w:tcPr>
          <w:p>
            <w:pPr>
              <w:pStyle w:val="TableContents"/>
              <w:bidi w:val="0"/>
              <w:spacing w:before="0" w:after="283"/>
              <w:jc w:val="left"/>
              <w:rPr>
                <w:sz w:val="4"/>
                <w:szCs w:val="4"/>
              </w:rPr>
            </w:pPr>
            <w:r>
              <w:rPr>
                <w:sz w:val="4"/>
                <w:szCs w:val="4"/>
              </w:rPr>
            </w:r>
          </w:p>
        </w:tc>
        <w:tc>
          <w:tcPr>
            <w:tcW w:w="1433" w:type="dxa"/>
            <w:gridSpan w:val="2"/>
            <w:tcBorders/>
            <w:vAlign w:val="center"/>
          </w:tcPr>
          <w:p>
            <w:pPr>
              <w:pStyle w:val="TableContents"/>
              <w:bidi w:val="0"/>
              <w:spacing w:before="0" w:after="283"/>
              <w:jc w:val="left"/>
              <w:rPr>
                <w:sz w:val="4"/>
                <w:szCs w:val="4"/>
              </w:rPr>
            </w:pPr>
            <w:r>
              <w:rPr>
                <w:sz w:val="4"/>
                <w:szCs w:val="4"/>
              </w:rPr>
            </w:r>
          </w:p>
        </w:tc>
      </w:tr>
      <w:tr>
        <w:trPr/>
        <w:tc>
          <w:tcPr>
            <w:tcW w:w="115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pPr>
            <w:r>
              <w:rPr/>
              <w:t>  </w:t>
            </w:r>
          </w:p>
        </w:tc>
        <w:tc>
          <w:tcPr>
            <w:tcW w:w="3583" w:type="dxa"/>
            <w:tcBorders/>
            <w:vAlign w:val="center"/>
          </w:tcPr>
          <w:p>
            <w:pPr>
              <w:pStyle w:val="TableContents"/>
              <w:bidi w:val="0"/>
              <w:spacing w:before="0" w:after="0"/>
              <w:jc w:val="center"/>
              <w:rPr>
                <w:b/>
                <w:spacing w:val="0"/>
              </w:rPr>
            </w:pPr>
            <w:r>
              <w:rPr>
                <w:b/>
                <w:spacing w:val="0"/>
              </w:rPr>
              <w:t>NOT APPLICABLE</w:t>
            </w:r>
          </w:p>
        </w:tc>
        <w:tc>
          <w:tcPr>
            <w:tcW w:w="148" w:type="dxa"/>
            <w:tcBorders/>
            <w:vAlign w:val="center"/>
          </w:tcPr>
          <w:p>
            <w:pPr>
              <w:pStyle w:val="TableContents"/>
              <w:bidi w:val="0"/>
              <w:spacing w:before="0" w:after="283"/>
              <w:jc w:val="left"/>
              <w:rPr/>
            </w:pPr>
            <w:r>
              <w:rPr/>
              <w:t>  </w:t>
            </w:r>
          </w:p>
        </w:tc>
        <w:tc>
          <w:tcPr>
            <w:tcW w:w="1285" w:type="dxa"/>
            <w:tcBorders/>
            <w:vAlign w:val="center"/>
          </w:tcPr>
          <w:p>
            <w:pPr>
              <w:pStyle w:val="TableContents"/>
              <w:bidi w:val="0"/>
              <w:spacing w:before="0" w:after="283"/>
              <w:jc w:val="left"/>
              <w:rPr>
                <w:sz w:val="4"/>
                <w:szCs w:val="4"/>
              </w:rPr>
            </w:pPr>
            <w:r>
              <w:rPr>
                <w:sz w:val="4"/>
                <w:szCs w:val="4"/>
              </w:rPr>
            </w:r>
          </w:p>
        </w:tc>
      </w:tr>
      <w:tr>
        <w:trPr/>
        <w:tc>
          <w:tcPr>
            <w:tcW w:w="6319" w:type="dxa"/>
            <w:gridSpan w:val="5"/>
            <w:tcBorders/>
            <w:vAlign w:val="center"/>
          </w:tcPr>
          <w:p>
            <w:pPr>
              <w:pStyle w:val="TableContents"/>
              <w:bidi w:val="0"/>
              <w:spacing w:before="0" w:after="0"/>
              <w:jc w:val="center"/>
              <w:rPr>
                <w:b/>
                <w:spacing w:val="0"/>
              </w:rPr>
            </w:pPr>
            <w:r>
              <w:rPr>
                <w:b/>
                <w:spacing w:val="0"/>
              </w:rPr>
              <w:t>(Former name or former address, if changed since last report)</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283"/>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283"/>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6960" w:type="dxa"/>
        <w:jc w:val="left"/>
        <w:tblInd w:w="0" w:type="dxa"/>
        <w:tblLayout w:type="fixed"/>
        <w:tblCellMar>
          <w:top w:w="0" w:type="dxa"/>
          <w:left w:w="0" w:type="dxa"/>
          <w:bottom w:w="0" w:type="dxa"/>
          <w:right w:w="0" w:type="dxa"/>
        </w:tblCellMar>
      </w:tblPr>
      <w:tblGrid>
        <w:gridCol w:w="2795"/>
        <w:gridCol w:w="60"/>
        <w:gridCol w:w="740"/>
        <w:gridCol w:w="60"/>
        <w:gridCol w:w="3305"/>
      </w:tblGrid>
      <w:tr>
        <w:trPr/>
        <w:tc>
          <w:tcPr>
            <w:tcW w:w="27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05" w:type="dxa"/>
            <w:tcBorders/>
            <w:vAlign w:val="center"/>
          </w:tcPr>
          <w:p>
            <w:pPr>
              <w:pStyle w:val="TableContents"/>
              <w:bidi w:val="0"/>
              <w:spacing w:before="0" w:after="283"/>
              <w:jc w:val="left"/>
              <w:rPr>
                <w:sz w:val="4"/>
                <w:szCs w:val="4"/>
              </w:rPr>
            </w:pPr>
            <w:r>
              <w:rPr>
                <w:sz w:val="4"/>
                <w:szCs w:val="4"/>
              </w:rPr>
            </w:r>
          </w:p>
        </w:tc>
      </w:tr>
      <w:tr>
        <w:trPr/>
        <w:tc>
          <w:tcPr>
            <w:tcW w:w="27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30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2795" w:type="dxa"/>
            <w:tcBorders/>
            <w:vAlign w:val="center"/>
          </w:tcPr>
          <w:p>
            <w:pPr>
              <w:pStyle w:val="TableContents"/>
              <w:bidi w:val="0"/>
              <w:spacing w:before="0" w:after="0"/>
              <w:jc w:val="center"/>
              <w:rPr>
                <w:b/>
                <w:spacing w:val="0"/>
              </w:rPr>
            </w:pPr>
            <w:r>
              <w:rPr>
                <w:b/>
                <w:spacing w:val="0"/>
              </w:rPr>
              <w:t>Evergy, Inc. 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b/>
                <w:spacing w:val="0"/>
              </w:rPr>
            </w:pPr>
            <w:r>
              <w:rPr>
                <w:b/>
                <w:spacing w:val="0"/>
              </w:rPr>
              <w:t>EVRG</w:t>
            </w:r>
          </w:p>
        </w:tc>
        <w:tc>
          <w:tcPr>
            <w:tcW w:w="60" w:type="dxa"/>
            <w:tcBorders/>
            <w:vAlign w:val="center"/>
          </w:tcPr>
          <w:p>
            <w:pPr>
              <w:pStyle w:val="TableContents"/>
              <w:bidi w:val="0"/>
              <w:spacing w:before="0" w:after="283"/>
              <w:jc w:val="left"/>
              <w:rPr/>
            </w:pPr>
            <w:r>
              <w:rPr/>
              <w:t> </w:t>
            </w:r>
          </w:p>
        </w:tc>
        <w:tc>
          <w:tcPr>
            <w:tcW w:w="3305" w:type="dxa"/>
            <w:tcBorders/>
            <w:vAlign w:val="center"/>
          </w:tcPr>
          <w:p>
            <w:pPr>
              <w:pStyle w:val="TableContents"/>
              <w:bidi w:val="0"/>
              <w:spacing w:before="0" w:after="0"/>
              <w:jc w:val="center"/>
              <w:rPr>
                <w:b/>
                <w:spacing w:val="0"/>
              </w:rPr>
            </w:pPr>
            <w:r>
              <w:rPr>
                <w:b/>
                <w:spacing w:val="0"/>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(§230.405 of this chapter)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 xml:space="preserve">Emerging growth company ☐ </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combined Current Report on Form </w:t>
      </w:r>
    </w:p>
    <w:p>
      <w:pPr>
        <w:pStyle w:val="TextBody"/>
        <w:bidi w:val="0"/>
        <w:spacing w:before="0" w:after="0"/>
        <w:jc w:val="left"/>
        <w:rPr>
          <w:rFonts w:ascii="Times New Roman" w:hAnsi="Times New Roman"/>
          <w:spacing w:val="0"/>
          <w:sz w:val="20"/>
        </w:rPr>
      </w:pPr>
      <w:r>
        <w:rPr>
          <w:rFonts w:ascii="Times New Roman" w:hAnsi="Times New Roman"/>
          <w:spacing w:val="0"/>
          <w:sz w:val="20"/>
        </w:rPr>
        <w:t>8-K</w:t>
      </w:r>
    </w:p>
    <w:p>
      <w:pPr>
        <w:pStyle w:val="TextBody"/>
        <w:bidi w:val="0"/>
        <w:spacing w:before="0" w:after="0"/>
        <w:jc w:val="left"/>
        <w:rPr>
          <w:rFonts w:ascii="Times New Roman" w:hAnsi="Times New Roman"/>
          <w:sz w:val="20"/>
        </w:rPr>
      </w:pPr>
      <w:r>
        <w:rPr>
          <w:rFonts w:ascii="Times New Roman" w:hAnsi="Times New Roman"/>
          <w:sz w:val="20"/>
        </w:rPr>
        <w:t xml:space="preserve">is being filed by the following registrants: Evergy, Inc. and Evergy Kansas Central, Inc. (“Evergy Kansas Central”). Information relating to any individual registrant is filed by such registrant solely on its own behalf. Each registrant makes no representation as to information relating exclusively to the other registrant. </w:t>
      </w:r>
    </w:p>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965"/>
        <w:gridCol w:w="1190"/>
      </w:tblGrid>
      <w:tr>
        <w:trPr/>
        <w:tc>
          <w:tcPr>
            <w:tcW w:w="965" w:type="dxa"/>
            <w:tcBorders/>
            <w:vAlign w:val="center"/>
          </w:tcPr>
          <w:p>
            <w:pPr>
              <w:pStyle w:val="TableContents"/>
              <w:bidi w:val="0"/>
              <w:spacing w:before="0" w:after="0"/>
              <w:jc w:val="left"/>
              <w:rPr>
                <w:b/>
                <w:spacing w:val="0"/>
              </w:rPr>
            </w:pPr>
            <w:r>
              <w:rPr>
                <w:b/>
                <w:spacing w:val="0"/>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1, 2026, Evergy Kansas Central issued $350,000,000 aggregate principal amount of its First Mortgage Bonds, 5.300% Series due 2036 (the “Mortgage Bonds”), pursuant to an Underwriting Agreement, dated June 22, 2026, among Evergy Kansas Central, Barclays Capital Inc., BNY Mellon Capital Markets, LLC, Goldman Sachs &amp; Co. LLC and U.S. Bancorp Investments, Inc., as representatives of the several underwriters named therein. The Mortgage Bonds were registered under the Securities Act of 1933, as amended (the “Securities Act”), pursuant to the shelf registration statement on Form </w:t>
      </w:r>
    </w:p>
    <w:p>
      <w:pPr>
        <w:pStyle w:val="TextBody"/>
        <w:bidi w:val="0"/>
        <w:spacing w:before="120" w:after="0"/>
        <w:jc w:val="left"/>
        <w:rPr>
          <w:rFonts w:ascii="Times New Roman" w:hAnsi="Times New Roman"/>
          <w:spacing w:val="0"/>
          <w:sz w:val="20"/>
        </w:rPr>
      </w:pPr>
      <w:r>
        <w:rPr>
          <w:rFonts w:ascii="Times New Roman" w:hAnsi="Times New Roman"/>
          <w:spacing w:val="0"/>
          <w:sz w:val="20"/>
        </w:rPr>
        <w:t>S-3</w:t>
      </w:r>
    </w:p>
    <w:p>
      <w:pPr>
        <w:pStyle w:val="TextBody"/>
        <w:bidi w:val="0"/>
        <w:spacing w:before="120" w:after="0"/>
        <w:jc w:val="left"/>
        <w:rPr>
          <w:rFonts w:ascii="Times New Roman" w:hAnsi="Times New Roman"/>
          <w:spacing w:val="0"/>
          <w:sz w:val="20"/>
        </w:rPr>
      </w:pPr>
      <w:r>
        <w:rPr>
          <w:rFonts w:ascii="Times New Roman" w:hAnsi="Times New Roman"/>
          <w:spacing w:val="0"/>
          <w:sz w:val="20"/>
        </w:rPr>
        <w:t>(333-281614-02)</w:t>
      </w:r>
    </w:p>
    <w:p>
      <w:pPr>
        <w:pStyle w:val="TextBody"/>
        <w:bidi w:val="0"/>
        <w:spacing w:before="120" w:after="0"/>
        <w:jc w:val="left"/>
        <w:rPr>
          <w:rFonts w:ascii="Times New Roman" w:hAnsi="Times New Roman"/>
          <w:sz w:val="20"/>
        </w:rPr>
      </w:pPr>
      <w:r>
        <w:rPr>
          <w:rFonts w:ascii="Times New Roman" w:hAnsi="Times New Roman"/>
          <w:sz w:val="20"/>
        </w:rPr>
        <w:t xml:space="preserve">of Evergy Kansas Central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issuance and sale of the Mortgage Bonds, Evergy Kansas Central entered into several agreements and other instruments listed in Item 9.01 of this Current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and filed as exhibits hereto. These exhibits are incorporated by reference into the Registration Statement.</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0"/>
              <w:jc w:val="left"/>
              <w:rPr>
                <w:b/>
                <w:spacing w:val="0"/>
              </w:rPr>
            </w:pPr>
            <w:r>
              <w:rPr>
                <w:b/>
                <w:spacing w:val="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bottom w:val="single" w:sz="8" w:space="0" w:color="000000"/>
            </w:tcBorders>
            <w:tcMar>
              <w:bottom w:w="28" w:type="dxa"/>
            </w:tcMar>
            <w:vAlign w:val="center"/>
          </w:tcPr>
          <w:p>
            <w:pPr>
              <w:pStyle w:val="TableContents"/>
              <w:bidi w:val="0"/>
              <w:spacing w:before="0" w:after="0"/>
              <w:jc w:val="left"/>
              <w:rPr>
                <w:b/>
                <w:spacing w:val="0"/>
              </w:rPr>
            </w:pPr>
            <w:r>
              <w:rPr>
                <w:b/>
                <w:spacing w:val="0"/>
              </w:rPr>
              <w:t>Exhibit No.</w:t>
            </w:r>
          </w:p>
        </w:tc>
        <w:tc>
          <w:tcPr>
            <w:tcW w:w="120" w:type="dxa"/>
            <w:tcBorders/>
            <w:vAlign w:val="center"/>
          </w:tcPr>
          <w:p>
            <w:pPr>
              <w:pStyle w:val="TableContents"/>
              <w:bidi w:val="0"/>
              <w:spacing w:before="0" w:after="283"/>
              <w:jc w:val="left"/>
              <w:rPr/>
            </w:pPr>
            <w:r>
              <w:rPr/>
              <w:t>  </w:t>
            </w:r>
          </w:p>
        </w:tc>
        <w:tc>
          <w:tcPr>
            <w:tcW w:w="888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917808dex11.htm">
              <w:r>
                <w:rPr>
                  <w:rStyle w:val="InternetLink"/>
                </w:rPr>
                <w:t xml:space="preserve">Underwriting Agreement, dated June 22, 2026, among Evergy Kansas Central, Inc., Barclays Capital Inc., BNY Mellon Capital Markets, LLC, Goldman Sachs &amp; Co. LLC and U.S. Bancorp Investments, Inc., as representatives of the several underwriters named therein.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4.1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917808dex41.htm">
              <w:r>
                <w:rPr>
                  <w:rStyle w:val="InternetLink"/>
                </w:rPr>
                <w:t xml:space="preserve">Fifty-Fifth Supplemental Indenture, dated as of July 1, 2026, between Evergy Kansas Central, Inc. and The Bank of New York Mellon Trust Company, N.A., as trustee, and the form of global bond included therein.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5.1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917808dex51.htm">
              <w:r>
                <w:rPr>
                  <w:rStyle w:val="InternetLink"/>
                </w:rPr>
                <w:t xml:space="preserve">Opinion, dated July 1, 2026, of Heather A. Humphrey, regarding the validity of the Mortgage Bonds.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23.1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917808dex51.htm">
              <w:r>
                <w:rPr>
                  <w:rStyle w:val="InternetLink"/>
                </w:rPr>
                <w:t xml:space="preserve">Consent of Heather A. Humphrey (included in Exhibit 5.1).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u w:val="single"/>
        </w:rPr>
      </w:pPr>
      <w:r>
        <w:rPr>
          <w:rFonts w:ascii="Times New Roman" w:hAnsi="Times New Roman"/>
          <w:b/>
          <w:spacing w:val="0"/>
          <w:sz w:val="20"/>
          <w:u w:val="single"/>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registrants have duly caused this report to be signed on their behalf by the undersigned hereunto duly authorized. </w:t>
      </w:r>
    </w:p>
    <w:p>
      <w:pPr>
        <w:pStyle w:val="TextBody"/>
        <w:bidi w:val="0"/>
        <w:spacing w:before="0" w:after="0"/>
        <w:jc w:val="left"/>
        <w:rPr/>
      </w:pPr>
      <w:r>
        <w:rPr/>
        <w:t> </w:t>
      </w:r>
    </w:p>
    <w:tbl>
      <w:tblPr>
        <w:tblW w:w="5435" w:type="dxa"/>
        <w:jc w:val="left"/>
        <w:tblInd w:w="0" w:type="dxa"/>
        <w:tblLayout w:type="fixed"/>
        <w:tblCellMar>
          <w:top w:w="0" w:type="dxa"/>
          <w:left w:w="0" w:type="dxa"/>
          <w:bottom w:w="0" w:type="dxa"/>
          <w:right w:w="0" w:type="dxa"/>
        </w:tblCellMar>
      </w:tblPr>
      <w:tblGrid>
        <w:gridCol w:w="5435"/>
      </w:tblGrid>
      <w:tr>
        <w:trPr/>
        <w:tc>
          <w:tcPr>
            <w:tcW w:w="5435" w:type="dxa"/>
            <w:tcBorders/>
            <w:vAlign w:val="center"/>
          </w:tcPr>
          <w:p>
            <w:pPr>
              <w:pStyle w:val="TableContents"/>
              <w:bidi w:val="0"/>
              <w:spacing w:before="0" w:after="283"/>
              <w:jc w:val="left"/>
              <w:rPr>
                <w:sz w:val="4"/>
                <w:szCs w:val="4"/>
              </w:rPr>
            </w:pPr>
            <w:r>
              <w:rPr>
                <w:sz w:val="4"/>
                <w:szCs w:val="4"/>
              </w:rPr>
            </w:r>
          </w:p>
        </w:tc>
      </w:tr>
      <w:tr>
        <w:trPr/>
        <w:tc>
          <w:tcPr>
            <w:tcW w:w="5435" w:type="dxa"/>
            <w:tcBorders/>
            <w:vAlign w:val="center"/>
          </w:tcPr>
          <w:p>
            <w:pPr>
              <w:pStyle w:val="TableContents"/>
              <w:bidi w:val="0"/>
              <w:spacing w:before="0" w:after="0"/>
              <w:jc w:val="left"/>
              <w:rPr>
                <w:b/>
                <w:spacing w:val="0"/>
              </w:rPr>
            </w:pPr>
            <w:r>
              <w:rPr>
                <w:b/>
                <w:spacing w:val="0"/>
              </w:rPr>
              <w:t>Evergy, Inc.</w:t>
            </w:r>
          </w:p>
        </w:tc>
      </w:tr>
      <w:tr>
        <w:trPr/>
        <w:tc>
          <w:tcPr>
            <w:tcW w:w="5435" w:type="dxa"/>
            <w:tcBorders/>
            <w:vAlign w:val="center"/>
          </w:tcPr>
          <w:p>
            <w:pPr>
              <w:pStyle w:val="TableContents"/>
              <w:bidi w:val="0"/>
              <w:spacing w:before="0" w:after="283"/>
              <w:jc w:val="left"/>
              <w:rPr>
                <w:sz w:val="4"/>
                <w:szCs w:val="4"/>
              </w:rPr>
            </w:pPr>
            <w:r>
              <w:rPr>
                <w:sz w:val="4"/>
                <w:szCs w:val="4"/>
              </w:rPr>
            </w:r>
          </w:p>
        </w:tc>
      </w:tr>
      <w:tr>
        <w:trPr/>
        <w:tc>
          <w:tcPr>
            <w:tcW w:w="5435"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Geoffrey T. Ley</w:t>
            </w:r>
          </w:p>
        </w:tc>
      </w:tr>
      <w:tr>
        <w:trPr/>
        <w:tc>
          <w:tcPr>
            <w:tcW w:w="5435" w:type="dxa"/>
            <w:tcBorders/>
            <w:vAlign w:val="center"/>
          </w:tcPr>
          <w:p>
            <w:pPr>
              <w:pStyle w:val="TableContents"/>
              <w:bidi w:val="0"/>
              <w:spacing w:before="0" w:after="283"/>
              <w:jc w:val="left"/>
              <w:rPr/>
            </w:pPr>
            <w:r>
              <w:rPr/>
              <w:t>Geoffrey T. Ley</w:t>
            </w:r>
          </w:p>
        </w:tc>
      </w:tr>
      <w:tr>
        <w:trPr/>
        <w:tc>
          <w:tcPr>
            <w:tcW w:w="5435" w:type="dxa"/>
            <w:tcBorders/>
            <w:vAlign w:val="center"/>
          </w:tcPr>
          <w:p>
            <w:pPr>
              <w:pStyle w:val="TableContents"/>
              <w:bidi w:val="0"/>
              <w:spacing w:before="0" w:after="283"/>
              <w:jc w:val="left"/>
              <w:rPr/>
            </w:pPr>
            <w:r>
              <w:rPr/>
              <w:t>Senior Vice President, Corporate Planning and Treasurer</w:t>
            </w:r>
          </w:p>
        </w:tc>
      </w:tr>
      <w:tr>
        <w:trPr/>
        <w:tc>
          <w:tcPr>
            <w:tcW w:w="5435" w:type="dxa"/>
            <w:tcBorders/>
            <w:vAlign w:val="center"/>
          </w:tcPr>
          <w:p>
            <w:pPr>
              <w:pStyle w:val="TableContents"/>
              <w:bidi w:val="0"/>
              <w:spacing w:before="0" w:after="283"/>
              <w:jc w:val="left"/>
              <w:rPr>
                <w:sz w:val="4"/>
                <w:szCs w:val="4"/>
              </w:rPr>
            </w:pPr>
            <w:r>
              <w:rPr>
                <w:sz w:val="4"/>
                <w:szCs w:val="4"/>
              </w:rPr>
            </w:r>
          </w:p>
        </w:tc>
      </w:tr>
      <w:tr>
        <w:trPr/>
        <w:tc>
          <w:tcPr>
            <w:tcW w:w="5435" w:type="dxa"/>
            <w:tcBorders/>
            <w:vAlign w:val="center"/>
          </w:tcPr>
          <w:p>
            <w:pPr>
              <w:pStyle w:val="TableContents"/>
              <w:bidi w:val="0"/>
              <w:spacing w:before="0" w:after="0"/>
              <w:jc w:val="left"/>
              <w:rPr>
                <w:b/>
                <w:spacing w:val="0"/>
              </w:rPr>
            </w:pPr>
            <w:r>
              <w:rPr>
                <w:b/>
                <w:spacing w:val="0"/>
              </w:rPr>
              <w:t>Evergy Kansas Central, Inc.</w:t>
            </w:r>
          </w:p>
        </w:tc>
      </w:tr>
      <w:tr>
        <w:trPr/>
        <w:tc>
          <w:tcPr>
            <w:tcW w:w="5435" w:type="dxa"/>
            <w:tcBorders/>
            <w:vAlign w:val="center"/>
          </w:tcPr>
          <w:p>
            <w:pPr>
              <w:pStyle w:val="TableContents"/>
              <w:bidi w:val="0"/>
              <w:spacing w:before="0" w:after="283"/>
              <w:jc w:val="left"/>
              <w:rPr>
                <w:sz w:val="4"/>
                <w:szCs w:val="4"/>
              </w:rPr>
            </w:pPr>
            <w:r>
              <w:rPr>
                <w:sz w:val="4"/>
                <w:szCs w:val="4"/>
              </w:rPr>
            </w:r>
          </w:p>
        </w:tc>
      </w:tr>
      <w:tr>
        <w:trPr/>
        <w:tc>
          <w:tcPr>
            <w:tcW w:w="5435"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Geoffrey T. Ley</w:t>
            </w:r>
          </w:p>
        </w:tc>
      </w:tr>
      <w:tr>
        <w:trPr/>
        <w:tc>
          <w:tcPr>
            <w:tcW w:w="5435" w:type="dxa"/>
            <w:tcBorders/>
            <w:vAlign w:val="center"/>
          </w:tcPr>
          <w:p>
            <w:pPr>
              <w:pStyle w:val="TableContents"/>
              <w:bidi w:val="0"/>
              <w:spacing w:before="0" w:after="283"/>
              <w:jc w:val="left"/>
              <w:rPr/>
            </w:pPr>
            <w:r>
              <w:rPr/>
              <w:t>Geoffrey T. Ley</w:t>
            </w:r>
          </w:p>
        </w:tc>
      </w:tr>
      <w:tr>
        <w:trPr/>
        <w:tc>
          <w:tcPr>
            <w:tcW w:w="5435" w:type="dxa"/>
            <w:tcBorders/>
            <w:vAlign w:val="center"/>
          </w:tcPr>
          <w:p>
            <w:pPr>
              <w:pStyle w:val="TableContents"/>
              <w:bidi w:val="0"/>
              <w:spacing w:before="0" w:after="283"/>
              <w:jc w:val="left"/>
              <w:rPr/>
            </w:pPr>
            <w:r>
              <w:rPr/>
              <w:t>Senior Vice President, Corporate Planning and Treasurer</w:t>
            </w:r>
          </w:p>
        </w:tc>
      </w:tr>
    </w:tbl>
    <w:p>
      <w:pPr>
        <w:pStyle w:val="TextBody"/>
        <w:bidi w:val="0"/>
        <w:spacing w:before="240" w:after="283"/>
        <w:jc w:val="left"/>
        <w:rPr>
          <w:rFonts w:ascii="Times New Roman" w:hAnsi="Times New Roman"/>
          <w:sz w:val="20"/>
        </w:rPr>
      </w:pPr>
      <w:r>
        <w:rPr>
          <w:rFonts w:ascii="Times New Roman" w:hAnsi="Times New Roman"/>
          <w:sz w:val="20"/>
        </w:rPr>
        <w:t xml:space="preserve">Date: July 1, 2026 </w:t>
      </w:r>
    </w:p>
    <w:p>
      <w:pPr>
        <w:pStyle w:val="TextBody"/>
        <w:bidi w:val="0"/>
        <w:spacing w:before="0" w:after="0"/>
        <w:jc w:val="right"/>
        <w:rPr>
          <w:rFonts w:ascii="Times New Roman" w:hAnsi="Times New Roman"/>
          <w:b/>
          <w:sz w:val="20"/>
        </w:rPr>
      </w:pPr>
      <w:bookmarkStart w:id="2" w:name="d917808dex11.htm"/>
      <w:bookmarkStart w:id="3" w:name="ksd917808dex11"/>
      <w:bookmarkEnd w:id="2"/>
      <w:bookmarkEnd w:id="3"/>
      <w:r>
        <w:rPr>
          <w:rFonts w:ascii="Times New Roman" w:hAnsi="Times New Roman"/>
          <w:b/>
          <w:sz w:val="20"/>
        </w:rPr>
        <w:t xml:space="preserve">Exhibit 1.1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Evergy Kansas Central, Inc. </w:t>
      </w:r>
    </w:p>
    <w:p>
      <w:pPr>
        <w:pStyle w:val="TextBody"/>
        <w:bidi w:val="0"/>
        <w:spacing w:before="240" w:after="0"/>
        <w:jc w:val="center"/>
        <w:rPr>
          <w:rFonts w:ascii="Times New Roman" w:hAnsi="Times New Roman"/>
          <w:b/>
          <w:sz w:val="20"/>
        </w:rPr>
      </w:pPr>
      <w:r>
        <w:rPr>
          <w:rFonts w:ascii="Times New Roman" w:hAnsi="Times New Roman"/>
          <w:b/>
          <w:sz w:val="20"/>
        </w:rPr>
        <w:t xml:space="preserve">$350,000,000 </w:t>
      </w:r>
    </w:p>
    <w:p>
      <w:pPr>
        <w:pStyle w:val="TextBody"/>
        <w:bidi w:val="0"/>
        <w:spacing w:before="240" w:after="0"/>
        <w:jc w:val="center"/>
        <w:rPr>
          <w:rFonts w:ascii="Times New Roman" w:hAnsi="Times New Roman"/>
          <w:sz w:val="20"/>
        </w:rPr>
      </w:pPr>
      <w:r>
        <w:rPr>
          <w:rFonts w:ascii="Times New Roman" w:hAnsi="Times New Roman"/>
          <w:sz w:val="20"/>
        </w:rPr>
        <w:t xml:space="preserve">First Mortgage Bonds, 5.300% Series due 2036 </w:t>
      </w:r>
    </w:p>
    <w:p>
      <w:pPr>
        <w:pStyle w:val="TextBody"/>
        <w:bidi w:val="0"/>
        <w:spacing w:before="24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June 22, 2026 </w:t>
      </w:r>
    </w:p>
    <w:p>
      <w:pPr>
        <w:pStyle w:val="TextBody"/>
        <w:bidi w:val="0"/>
        <w:spacing w:before="240" w:after="0"/>
        <w:jc w:val="center"/>
        <w:rPr>
          <w:rFonts w:ascii="Times New Roman" w:hAnsi="Times New Roman"/>
          <w:b/>
          <w:sz w:val="20"/>
        </w:rPr>
      </w:pPr>
      <w:r>
        <w:rPr>
          <w:rFonts w:ascii="Times New Roman" w:hAnsi="Times New Roman"/>
          <w:b/>
          <w:sz w:val="20"/>
        </w:rPr>
        <w:t xml:space="preserve">Barclays Capital Inc. </w:t>
      </w:r>
    </w:p>
    <w:p>
      <w:pPr>
        <w:pStyle w:val="TextBody"/>
        <w:bidi w:val="0"/>
        <w:spacing w:before="0" w:after="0"/>
        <w:jc w:val="center"/>
        <w:rPr>
          <w:rFonts w:ascii="Times New Roman" w:hAnsi="Times New Roman"/>
          <w:b/>
          <w:sz w:val="20"/>
        </w:rPr>
      </w:pPr>
      <w:r>
        <w:rPr>
          <w:rFonts w:ascii="Times New Roman" w:hAnsi="Times New Roman"/>
          <w:b/>
          <w:sz w:val="20"/>
        </w:rPr>
        <w:t xml:space="preserve">BNY Mellon Capital Markets, LLC </w:t>
      </w:r>
    </w:p>
    <w:p>
      <w:pPr>
        <w:pStyle w:val="TextBody"/>
        <w:bidi w:val="0"/>
        <w:spacing w:before="0" w:after="0"/>
        <w:jc w:val="center"/>
        <w:rPr>
          <w:rFonts w:ascii="Times New Roman" w:hAnsi="Times New Roman"/>
          <w:b/>
          <w:sz w:val="20"/>
        </w:rPr>
      </w:pPr>
      <w:r>
        <w:rPr>
          <w:rFonts w:ascii="Times New Roman" w:hAnsi="Times New Roman"/>
          <w:b/>
          <w:sz w:val="20"/>
        </w:rPr>
        <w:t xml:space="preserve">Goldman Sachs &amp; Co. LLC </w:t>
      </w:r>
    </w:p>
    <w:p>
      <w:pPr>
        <w:pStyle w:val="TextBody"/>
        <w:bidi w:val="0"/>
        <w:spacing w:before="0" w:after="0"/>
        <w:jc w:val="center"/>
        <w:rPr>
          <w:rFonts w:ascii="Times New Roman" w:hAnsi="Times New Roman"/>
          <w:b/>
          <w:sz w:val="20"/>
        </w:rPr>
      </w:pPr>
      <w:r>
        <w:rPr>
          <w:rFonts w:ascii="Times New Roman" w:hAnsi="Times New Roman"/>
          <w:b/>
          <w:sz w:val="20"/>
        </w:rPr>
        <w:t xml:space="preserve">U.S. Bancorp Investments, Inc.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June 22, 2026 </w:t>
      </w:r>
    </w:p>
    <w:p>
      <w:pPr>
        <w:pStyle w:val="TextBody"/>
        <w:bidi w:val="0"/>
        <w:spacing w:before="240" w:after="0"/>
        <w:jc w:val="left"/>
        <w:rPr>
          <w:rFonts w:ascii="Times New Roman" w:hAnsi="Times New Roman"/>
          <w:sz w:val="20"/>
        </w:rPr>
      </w:pPr>
      <w:r>
        <w:rPr>
          <w:rFonts w:ascii="Times New Roman" w:hAnsi="Times New Roman"/>
          <w:sz w:val="20"/>
        </w:rPr>
        <w:t xml:space="preserve">Barclays Capital Inc. </w:t>
      </w:r>
    </w:p>
    <w:p>
      <w:pPr>
        <w:pStyle w:val="TextBody"/>
        <w:bidi w:val="0"/>
        <w:spacing w:before="0" w:after="0"/>
        <w:jc w:val="left"/>
        <w:rPr>
          <w:rFonts w:ascii="Times New Roman" w:hAnsi="Times New Roman"/>
          <w:sz w:val="20"/>
        </w:rPr>
      </w:pPr>
      <w:r>
        <w:rPr>
          <w:rFonts w:ascii="Times New Roman" w:hAnsi="Times New Roman"/>
          <w:sz w:val="20"/>
        </w:rPr>
        <w:t xml:space="preserve">BNY Mellon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U.S. Bancorp Investments, Inc. </w:t>
      </w:r>
    </w:p>
    <w:p>
      <w:pPr>
        <w:pStyle w:val="TextBody"/>
        <w:bidi w:val="0"/>
        <w:spacing w:before="240" w:after="0"/>
        <w:jc w:val="left"/>
        <w:rPr>
          <w:rFonts w:ascii="Times New Roman" w:hAnsi="Times New Roman"/>
          <w:sz w:val="20"/>
        </w:rPr>
      </w:pPr>
      <w:r>
        <w:rPr>
          <w:rFonts w:ascii="Times New Roman" w:hAnsi="Times New Roman"/>
          <w:sz w:val="20"/>
        </w:rPr>
        <w:t xml:space="preserve">As Representatives of the several Underwriters named in Schedule A hereto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925"/>
        <w:gridCol w:w="111"/>
        <w:gridCol w:w="262"/>
        <w:gridCol w:w="127"/>
        <w:gridCol w:w="4780"/>
      </w:tblGrid>
      <w:tr>
        <w:trPr/>
        <w:tc>
          <w:tcPr>
            <w:tcW w:w="492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4780" w:type="dxa"/>
            <w:tcBorders/>
            <w:vAlign w:val="center"/>
          </w:tcPr>
          <w:p>
            <w:pPr>
              <w:pStyle w:val="TableContents"/>
              <w:bidi w:val="0"/>
              <w:spacing w:before="0" w:after="283"/>
              <w:jc w:val="left"/>
              <w:rPr>
                <w:sz w:val="4"/>
                <w:szCs w:val="4"/>
              </w:rPr>
            </w:pPr>
            <w:r>
              <w:rPr>
                <w:sz w:val="4"/>
                <w:szCs w:val="4"/>
              </w:rPr>
            </w:r>
          </w:p>
        </w:tc>
      </w:tr>
      <w:tr>
        <w:trPr/>
        <w:tc>
          <w:tcPr>
            <w:tcW w:w="4925" w:type="dxa"/>
            <w:tcBorders/>
          </w:tcPr>
          <w:p>
            <w:pPr>
              <w:pStyle w:val="TableContents"/>
              <w:bidi w:val="0"/>
              <w:spacing w:before="0" w:after="0"/>
              <w:jc w:val="left"/>
              <w:rPr>
                <w:rFonts w:ascii="Times New Roman" w:hAnsi="Times New Roman"/>
                <w:sz w:val="20"/>
              </w:rPr>
            </w:pPr>
            <w:r>
              <w:rPr>
                <w:rFonts w:ascii="Times New Roman" w:hAnsi="Times New Roman"/>
                <w:sz w:val="20"/>
              </w:rPr>
              <w:t>c/o  Barclays Capital Inc.</w:t>
            </w:r>
          </w:p>
          <w:p>
            <w:pPr>
              <w:pStyle w:val="TableContents"/>
              <w:bidi w:val="0"/>
              <w:spacing w:before="0" w:after="0"/>
              <w:jc w:val="left"/>
              <w:rPr>
                <w:rFonts w:ascii="Times New Roman" w:hAnsi="Times New Roman"/>
                <w:sz w:val="20"/>
              </w:rPr>
            </w:pPr>
            <w:r>
              <w:rPr>
                <w:rFonts w:ascii="Times New Roman" w:hAnsi="Times New Roman"/>
                <w:sz w:val="20"/>
              </w:rPr>
              <w:t>745 Seventh Avenue</w:t>
            </w:r>
          </w:p>
          <w:p>
            <w:pPr>
              <w:pStyle w:val="TableContents"/>
              <w:bidi w:val="0"/>
              <w:spacing w:before="0" w:after="20"/>
              <w:jc w:val="left"/>
              <w:rPr>
                <w:rFonts w:ascii="Times New Roman" w:hAnsi="Times New Roman"/>
                <w:sz w:val="20"/>
              </w:rPr>
            </w:pPr>
            <w:r>
              <w:rPr>
                <w:rFonts w:ascii="Times New Roman" w:hAnsi="Times New Roman"/>
                <w:sz w:val="20"/>
              </w:rPr>
              <w:t>New York, New York 10019</w:t>
            </w:r>
          </w:p>
        </w:tc>
        <w:tc>
          <w:tcPr>
            <w:tcW w:w="111" w:type="dxa"/>
            <w:tcBorders/>
            <w:vAlign w:val="bottom"/>
          </w:tcPr>
          <w:p>
            <w:pPr>
              <w:pStyle w:val="TableContents"/>
              <w:bidi w:val="0"/>
              <w:spacing w:before="0" w:after="283"/>
              <w:jc w:val="left"/>
              <w:rPr/>
            </w:pPr>
            <w:r>
              <w:rPr/>
              <w:t> </w:t>
            </w:r>
          </w:p>
        </w:tc>
        <w:tc>
          <w:tcPr>
            <w:tcW w:w="262" w:type="dxa"/>
            <w:tcBorders/>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4780" w:type="dxa"/>
            <w:tcBorders/>
          </w:tcPr>
          <w:p>
            <w:pPr>
              <w:pStyle w:val="TableContents"/>
              <w:bidi w:val="0"/>
              <w:spacing w:before="0" w:after="0"/>
              <w:jc w:val="left"/>
              <w:rPr>
                <w:rFonts w:ascii="Times New Roman" w:hAnsi="Times New Roman"/>
                <w:sz w:val="20"/>
              </w:rPr>
            </w:pPr>
            <w:r>
              <w:rPr>
                <w:rFonts w:ascii="Times New Roman" w:hAnsi="Times New Roman"/>
                <w:sz w:val="20"/>
              </w:rPr>
              <w:t>c/o  Goldman Sachs &amp; Co. LLC</w:t>
            </w:r>
          </w:p>
          <w:p>
            <w:pPr>
              <w:pStyle w:val="TableContents"/>
              <w:bidi w:val="0"/>
              <w:spacing w:before="0" w:after="0"/>
              <w:jc w:val="left"/>
              <w:rPr>
                <w:rFonts w:ascii="Times New Roman" w:hAnsi="Times New Roman"/>
                <w:sz w:val="20"/>
              </w:rPr>
            </w:pPr>
            <w:r>
              <w:rPr>
                <w:rFonts w:ascii="Times New Roman" w:hAnsi="Times New Roman"/>
                <w:sz w:val="20"/>
              </w:rPr>
              <w:t>200 West Street</w:t>
            </w:r>
          </w:p>
          <w:p>
            <w:pPr>
              <w:pStyle w:val="TableContents"/>
              <w:bidi w:val="0"/>
              <w:spacing w:before="0" w:after="20"/>
              <w:jc w:val="left"/>
              <w:rPr>
                <w:rFonts w:ascii="Times New Roman" w:hAnsi="Times New Roman"/>
                <w:sz w:val="20"/>
              </w:rPr>
            </w:pPr>
            <w:r>
              <w:rPr>
                <w:rFonts w:ascii="Times New Roman" w:hAnsi="Times New Roman"/>
                <w:sz w:val="20"/>
              </w:rPr>
              <w:t>New York, New York 10282</w:t>
            </w:r>
          </w:p>
        </w:tc>
      </w:tr>
      <w:tr>
        <w:trPr>
          <w:trHeight w:val="120" w:hRule="atLeast"/>
        </w:trPr>
        <w:tc>
          <w:tcPr>
            <w:tcW w:w="4925" w:type="dxa"/>
            <w:tcBorders/>
            <w:vAlign w:val="center"/>
          </w:tcPr>
          <w:p>
            <w:pPr>
              <w:pStyle w:val="TableContents"/>
              <w:bidi w:val="0"/>
              <w:spacing w:before="0" w:after="283"/>
              <w:jc w:val="left"/>
              <w:rPr>
                <w:sz w:val="4"/>
                <w:szCs w:val="4"/>
              </w:rPr>
            </w:pPr>
            <w:r>
              <w:rPr>
                <w:sz w:val="4"/>
                <w:szCs w:val="4"/>
              </w:rPr>
            </w:r>
          </w:p>
        </w:tc>
        <w:tc>
          <w:tcPr>
            <w:tcW w:w="373" w:type="dxa"/>
            <w:gridSpan w:val="2"/>
            <w:tcBorders/>
            <w:vAlign w:val="center"/>
          </w:tcPr>
          <w:p>
            <w:pPr>
              <w:pStyle w:val="TableContents"/>
              <w:bidi w:val="0"/>
              <w:spacing w:before="0" w:after="283"/>
              <w:jc w:val="left"/>
              <w:rPr>
                <w:sz w:val="4"/>
                <w:szCs w:val="4"/>
              </w:rPr>
            </w:pPr>
            <w:r>
              <w:rPr>
                <w:sz w:val="4"/>
                <w:szCs w:val="4"/>
              </w:rPr>
            </w:r>
          </w:p>
        </w:tc>
        <w:tc>
          <w:tcPr>
            <w:tcW w:w="4907" w:type="dxa"/>
            <w:gridSpan w:val="2"/>
            <w:tcBorders/>
            <w:vAlign w:val="center"/>
          </w:tcPr>
          <w:p>
            <w:pPr>
              <w:pStyle w:val="TableContents"/>
              <w:bidi w:val="0"/>
              <w:spacing w:before="0" w:after="283"/>
              <w:jc w:val="left"/>
              <w:rPr>
                <w:sz w:val="4"/>
                <w:szCs w:val="4"/>
              </w:rPr>
            </w:pPr>
            <w:r>
              <w:rPr>
                <w:sz w:val="4"/>
                <w:szCs w:val="4"/>
              </w:rPr>
            </w:r>
          </w:p>
        </w:tc>
      </w:tr>
      <w:tr>
        <w:trPr/>
        <w:tc>
          <w:tcPr>
            <w:tcW w:w="4925" w:type="dxa"/>
            <w:tcBorders/>
          </w:tcPr>
          <w:p>
            <w:pPr>
              <w:pStyle w:val="TableContents"/>
              <w:bidi w:val="0"/>
              <w:spacing w:before="0" w:after="0"/>
              <w:jc w:val="left"/>
              <w:rPr>
                <w:rFonts w:ascii="Times New Roman" w:hAnsi="Times New Roman"/>
                <w:sz w:val="20"/>
              </w:rPr>
            </w:pPr>
            <w:r>
              <w:rPr>
                <w:rFonts w:ascii="Times New Roman" w:hAnsi="Times New Roman"/>
                <w:sz w:val="20"/>
              </w:rPr>
              <w:t>c/o  BNY Mellon Capital Markets, LLC</w:t>
            </w:r>
          </w:p>
          <w:p>
            <w:pPr>
              <w:pStyle w:val="TableContents"/>
              <w:bidi w:val="0"/>
              <w:spacing w:before="0" w:after="0"/>
              <w:jc w:val="left"/>
              <w:rPr>
                <w:rFonts w:ascii="Times New Roman" w:hAnsi="Times New Roman"/>
                <w:sz w:val="20"/>
              </w:rPr>
            </w:pPr>
            <w:r>
              <w:rPr>
                <w:rFonts w:ascii="Times New Roman" w:hAnsi="Times New Roman"/>
                <w:sz w:val="20"/>
              </w:rPr>
              <w:t>240 Greenwich Street, 3W</w:t>
            </w:r>
          </w:p>
          <w:p>
            <w:pPr>
              <w:pStyle w:val="TableContents"/>
              <w:bidi w:val="0"/>
              <w:spacing w:before="0" w:after="20"/>
              <w:jc w:val="left"/>
              <w:rPr>
                <w:rFonts w:ascii="Times New Roman" w:hAnsi="Times New Roman"/>
                <w:sz w:val="20"/>
              </w:rPr>
            </w:pPr>
            <w:r>
              <w:rPr>
                <w:rFonts w:ascii="Times New Roman" w:hAnsi="Times New Roman"/>
                <w:sz w:val="20"/>
              </w:rPr>
              <w:t>New York, New York 10286</w:t>
            </w:r>
          </w:p>
        </w:tc>
        <w:tc>
          <w:tcPr>
            <w:tcW w:w="111" w:type="dxa"/>
            <w:tcBorders/>
            <w:vAlign w:val="bottom"/>
          </w:tcPr>
          <w:p>
            <w:pPr>
              <w:pStyle w:val="TableContents"/>
              <w:bidi w:val="0"/>
              <w:spacing w:before="0" w:after="283"/>
              <w:jc w:val="left"/>
              <w:rPr/>
            </w:pPr>
            <w:r>
              <w:rPr/>
              <w:t> </w:t>
            </w:r>
          </w:p>
        </w:tc>
        <w:tc>
          <w:tcPr>
            <w:tcW w:w="262"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4780" w:type="dxa"/>
            <w:tcBorders/>
          </w:tcPr>
          <w:p>
            <w:pPr>
              <w:pStyle w:val="TableContents"/>
              <w:bidi w:val="0"/>
              <w:spacing w:before="0" w:after="0"/>
              <w:jc w:val="left"/>
              <w:rPr>
                <w:rFonts w:ascii="Times New Roman" w:hAnsi="Times New Roman"/>
                <w:sz w:val="20"/>
              </w:rPr>
            </w:pPr>
            <w:r>
              <w:rPr>
                <w:rFonts w:ascii="Times New Roman" w:hAnsi="Times New Roman"/>
                <w:sz w:val="20"/>
              </w:rPr>
              <w:t>c/o  U.S. Bancorp Investments, Inc.</w:t>
            </w:r>
          </w:p>
          <w:p>
            <w:pPr>
              <w:pStyle w:val="TableContents"/>
              <w:bidi w:val="0"/>
              <w:spacing w:before="0" w:after="0"/>
              <w:jc w:val="left"/>
              <w:rPr>
                <w:rFonts w:ascii="Times New Roman" w:hAnsi="Times New Roman"/>
                <w:sz w:val="20"/>
              </w:rPr>
            </w:pPr>
            <w:r>
              <w:rPr>
                <w:rFonts w:ascii="Times New Roman" w:hAnsi="Times New Roman"/>
                <w:sz w:val="20"/>
              </w:rPr>
              <w:t>214 North Tryon Street, 26th Floor</w:t>
            </w:r>
          </w:p>
          <w:p>
            <w:pPr>
              <w:pStyle w:val="TableContents"/>
              <w:bidi w:val="0"/>
              <w:spacing w:before="0" w:after="20"/>
              <w:jc w:val="left"/>
              <w:rPr>
                <w:rFonts w:ascii="Times New Roman" w:hAnsi="Times New Roman"/>
                <w:sz w:val="20"/>
              </w:rPr>
            </w:pPr>
            <w:r>
              <w:rPr>
                <w:rFonts w:ascii="Times New Roman" w:hAnsi="Times New Roman"/>
                <w:sz w:val="20"/>
              </w:rPr>
              <w:t>Charlotte, North Carolina 28202</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Evergy Kansas Central, Inc., a Kansas corporation (the “</w:t>
      </w:r>
      <w:r>
        <w:rPr>
          <w:rFonts w:ascii="Times New Roman" w:hAnsi="Times New Roman"/>
          <w:b/>
          <w:sz w:val="20"/>
        </w:rPr>
        <w:t>Company</w:t>
      </w:r>
      <w:r>
        <w:rPr>
          <w:rFonts w:ascii="Times New Roman" w:hAnsi="Times New Roman"/>
          <w:sz w:val="20"/>
        </w:rPr>
        <w:t>”), proposes to issue and sell to the several underwriters named in Schedule A hereto (the “</w:t>
      </w:r>
      <w:r>
        <w:rPr>
          <w:rFonts w:ascii="Times New Roman" w:hAnsi="Times New Roman"/>
          <w:b/>
          <w:sz w:val="20"/>
        </w:rPr>
        <w:t>Underwriters</w:t>
      </w:r>
      <w:r>
        <w:rPr>
          <w:rFonts w:ascii="Times New Roman" w:hAnsi="Times New Roman"/>
          <w:sz w:val="20"/>
        </w:rPr>
        <w:t>”), acting severally and not jointly, the respective amounts set forth in Schedule A hereto of $350,000,000 aggregate principal amount of the Company’s First Mortgage Bonds, 5.300% Series due 2036 (the “</w:t>
      </w:r>
      <w:r>
        <w:rPr>
          <w:rFonts w:ascii="Times New Roman" w:hAnsi="Times New Roman"/>
          <w:b/>
          <w:sz w:val="20"/>
        </w:rPr>
        <w:t>Bonds</w:t>
      </w:r>
      <w:r>
        <w:rPr>
          <w:rFonts w:ascii="Times New Roman" w:hAnsi="Times New Roman"/>
          <w:sz w:val="20"/>
        </w:rPr>
        <w:t>”). Barclays Capital Inc., BNY Mellon Capital Markets, LLC, Goldman Sachs &amp; Co. LLC and U.S. Bancorp Investments, Inc. have agreed to act as representatives of the several Underwriters (in such capacity, the “</w:t>
      </w:r>
      <w:r>
        <w:rPr>
          <w:rFonts w:ascii="Times New Roman" w:hAnsi="Times New Roman"/>
          <w:b/>
          <w:sz w:val="20"/>
        </w:rPr>
        <w:t>Representatives</w:t>
      </w:r>
      <w:r>
        <w:rPr>
          <w:rFonts w:ascii="Times New Roman" w:hAnsi="Times New Roman"/>
          <w:sz w:val="20"/>
        </w:rPr>
        <w:t xml:space="preserve">”) in connection with the offering and sale of the Bonds. </w:t>
      </w:r>
    </w:p>
    <w:p>
      <w:pPr>
        <w:pStyle w:val="TextBody"/>
        <w:bidi w:val="0"/>
        <w:spacing w:before="240" w:after="0"/>
        <w:jc w:val="left"/>
        <w:rPr>
          <w:rFonts w:ascii="Times New Roman" w:hAnsi="Times New Roman"/>
          <w:sz w:val="20"/>
        </w:rPr>
      </w:pPr>
      <w:r>
        <w:rPr>
          <w:rFonts w:ascii="Times New Roman" w:hAnsi="Times New Roman"/>
          <w:sz w:val="20"/>
        </w:rPr>
        <w:t>The Bonds will be issued pursuant to and secured by the Mortgage and Deed of Trust, dated as of July 1, 1939, between the Company (formerly The Kansas Power and Light Company) and The Bank of New York Mellon Trust Company, N.A., as successor to Harris Trust and Savings Bank, as trustee (the “</w:t>
      </w:r>
      <w:r>
        <w:rPr>
          <w:rFonts w:ascii="Times New Roman" w:hAnsi="Times New Roman"/>
          <w:b/>
          <w:sz w:val="20"/>
        </w:rPr>
        <w:t>Trustee</w:t>
      </w:r>
      <w:r>
        <w:rPr>
          <w:rFonts w:ascii="Times New Roman" w:hAnsi="Times New Roman"/>
          <w:sz w:val="20"/>
        </w:rPr>
        <w:t>”), as amended or supplemented by fifty-four indentures supplemental thereto, in addition to the Forty-Second Supplemental (Reopening) Indenture and the Fifty-Third Supplemental (Reopening) Indenture (such Mortgage and Deed of Trust, as so amended or supplemented, the “</w:t>
      </w:r>
      <w:r>
        <w:rPr>
          <w:rFonts w:ascii="Times New Roman" w:hAnsi="Times New Roman"/>
          <w:b/>
          <w:sz w:val="20"/>
        </w:rPr>
        <w:t>Base</w:t>
      </w:r>
      <w:r>
        <w:rPr>
          <w:rFonts w:ascii="Times New Roman" w:hAnsi="Times New Roman"/>
          <w:sz w:val="20"/>
        </w:rPr>
        <w:t xml:space="preserve"> </w:t>
      </w:r>
      <w:r>
        <w:rPr>
          <w:rFonts w:ascii="Times New Roman" w:hAnsi="Times New Roman"/>
          <w:b/>
          <w:sz w:val="20"/>
        </w:rPr>
        <w:t>Mortgage</w:t>
      </w:r>
      <w:r>
        <w:rPr>
          <w:rFonts w:ascii="Times New Roman" w:hAnsi="Times New Roman"/>
          <w:sz w:val="20"/>
        </w:rPr>
        <w:t>”), and as to be further supplemented by the Fifty-Fifth Supplemental Indenture, to be dated as of July 1, 2026, with respect to the Bonds (the “</w:t>
      </w:r>
      <w:r>
        <w:rPr>
          <w:rFonts w:ascii="Times New Roman" w:hAnsi="Times New Roman"/>
          <w:b/>
          <w:sz w:val="20"/>
        </w:rPr>
        <w:t>Supplemental Indenture</w:t>
      </w:r>
      <w:r>
        <w:rPr>
          <w:rFonts w:ascii="Times New Roman" w:hAnsi="Times New Roman"/>
          <w:sz w:val="20"/>
        </w:rPr>
        <w:t>” and, together with the Base Mortgage, the “</w:t>
      </w:r>
      <w:r>
        <w:rPr>
          <w:rFonts w:ascii="Times New Roman" w:hAnsi="Times New Roman"/>
          <w:b/>
          <w:sz w:val="20"/>
        </w:rPr>
        <w:t>Mortgage Indenture</w:t>
      </w:r>
      <w:r>
        <w:rPr>
          <w:rFonts w:ascii="Times New Roman" w:hAnsi="Times New Roman"/>
          <w:sz w:val="20"/>
        </w:rPr>
        <w:t>”) in accordance with Article Fourteen of the Base Mortgage. The Bonds will be issued in book-entry form in the name of Cede &amp; Co., as nominee of The Depository Trust Company (the “</w:t>
      </w:r>
      <w:r>
        <w:rPr>
          <w:rFonts w:ascii="Times New Roman" w:hAnsi="Times New Roman"/>
          <w:b/>
          <w:sz w:val="20"/>
        </w:rPr>
        <w:t>Depositary</w:t>
      </w:r>
      <w:r>
        <w:rPr>
          <w:rFonts w:ascii="Times New Roman" w:hAnsi="Times New Roman"/>
          <w:sz w:val="20"/>
        </w:rPr>
        <w:t>”), pursuant to the Company’s Blanket Letter of Representations, dated April 8, 2020, to the Depositary (the “</w:t>
      </w:r>
      <w:r>
        <w:rPr>
          <w:rFonts w:ascii="Times New Roman" w:hAnsi="Times New Roman"/>
          <w:b/>
          <w:sz w:val="20"/>
        </w:rPr>
        <w:t>DTC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has prepared and filed with the Securities and Exchange Commission (the “</w:t>
      </w:r>
      <w:r>
        <w:rPr>
          <w:rFonts w:ascii="Times New Roman" w:hAnsi="Times New Roman"/>
          <w:b/>
          <w:sz w:val="20"/>
        </w:rPr>
        <w:t>Commission</w:t>
      </w:r>
      <w:r>
        <w:rPr>
          <w:rFonts w:ascii="Times New Roman" w:hAnsi="Times New Roman"/>
          <w:sz w:val="20"/>
        </w:rPr>
        <w:t>”) a registration statement on Form S-3 (File No. 333-281614-02) to be used in connection with the public offering and sale of debt securities, including the Bonds, of the Company. Such registration statement, including the financial statements, exhibits and schedules thereto, in the form in which it became effective under the Securities Act of 1933, as amended, and the rules and regulations promulgated thereunder (collectively, the “</w:t>
      </w:r>
      <w:r>
        <w:rPr>
          <w:rFonts w:ascii="Times New Roman" w:hAnsi="Times New Roman"/>
          <w:b/>
          <w:sz w:val="20"/>
        </w:rPr>
        <w:t>Securities Act</w:t>
      </w:r>
      <w:r>
        <w:rPr>
          <w:rFonts w:ascii="Times New Roman" w:hAnsi="Times New Roman"/>
          <w:sz w:val="20"/>
        </w:rPr>
        <w:t>”), including any required information deemed to be a part of the registration statement at the time of effectiveness pursuant to Rule 430B of the Securities Act (“</w:t>
      </w:r>
      <w:r>
        <w:rPr>
          <w:rFonts w:ascii="Times New Roman" w:hAnsi="Times New Roman"/>
          <w:b/>
          <w:sz w:val="20"/>
        </w:rPr>
        <w:t>Rule 430B</w:t>
      </w:r>
      <w:r>
        <w:rPr>
          <w:rFonts w:ascii="Times New Roman" w:hAnsi="Times New Roman"/>
          <w:sz w:val="20"/>
        </w:rPr>
        <w:t>”), is called the “</w:t>
      </w:r>
      <w:r>
        <w:rPr>
          <w:rFonts w:ascii="Times New Roman" w:hAnsi="Times New Roman"/>
          <w:b/>
          <w:sz w:val="20"/>
        </w:rPr>
        <w:t>Registration Statement</w:t>
      </w:r>
      <w:r>
        <w:rPr>
          <w:rFonts w:ascii="Times New Roman" w:hAnsi="Times New Roman"/>
          <w:sz w:val="20"/>
        </w:rPr>
        <w:t>.” The term “</w:t>
      </w:r>
      <w:r>
        <w:rPr>
          <w:rFonts w:ascii="Times New Roman" w:hAnsi="Times New Roman"/>
          <w:b/>
          <w:sz w:val="20"/>
        </w:rPr>
        <w:t>Base Prospectus</w:t>
      </w:r>
      <w:r>
        <w:rPr>
          <w:rFonts w:ascii="Times New Roman" w:hAnsi="Times New Roman"/>
          <w:sz w:val="20"/>
        </w:rPr>
        <w:t>” shall mean the base prospectus dated August 16, 2024 relating to the Bonds. The term “</w:t>
      </w:r>
      <w:r>
        <w:rPr>
          <w:rFonts w:ascii="Times New Roman" w:hAnsi="Times New Roman"/>
          <w:b/>
          <w:sz w:val="20"/>
        </w:rPr>
        <w:t>Preliminary Prospectus</w:t>
      </w:r>
      <w:r>
        <w:rPr>
          <w:rFonts w:ascii="Times New Roman" w:hAnsi="Times New Roman"/>
          <w:sz w:val="20"/>
        </w:rPr>
        <w:t>” shall mean any preliminary prospectus supplement relating to the Bonds, together with the Base Prospectus, that is filed with the Commission pursuant to Rule 424(b) of the Securities Act (“</w:t>
      </w:r>
      <w:r>
        <w:rPr>
          <w:rFonts w:ascii="Times New Roman" w:hAnsi="Times New Roman"/>
          <w:b/>
          <w:sz w:val="20"/>
        </w:rPr>
        <w:t>Rule 424(b)</w:t>
      </w:r>
      <w:r>
        <w:rPr>
          <w:rFonts w:ascii="Times New Roman" w:hAnsi="Times New Roman"/>
          <w:sz w:val="20"/>
        </w:rPr>
        <w:t>”). The term “</w:t>
      </w:r>
      <w:r>
        <w:rPr>
          <w:rFonts w:ascii="Times New Roman" w:hAnsi="Times New Roman"/>
          <w:b/>
          <w:sz w:val="20"/>
        </w:rPr>
        <w:t>Prospectus</w:t>
      </w:r>
      <w:r>
        <w:rPr>
          <w:rFonts w:ascii="Times New Roman" w:hAnsi="Times New Roman"/>
          <w:sz w:val="20"/>
        </w:rPr>
        <w:t>” shall mean the final prospectus supplement relating to the Bonds, together with the Base Prospectus, that is first filed pursuant to Rule 424(b) after the date and time that this Agreement is executed (the “</w:t>
      </w:r>
      <w:r>
        <w:rPr>
          <w:rFonts w:ascii="Times New Roman" w:hAnsi="Times New Roman"/>
          <w:b/>
          <w:sz w:val="20"/>
        </w:rPr>
        <w:t>Execution Time</w:t>
      </w:r>
      <w:r>
        <w:rPr>
          <w:rFonts w:ascii="Times New Roman" w:hAnsi="Times New Roman"/>
          <w:sz w:val="20"/>
        </w:rPr>
        <w:t>”) and delivered by the parties hereto. Any reference herein to the Registration Statement, any Preliminary Prospectus or the Prospectus shall be deemed to refer to and include the documents that are or are deemed to be incorporated by reference therein pursuant to Item 12 of Form S-3 of the Securities Act prior to 2:50 p.m. (Eastern time) on June 22, 2026 (the “</w:t>
      </w:r>
      <w:r>
        <w:rPr>
          <w:rFonts w:ascii="Times New Roman" w:hAnsi="Times New Roman"/>
          <w:b/>
          <w:sz w:val="20"/>
        </w:rPr>
        <w:t>Initial Sale Time</w:t>
      </w:r>
      <w:r>
        <w:rPr>
          <w:rFonts w:ascii="Times New Roman" w:hAnsi="Times New Roman"/>
          <w:sz w:val="20"/>
        </w:rPr>
        <w:t>”). All references in this Agreement to the Registration Statement, any Preliminary Prospectus, the Prospectus, or any amendments or supplements to any of the foregoing, shall include any copy thereof filed with the Commission pursuant to its Electronic Data Gathering, Analysis and Retrieval System (“</w:t>
      </w:r>
      <w:r>
        <w:rPr>
          <w:rFonts w:ascii="Times New Roman" w:hAnsi="Times New Roman"/>
          <w:b/>
          <w:sz w:val="20"/>
        </w:rPr>
        <w:t>EDGAR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All references in this Agreement to (a) financial statements and schedules and other information that is “contained,” “included” or “stated” (or other references of like import) in the Registration Statement, the Prospectus or any Preliminary Prospectus shall be deemed to mean and include all such financial statements and schedules and other information that is or is deemed to be incorporated by reference in the Registration Statement, the Prospectus or any Preliminary Prospectus, as the case may be, prior to the Initial Sale Time, (b) to amendments or supplements to the Registration Statement, the Prospectus or any Preliminary Prospectus shall be deemed to include the filing of any document under the Securities Exchange Act of 1934, as amended, and the rules and regulations promulgated thereunder (collectively, the “</w:t>
      </w:r>
      <w:r>
        <w:rPr>
          <w:rFonts w:ascii="Times New Roman" w:hAnsi="Times New Roman"/>
          <w:b/>
          <w:sz w:val="20"/>
        </w:rPr>
        <w:t>Exchange Act</w:t>
      </w:r>
      <w:r>
        <w:rPr>
          <w:rFonts w:ascii="Times New Roman" w:hAnsi="Times New Roman"/>
          <w:sz w:val="20"/>
        </w:rPr>
        <w:t xml:space="preserve">”), which is or is deemed to be incorporated by reference in the Registration Statement, the Prospectus or any Preliminary Prospectus, as the case may be, after the Initial Sale Time, (c) the words “include” and “including” (and variations thereof) shall not be deemed to be terms of limitation, but rather shall be deemed to be followed by the words “without limitation” or “but not limited to” and (d) the word “or” shall not be exclusive.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hereby confirms its agreements with the Underwriters as follows: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sz w:val="20"/>
          <w:u w:val="single"/>
        </w:rPr>
        <w:t>Representations and Warranties of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hereby represents, warrants and covenants to each Underwriter as of the date hereof, as of the Initial Sale Time and as of the Closing Date (as such term is defined herein) (in each case, a “</w:t>
      </w:r>
      <w:r>
        <w:rPr>
          <w:rFonts w:ascii="Times New Roman" w:hAnsi="Times New Roman"/>
          <w:b/>
          <w:sz w:val="20"/>
        </w:rPr>
        <w:t>Representation</w:t>
      </w:r>
      <w:r>
        <w:rPr>
          <w:rFonts w:ascii="Times New Roman" w:hAnsi="Times New Roman"/>
          <w:sz w:val="20"/>
        </w:rPr>
        <w:t xml:space="preserve"> </w:t>
      </w:r>
      <w:r>
        <w:rPr>
          <w:rFonts w:ascii="Times New Roman" w:hAnsi="Times New Roman"/>
          <w:b/>
          <w:sz w:val="20"/>
        </w:rPr>
        <w:t>Date</w:t>
      </w:r>
      <w:r>
        <w:rPr>
          <w:rFonts w:ascii="Times New Roman" w:hAnsi="Times New Roman"/>
          <w:sz w:val="20"/>
        </w:rPr>
        <w:t xml:space="preserve">”),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Well-Known Seasoned Issuer</w:t>
      </w:r>
      <w:r>
        <w:rPr>
          <w:rFonts w:ascii="Times New Roman" w:hAnsi="Times New Roman"/>
          <w:sz w:val="20"/>
        </w:rPr>
        <w:t>. (i) At the time of filing the Registration Statement, (ii) at the time of the most recent amendment thereto for the purposes of complying with Section 10(a)(3) of the Securities Act (whether such amendment was by post-effective amendment, incorporated report filed pursuant to Section 13 or 15(d) of the Exchange Act or form of prospectus), (iii) at the time the Company or any person acting on its behalf (within the meaning, for this clause only, of Rule 163(c) of the Securities Act) made any offer relating to the Bonds in reliance on the exemption of Rule 163 of the Securities Act, and (iv) as of the Execution Time (with such date being used as the determination date for purposes of this clause (iv)), the Company was and is a “well-known seasoned issuer” (as such term is defined in Rule 405 of the Securities Act (“</w:t>
      </w:r>
      <w:r>
        <w:rPr>
          <w:rFonts w:ascii="Times New Roman" w:hAnsi="Times New Roman"/>
          <w:b/>
          <w:sz w:val="20"/>
        </w:rPr>
        <w:t>Rule 405</w:t>
      </w:r>
      <w:r>
        <w:rPr>
          <w:rFonts w:ascii="Times New Roman" w:hAnsi="Times New Roman"/>
          <w:sz w:val="20"/>
        </w:rPr>
        <w:t>”)). The Registration Statement is an “automatic shelf registration statement” (as such term is defined in Rule 405), the Company has not received from the Commission any notice pursuant to Rule 401(g)(2) of the Securities Act (“</w:t>
      </w:r>
      <w:r>
        <w:rPr>
          <w:rFonts w:ascii="Times New Roman" w:hAnsi="Times New Roman"/>
          <w:b/>
          <w:sz w:val="20"/>
        </w:rPr>
        <w:t>Rule 401(g)(2)</w:t>
      </w:r>
      <w:r>
        <w:rPr>
          <w:rFonts w:ascii="Times New Roman" w:hAnsi="Times New Roman"/>
          <w:sz w:val="20"/>
        </w:rPr>
        <w:t xml:space="preserve">”) objecting to use of the automatic shelf registration statement form and the Company has not otherwise ceased to be eligible to use the automatic shelf registration statement form.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Compliance with Registration Requirements. </w:t>
      </w:r>
      <w:r>
        <w:rPr>
          <w:rFonts w:ascii="Times New Roman" w:hAnsi="Times New Roman"/>
          <w:sz w:val="20"/>
        </w:rPr>
        <w:t>The Company meets the requirements for use of Form S-3 of the Securities Act and the Bonds have been duly registered under the Securities Act pursuant to the Registration Statement. The Registration Statement has become effective under the Securities Act and no stop order suspending the effectiveness of the Registration Statement has been issued under the Securities Act and no proceedings for that purpose have been instituted or are pending or, to the knowledge of the Company, are contemplated or threatened by the Commission, and any request on the part of the Commission for additional information has been complied with. The Registration Statement was initially filed with the Commission on August 16, 2024. In addition, the Mortgage Indenture has been duly qualified under the Trust Indenture Act of 1939, as amended, and the rules and regulations promulgated thereunder (the “</w:t>
      </w:r>
      <w:r>
        <w:rPr>
          <w:rFonts w:ascii="Times New Roman" w:hAnsi="Times New Roman"/>
          <w:b/>
          <w:sz w:val="20"/>
        </w:rPr>
        <w:t>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the respective times the Registration Statement and any post-effective amendments thereto became effective and at each Representation Date, the Registration Statement and any amendments thereto (i) complied and will comply in all material respects with the requirements of the Securities Act and the Trust Indenture Act, and (ii) did not and will not contain an untrue statement of a material fact or omit to state a material fact required to be stated therein or necessary to make the statements therein not misleading. Neither the Prospectus nor any amendments or supplements thereto, at the time the Prospectus or any such amendment or supplement was issued and at the Closing Date, included or will include an untrue statement of a material fact or omitted or will omit to state a material fact necessary in order to make the statements therein, in the light of the circumstances under which they were made, not misleading. Notwithstanding the foregoing, the representations and warranties in this Section 1(b) shall not apply to (A) that part of the Registration Statement that constitutes the Statement of Eligibility on Form T-1 of the Trustee under the Trust Indenture Act or (B) statements in or omissions from the Registration Statement or any post-effective amendment or the Prospectus or any amendments or supplements thereto made in reliance upon and in conformity with information furnished to the Company in writing by any Underwriter through the Representatives expressly for use therein, it being understood and agreed that the only such information furnished by any Underwriter consists of the information described as such in Section 7(b)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Preliminary Prospectus and the Prospectus, at the time each was filed with the Commission, complied in all material respects with the Securities Act, and each Preliminary Prospectus and the Prospectus delivered to the Underwriters for use in connection with the offering of the Bonds will, at the time of such delivery, be identical to any electronically transmitted copies thereof filed with the Commission pursuant to EDGAR, except to the extent permitted by the Commission’s Regulation S-T.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Disclosure Package. </w:t>
      </w:r>
      <w:r>
        <w:rPr>
          <w:rFonts w:ascii="Times New Roman" w:hAnsi="Times New Roman"/>
          <w:sz w:val="20"/>
        </w:rPr>
        <w:t>The term “</w:t>
      </w:r>
      <w:r>
        <w:rPr>
          <w:rFonts w:ascii="Times New Roman" w:hAnsi="Times New Roman"/>
          <w:b/>
          <w:sz w:val="20"/>
        </w:rPr>
        <w:t>Disclosure Package</w:t>
      </w:r>
      <w:r>
        <w:rPr>
          <w:rFonts w:ascii="Times New Roman" w:hAnsi="Times New Roman"/>
          <w:sz w:val="20"/>
        </w:rPr>
        <w:t>” shall mean (i) the Preliminary Prospectus dated June 22, 2026, (ii) each Issuer Free Writing Prospectus (as such term is defined below) identified as an “Issuer General Use Free Writing Prospectus” in Annex I hereto (each, an “</w:t>
      </w:r>
      <w:r>
        <w:rPr>
          <w:rFonts w:ascii="Times New Roman" w:hAnsi="Times New Roman"/>
          <w:b/>
          <w:sz w:val="20"/>
        </w:rPr>
        <w:t>Issuer General Use Free Writing Prospectus</w:t>
      </w:r>
      <w:r>
        <w:rPr>
          <w:rFonts w:ascii="Times New Roman" w:hAnsi="Times New Roman"/>
          <w:sz w:val="20"/>
        </w:rPr>
        <w:t>”) and (iii) any other free writing prospectus that the parties hereto shall hereafter expressly agree in writing to treat as part of the Disclosure Package. The term “</w:t>
      </w:r>
      <w:r>
        <w:rPr>
          <w:rFonts w:ascii="Times New Roman" w:hAnsi="Times New Roman"/>
          <w:b/>
          <w:sz w:val="20"/>
        </w:rPr>
        <w:t>Issuer Free Writing Prospectus</w:t>
      </w:r>
      <w:r>
        <w:rPr>
          <w:rFonts w:ascii="Times New Roman" w:hAnsi="Times New Roman"/>
          <w:sz w:val="20"/>
        </w:rPr>
        <w:t>” shall mean any “issuer free writing prospectus” (as such term is defined in Rule 433 of the Securities Act (“</w:t>
      </w:r>
      <w:r>
        <w:rPr>
          <w:rFonts w:ascii="Times New Roman" w:hAnsi="Times New Roman"/>
          <w:b/>
          <w:sz w:val="20"/>
        </w:rPr>
        <w:t>Rule 433</w:t>
      </w:r>
      <w:r>
        <w:rPr>
          <w:rFonts w:ascii="Times New Roman" w:hAnsi="Times New Roman"/>
          <w:sz w:val="20"/>
        </w:rPr>
        <w:t>”)) relating to the Bonds that (A) is required to be filed with the Commission by the Company or (B) is a “road show that is a written communication” within the meaning of Rule 433(d)(8)(i), whether or not required to be filed with the Commission, in each case in the form filed or required to be filed with the Commission or, if not required to be so filed, in the form retained in the Company’s records pursuant to Rule 433(g). The term “</w:t>
      </w:r>
      <w:r>
        <w:rPr>
          <w:rFonts w:ascii="Times New Roman" w:hAnsi="Times New Roman"/>
          <w:b/>
          <w:sz w:val="20"/>
        </w:rPr>
        <w:t>Issuer Limited Use Free Writing Prospectus</w:t>
      </w:r>
      <w:r>
        <w:rPr>
          <w:rFonts w:ascii="Times New Roman" w:hAnsi="Times New Roman"/>
          <w:sz w:val="20"/>
        </w:rPr>
        <w:t xml:space="preserve">” shall mean any Issuer Free Writing Prospectus that is not an Issuer General Use Free Writing Prospectus as identified in Annex I hereto. At the Initial Sale Time, neither (1) the Disclosure Package nor (2) any individual Issuer Limited Use Free Writing Prospectus, when considered with the Disclosure Package, included any untrue statement of a material fact or omitted to state any material fact necessary in order to make the statements therein, in the light of the circumstances under which they were made, not misleading. The preceding sentence does not apply to statements in or omissions from the Disclosure Package or any Issuer Limited Use Free Writing Prospectus based upon and in conformity with information furnished to the Company in writing by any Underwriter through the Representatives specifically for use therein, it being understood and agreed that the only such information furnished by or on behalf of any Underwriter consists of the information described as such in Section 7(b) hereof.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Incorporated Documents</w:t>
      </w:r>
      <w:r>
        <w:rPr>
          <w:rFonts w:ascii="Times New Roman" w:hAnsi="Times New Roman"/>
          <w:sz w:val="20"/>
        </w:rPr>
        <w:t xml:space="preserve">. The documents incorporated or deemed to be incorporated by reference in the Registration Statement, any Preliminary Prospectus and the Prospectus (i) at the time they were or hereafter are filed with the Commission, complied or will comply in all material respects with the requirements of the Exchange Act and (ii) when read together with the other information in the Disclosure Package, at the Initial Sale Time, and when read together with the other information in the Prospectus, at the date of the Prospectus and at the Closing Date, did not or will not include an untrue statement of a material fact or omit to state a material fact necessary in order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Not an Ineligible Issuer</w:t>
      </w:r>
      <w:r>
        <w:rPr>
          <w:rFonts w:ascii="Times New Roman" w:hAnsi="Times New Roman"/>
          <w:sz w:val="20"/>
        </w:rPr>
        <w:t xml:space="preserve">. (i) At the earliest time after the filing of the Registration Statement that the Company or another offering participant makes a </w:t>
      </w:r>
      <w:r>
        <w:rPr>
          <w:rFonts w:ascii="Times New Roman" w:hAnsi="Times New Roman"/>
          <w:i/>
          <w:sz w:val="20"/>
        </w:rPr>
        <w:t>bona fide</w:t>
      </w:r>
      <w:r>
        <w:rPr>
          <w:rFonts w:ascii="Times New Roman" w:hAnsi="Times New Roman"/>
          <w:sz w:val="20"/>
        </w:rPr>
        <w:t xml:space="preserve"> offer (within the meaning of Rule 164(h)(2) of the Securities Act) of the Bonds and (ii) as of the Execution Time (with such date being used as the determination date for purposes of this clause (ii)), the Company was not or is not an “ineligible issuer” (as such term is defined in Rule 405), without taking account of any determination by the Commission pursuant to Rule 405 that it is not necessary that the Company be considered such an ineligible issuer.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Issuer Free Writing Prospectuses</w:t>
      </w:r>
      <w:r>
        <w:rPr>
          <w:rFonts w:ascii="Times New Roman" w:hAnsi="Times New Roman"/>
          <w:sz w:val="20"/>
        </w:rPr>
        <w:t xml:space="preserve">. Each Issuer Free Writing Prospectus, as of its issue date and at all subsequent times through the completion of the public offering and sale of Bonds or until any earlier date that the Company notified or notifies the Representatives as described in the next sentence, did not, does not and will not include any information that conflicted, conflicts or will conflict with the information contained in the Registration Statement, any Preliminary Prospectus or the Prospectus.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the Company has promptly notified or will promptly notify the Representatives and has promptly amended or supplemented or will promptly amend or supplement, at its own expense, such Issuer Free Writing Prospectus to eliminate or correct such conflict. The foregoing two sentences do not apply to statements in or omissions from any Issuer Free Writing Prospectus based upon and in conformity with information furnished to the Company in writing by any Underwriter through the Representatives specifically for use therein, it being understood and agreed that the only such information furnished by any Underwriter consists of the information described as such in Section 7(b) hereof.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No Applicable Registration or Other Similar Rights. </w:t>
      </w:r>
      <w:r>
        <w:rPr>
          <w:rFonts w:ascii="Times New Roman" w:hAnsi="Times New Roman"/>
          <w:sz w:val="20"/>
        </w:rPr>
        <w:t xml:space="preserve">There are no persons with registration or other similar rights to have any equity or debt securities registered for sale under the Registration Statement or included in the offering contemplated by this Agreement, except for such rights as have been duly waived.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Due Incorporation and Qualification</w:t>
      </w:r>
      <w:r>
        <w:rPr>
          <w:rFonts w:ascii="Times New Roman" w:hAnsi="Times New Roman"/>
          <w:sz w:val="20"/>
        </w:rPr>
        <w:t xml:space="preserve">. The Company has been duly incorporated and is validly existing as a corporation in good standing under the laws of the state of Kansas with corporate power and authority to own, lease and operate its properties and to conduct its business as described in the Disclosure Package and the Prospectus and to enter into and perform its obligations under this Agreement, the Mortgage Indenture and the Bonds; and the Company is duly qualified as a foreign corporation to transact business and is in good standing in each jurisdiction in which such qualification is required, whether by reason of the ownership or leasing of property or the conduct of business, except where the failure to so qualify and be in good standing would not result in a Material Adverse Change (as such term is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Subsidiaries</w:t>
      </w:r>
      <w:r>
        <w:rPr>
          <w:rFonts w:ascii="Times New Roman" w:hAnsi="Times New Roman"/>
          <w:sz w:val="20"/>
        </w:rPr>
        <w:t>. Evergy Kansas South, Inc. (the “</w:t>
      </w:r>
      <w:r>
        <w:rPr>
          <w:rFonts w:ascii="Times New Roman" w:hAnsi="Times New Roman"/>
          <w:b/>
          <w:sz w:val="20"/>
        </w:rPr>
        <w:t>Subsidiary</w:t>
      </w:r>
      <w:r>
        <w:rPr>
          <w:rFonts w:ascii="Times New Roman" w:hAnsi="Times New Roman"/>
          <w:sz w:val="20"/>
        </w:rPr>
        <w:t xml:space="preserve">”) is a “significant subsidiary” (as such term is defined in Rule 1-02 of the Commission’s Regulation S-X) of the Company. The Subsidiary has been duly incorporated and is validly existing as a corporation in good standing under the laws of its jurisdiction of incorporation, has corporate power and authority to own, lease and operate its properties and to conduct its business as described in the Disclosure Package and the Prospectus and is duly qualified as a foreign corporation to transact business and is in good standing in each jurisdiction in which such qualification is required, whether by reason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ownership or leasing of property or the conduct of business, except where the failure so to qualify or to be in good standing would not result in a Material Adverse Change; except as otherwise disclosed in the Disclosure Package and the Prospectus, all of the issued and outstanding shares of capital stock of the Subsidiary have been duly authorized and validly issued, are fully paid and non-assessable and are owned directly by the Company free and clear of any security interest, mortgage, pledge, lien, encumbrance, claim or equity; and none of the outstanding shares of capital stock of the Subsidiary was issued in violation of preemptive or other similar rights of any securityholder of the Subsidiary. The Company has no other “significant subsidiaries” (as such term is defined in Rule 1-02 of the Commission’s Regulation S-X) other than the Subsidiary.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Capitalization</w:t>
      </w:r>
      <w:r>
        <w:rPr>
          <w:rFonts w:ascii="Times New Roman" w:hAnsi="Times New Roman"/>
          <w:sz w:val="20"/>
        </w:rPr>
        <w:t xml:space="preserve">. The authorized, issued and outstanding capital stock of the Company is as set forth in the Disclosure Package and the Prospectus. The shares of issued and outstanding capital stock of the Company have been duly authorized and validly issued and are fully paid and non-assessable; none of the outstanding shares of capital stock of the Company was issued in violation of preemptive or other similar rights of any securityholder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Accountants</w:t>
      </w:r>
      <w:r>
        <w:rPr>
          <w:rFonts w:ascii="Times New Roman" w:hAnsi="Times New Roman"/>
          <w:sz w:val="20"/>
        </w:rPr>
        <w:t xml:space="preserve">. The accountants who issued their reports on the financial statements of the Company included or incorporated by reference in the Disclosure Package and the Prospectus are an independent registered public accounting firm with respect to the Company, as required by the Securities Act, the Exchange Act and the Public Company Accounting Oversight Board (United States).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Financial Statements</w:t>
      </w:r>
      <w:r>
        <w:rPr>
          <w:rFonts w:ascii="Times New Roman" w:hAnsi="Times New Roman"/>
          <w:sz w:val="20"/>
        </w:rPr>
        <w:t>. The financial statements and any supporting schedules of the Company included or incorporated by reference in the Registration Statement, the Disclosure Package and the Prospectus present fairly, in all material respects, the financial position of the Company as of the dates indicated and the results of its operations and cash flows for the periods specified; except as stated therein, such financial statements have been prepared in conformity with generally accepted accounting principles in the United States (“</w:t>
      </w:r>
      <w:r>
        <w:rPr>
          <w:rFonts w:ascii="Times New Roman" w:hAnsi="Times New Roman"/>
          <w:b/>
          <w:sz w:val="20"/>
        </w:rPr>
        <w:t>GAAP</w:t>
      </w:r>
      <w:r>
        <w:rPr>
          <w:rFonts w:ascii="Times New Roman" w:hAnsi="Times New Roman"/>
          <w:sz w:val="20"/>
        </w:rPr>
        <w:t xml:space="preserve">”) applied on a consistent basis; and any supporting schedules included in the Registration Statement present fairly, in all material respects, the information required to be stated therein. The selected financial data and the summary financial information included or incorporated by reference in the Disclosure Package and the Prospectus present fairly, in accordance with GAAP, the information shown therein and have been compiled on a basis consistent with that of the audited financial statements included or incorporated by reference in the Registration Statement, the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Authorization of the Underwriting Agreement</w:t>
      </w:r>
      <w:r>
        <w:rPr>
          <w:rFonts w:ascii="Times New Roman" w:hAnsi="Times New Roman"/>
          <w:sz w:val="20"/>
        </w:rPr>
        <w:t xml:space="preserve">. This Agreement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Authorization of the Mortgage Indenture</w:t>
      </w:r>
      <w:r>
        <w:rPr>
          <w:rFonts w:ascii="Times New Roman" w:hAnsi="Times New Roman"/>
          <w:sz w:val="20"/>
        </w:rPr>
        <w:t xml:space="preserve">. The Mortgage Indenture has been duly qualified under the Trust Indenture Act and has been duly authorized; the Base Mortgage has been and, at the Closing Date, the Supplemental Indenture will be duly executed and delivered by the Company; and the Base Mortgage constitutes and, at the Closing Date, the Mortgage Indenture will constitute a valid and binding obligation of the Company, enforceable against the Company in accordance with its terms, except as the enforcement thereof may be limited by bankruptcy, insolvency, reorganization, moratorium or similar laws relating to or affecting enforcement of mortgagees’ or other creditors’ rights generally and except as enforcement thereof is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general principles of equity (regardless of whether enforcement is considered in a proceeding in equity or at law); </w:t>
      </w:r>
      <w:r>
        <w:rPr>
          <w:rFonts w:ascii="Times New Roman" w:hAnsi="Times New Roman"/>
          <w:i/>
          <w:sz w:val="20"/>
        </w:rPr>
        <w:t>provided</w:t>
      </w:r>
      <w:r>
        <w:rPr>
          <w:rFonts w:ascii="Times New Roman" w:hAnsi="Times New Roman"/>
          <w:sz w:val="20"/>
        </w:rPr>
        <w:t xml:space="preserve">, however, that certain remedial provisions of the Mortgage Indenture may not be enforceable, but such unenforceability will not render the Mortgage Indenture invalid as a whole or affect the judicial enforcement of (i) the obligation of the Company to repay the principal of the Bonds, together with the interest and any premium thereon, as provided in the Bonds, (ii) the acceleration of the obligation of the Company to repay such principal, together with such interest and premium, based upon a material default by the Company in the payment of such principal, interest or premium or (iii) the right of the Trustee to exercise its right to foreclose under the Mortgage Indenture.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Accurate Tax Disclosure</w:t>
      </w:r>
      <w:r>
        <w:rPr>
          <w:rFonts w:ascii="Times New Roman" w:hAnsi="Times New Roman"/>
          <w:sz w:val="20"/>
        </w:rPr>
        <w:t xml:space="preserve">. The factual statements set forth in the Disclosure Package and the Prospectus under the caption “Material U.S. Federal Income Tax Considerations” are accurate in all material respects and fairly present the information provided.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 xml:space="preserve">Authorization of the Bonds. </w:t>
      </w:r>
      <w:r>
        <w:rPr>
          <w:rFonts w:ascii="Times New Roman" w:hAnsi="Times New Roman"/>
          <w:sz w:val="20"/>
        </w:rPr>
        <w:t xml:space="preserve">The Bonds to be purchased by the Underwriters from the Company are in the form contemplated by the Mortgage Indenture, have been duly authorized for issuance and sale pursuant to this Agreement and the Mortgage Indenture and, at the Closing Date, will have been duly executed by the Company and, when authenticated in the manner provided for in the Mortgage Indenture and delivered against payment of the purchase price therefor, will be validly issued and delivered and will constitute valid and binding obligations of the Company, enforceable in accordance with their terms, except as the enforcement thereof may be limited by bankruptcy, insolvency, reorganization, moratorium or similar laws relating to or affecting enforcement of mortgagees’ or other creditors’ rights generally and except as enforcement thereof is subject to general principles of equity (regardless of whether enforcement is considered in a proceeding in equity or at law) and will be entitled to the benefits of the Mortgage Indenture.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Recordation of the Mortgage Indenture</w:t>
      </w:r>
      <w:r>
        <w:rPr>
          <w:rFonts w:ascii="Times New Roman" w:hAnsi="Times New Roman"/>
          <w:sz w:val="20"/>
        </w:rPr>
        <w:t xml:space="preserve">. The Mortgage Indenture (not including the Supplemental Indenture) has been duly recorded and filed in each place in which such recording or filing is required to establish, protect and preserve the lien of the Mortgage Indenture on the Mortgaged Property (as such term is defined in the Mortgage Indenture), and all taxes and recording or filing fees required to be paid in connection with the execution, recording or filing of the Mortgage Indenture (not including the Supplemental Indenture) have been duly paid.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i/>
          <w:sz w:val="20"/>
        </w:rPr>
        <w:t>Title to Property</w:t>
      </w:r>
      <w:r>
        <w:rPr>
          <w:rFonts w:ascii="Times New Roman" w:hAnsi="Times New Roman"/>
          <w:sz w:val="20"/>
        </w:rPr>
        <w:t xml:space="preserve">. Except as to property acquired subsequent to the execution and delivery of the Supplemental Indenture, the Company has good and sufficient title to, or a satisfactory easement in, the Mortgaged Property (except such property as may have been disposed of or released from the lien thereof in accordance with the terms thereof), subject only to (i) the lien of the Mortgage Indenture, (ii) exceptions and reservations specifically set forth therein, (iii) Permitted Liens (as such term is defined in the Mortgage Indenture), (iv) leases and minor liens of judgments not prior to the lien of the Mortgage Indenture that do not interfere with the Company’s business, (v) defects, irregularities and deficiencies in titles of properties and rights-of-way that do not materially impair the use of such property and rights-of-way for the purposes for which they are held by the Company and (vi) matters specified in the Disclosure Package and the Prospectus under the caption “Description of First Mortgage Bonds—Priority and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 </w:t>
      </w:r>
      <w:r>
        <w:rPr>
          <w:rFonts w:ascii="Times New Roman" w:hAnsi="Times New Roman"/>
          <w:i/>
          <w:sz w:val="20"/>
        </w:rPr>
        <w:t>Lien of the Mortgage Indenture</w:t>
      </w:r>
      <w:r>
        <w:rPr>
          <w:rFonts w:ascii="Times New Roman" w:hAnsi="Times New Roman"/>
          <w:sz w:val="20"/>
        </w:rPr>
        <w:t xml:space="preserve">. The Mortgage Indenture, subject only to the qualifications set forth in Section 1(r) hereof and to such other matters as do not materially affect the security for the Bonds, constitutes a valid, direct first mortgage lien upon the Mortgaged Property, and all property (to the extent such property constitutes Mortgaged Property) acquired by the Company after the execution and delivery of the Supplemental Indenture will, upon such acquisition, become subject to the lien of the Mortgage Indenture to the extent provided therein, subject, however, to Permitted Liens and such other exceptions as are permitted by the Mortgage Indenture.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i/>
          <w:sz w:val="20"/>
        </w:rPr>
        <w:t>Description of the Bonds and the Mortgage Indenture.</w:t>
      </w:r>
      <w:r>
        <w:rPr>
          <w:rFonts w:ascii="Times New Roman" w:hAnsi="Times New Roman"/>
          <w:sz w:val="20"/>
        </w:rPr>
        <w:t xml:space="preserve"> The Bonds and the Mortgage Indenture conform in all material respects to the descriptions thereof contained in the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i/>
          <w:sz w:val="20"/>
        </w:rPr>
        <w:t>Material Changes or Material Transactions</w:t>
      </w:r>
      <w:r>
        <w:rPr>
          <w:rFonts w:ascii="Times New Roman" w:hAnsi="Times New Roman"/>
          <w:sz w:val="20"/>
        </w:rPr>
        <w:t>. Since the respective dates as of which information is given in the Registration Statement, the Disclosure Package and the Prospectus, except as may otherwise be stated therein or contemplated thereby, (i) there has been no material adverse change in the condition, financial or otherwise, or in the earnings, business affairs or business prospects of the Company and its subsidiaries considered as one enterprise, whether or not arising in the ordinary course of business (a “</w:t>
      </w:r>
      <w:r>
        <w:rPr>
          <w:rFonts w:ascii="Times New Roman" w:hAnsi="Times New Roman"/>
          <w:b/>
          <w:sz w:val="20"/>
        </w:rPr>
        <w:t>Material Adverse Change</w:t>
      </w:r>
      <w:r>
        <w:rPr>
          <w:rFonts w:ascii="Times New Roman" w:hAnsi="Times New Roman"/>
          <w:sz w:val="20"/>
        </w:rPr>
        <w:t xml:space="preserve">”), and (ii) there have been no transactions entered into by the Company and its subsidiaries considered as one enterprise (other than those in the ordinary course of business) that are material with respect to the Company and its subsidiaries considered as one enterprise.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No Defaults</w:t>
      </w:r>
      <w:r>
        <w:rPr>
          <w:rFonts w:ascii="Times New Roman" w:hAnsi="Times New Roman"/>
          <w:sz w:val="20"/>
        </w:rPr>
        <w:t>. Neither the Company nor the Subsidiary is in violation of its articles of incorporation, charter or by-laws. Except as would not, individually or in the aggregate, reasonably be expected to result in a Material Adverse Change, neither the Company nor the Subsidiary is in default in the performance or observance of any obligation, agreement, covenant or condition contained in any contract, indenture, mortgage, loan agreement, note, lease or other instrument to which the Company or the Subsidiary is a party or by which it or any of them may be bound, or to which any of the property or assets of the Company or the Subsidiary is subject (each, an “</w:t>
      </w:r>
      <w:r>
        <w:rPr>
          <w:rFonts w:ascii="Times New Roman" w:hAnsi="Times New Roman"/>
          <w:b/>
          <w:sz w:val="20"/>
        </w:rPr>
        <w:t>Agreement or Instrument</w:t>
      </w:r>
      <w:r>
        <w:rPr>
          <w:rFonts w:ascii="Times New Roman" w:hAnsi="Times New Roman"/>
          <w:sz w:val="20"/>
        </w:rPr>
        <w:t>” and, collectively, the “</w:t>
      </w:r>
      <w:r>
        <w:rPr>
          <w:rFonts w:ascii="Times New Roman" w:hAnsi="Times New Roman"/>
          <w:b/>
          <w:sz w:val="20"/>
        </w:rPr>
        <w:t>Agreements and Instruments</w:t>
      </w:r>
      <w:r>
        <w:rPr>
          <w:rFonts w:ascii="Times New Roman" w:hAnsi="Times New Roman"/>
          <w:sz w:val="20"/>
        </w:rPr>
        <w:t xml:space="preserve">”). The execution and delivery of this Agreement, the Mortgage Indenture and the Bonds and the consummation of the transactions contemplated herein and therein have been duly authorized by all necessary corporate action and do not and will not conflict with or constitute a breach of, or default under, or result in the creation or imposition of any lien, charge or encumbrance (except pursuant to the terms of the Mortgage Indenture) upon any property or assets of the Company or the Subsidiary pursuant to, any material Agreements and Instruments, nor will such action result in any violation of the provisions of the articles of incorporation, charter or by-laws, as they may be then amended or in effect, of the Company or the Subsidiary or any applicable law, administrative regulation or administrative or court order or decree.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i/>
          <w:sz w:val="20"/>
        </w:rPr>
        <w:t>Regulatory Approvals</w:t>
      </w:r>
      <w:r>
        <w:rPr>
          <w:rFonts w:ascii="Times New Roman" w:hAnsi="Times New Roman"/>
          <w:sz w:val="20"/>
        </w:rPr>
        <w:t xml:space="preserve">. The Company has obtained all necessary consents, orders or approvals in connection with the issuance and sale of the Bonds, and no consent, approval, authorization, order or decree of any other court or governmental agency or body is required for the consummation by the Company of the transactions contemplated by this Agreement, except such as may be required under state securities or blue sky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w:t>
      </w:r>
      <w:r>
        <w:rPr>
          <w:rFonts w:ascii="Times New Roman" w:hAnsi="Times New Roman"/>
          <w:i/>
          <w:sz w:val="20"/>
        </w:rPr>
        <w:t>Legal Proceedings; Contracts</w:t>
      </w:r>
      <w:r>
        <w:rPr>
          <w:rFonts w:ascii="Times New Roman" w:hAnsi="Times New Roman"/>
          <w:sz w:val="20"/>
        </w:rPr>
        <w:t xml:space="preserve">. Except as may be set forth, incorporated or deemed incorporated by reference in the Disclosure Package and the Prospectus, there is no action, suit or proceeding before or by any court or governmental agency or body, domestic or foreign, now pending, or, to the knowledge of the Company, threatened against or affecting, the Company or its subsidiaries that would reasonably be expected to result in any Material Adverse Change, or might materially and adversely affect its properties or assets or would reasonably be expected to materially and adversely affect the consummation of the transactions contemplated by this Agreement; and there are no contracts or documents that are required to be filed as exhibits to the Registration Statement by the Securities Act that have not been so filed. </w:t>
      </w:r>
    </w:p>
    <w:p>
      <w:pPr>
        <w:pStyle w:val="TextBody"/>
        <w:bidi w:val="0"/>
        <w:spacing w:before="240" w:after="0"/>
        <w:jc w:val="left"/>
        <w:rPr>
          <w:rFonts w:ascii="Times New Roman" w:hAnsi="Times New Roman"/>
          <w:sz w:val="20"/>
        </w:rPr>
      </w:pPr>
      <w:r>
        <w:rPr>
          <w:rFonts w:ascii="Times New Roman" w:hAnsi="Times New Roman"/>
          <w:sz w:val="20"/>
        </w:rPr>
        <w:t xml:space="preserve">(y) </w:t>
      </w:r>
      <w:r>
        <w:rPr>
          <w:rFonts w:ascii="Times New Roman" w:hAnsi="Times New Roman"/>
          <w:i/>
          <w:sz w:val="20"/>
        </w:rPr>
        <w:t>Franchises</w:t>
      </w:r>
      <w:r>
        <w:rPr>
          <w:rFonts w:ascii="Times New Roman" w:hAnsi="Times New Roman"/>
          <w:sz w:val="20"/>
        </w:rPr>
        <w:t xml:space="preserve">. The Company and the Subsidiary hold, to the extent required, valid and subsisting franchises, certificates of convenience and authority, licenses and permits authorizing them to carry on the regulated utility businesses in which they are engaged in the territories from which substantially all of the Company’s consolidated gross operating revenue is derived, except where the failure to hold such franchises, certificates of convenience and authority, licenses and permits would not result in a Material Adverse Change. Neither the Company nor the Subsidiary has received any notice of proceedings relating to the revocation or modification of any such franchise, certificate of convenience and authority, license or permit that, individually or in the aggregate, if the subject of an unfavorable decision ruling or finding, reasonably be expected to result in a Material Adverse Change, except as set forth in the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i/>
          <w:sz w:val="20"/>
        </w:rPr>
        <w:t>Environmental Laws</w:t>
      </w:r>
      <w:r>
        <w:rPr>
          <w:rFonts w:ascii="Times New Roman" w:hAnsi="Times New Roman"/>
          <w:sz w:val="20"/>
        </w:rPr>
        <w:t>. Except as described, incorporated or deemed incorporated by reference in the Disclosure Package and the Prospectus, and except as would not, individually or in the aggregate, reasonably be expected to result in a Material Adverse Change, (i) neither the Company nor the Subsidiary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ambient air, surface water, groundwater, land surface or subsurface strata) or wildlife, including laws and regulations relating to the release or threatened release of chemicals, pollutants, contaminants, wastes, toxic substances, hazardous substances, petroleum or petroleum products, asbestos-containing materials or mold (collectively, “</w:t>
      </w:r>
      <w:r>
        <w:rPr>
          <w:rFonts w:ascii="Times New Roman" w:hAnsi="Times New Roman"/>
          <w:b/>
          <w:sz w:val="20"/>
        </w:rPr>
        <w:t>Hazardous Materials</w:t>
      </w:r>
      <w:r>
        <w:rPr>
          <w:rFonts w:ascii="Times New Roman" w:hAnsi="Times New Roman"/>
          <w:sz w:val="20"/>
        </w:rPr>
        <w:t>”) or to the manufacture, processing, distribution, use, treatment, storage, disposal, transport or handling of Hazardous Materials (collectively, “</w:t>
      </w:r>
      <w:r>
        <w:rPr>
          <w:rFonts w:ascii="Times New Roman" w:hAnsi="Times New Roman"/>
          <w:b/>
          <w:sz w:val="20"/>
        </w:rPr>
        <w:t>Environmental Laws</w:t>
      </w:r>
      <w:r>
        <w:rPr>
          <w:rFonts w:ascii="Times New Roman" w:hAnsi="Times New Roman"/>
          <w:sz w:val="20"/>
        </w:rPr>
        <w:t xml:space="preserve">”), (ii) the Company and the Subsidiary have all permits, authorizations and approvals required under any applicable Environmental Laws and are each in compliance with their requirements, (iii) there are no pending or, to the knowledge of the Company, threatened administrative, regulatory or judicial actions, suits, demands, demand letters, claims, liens, notices of noncompliance or violation, investigation or proceedings relating to any Environmental Law against the Company or the Subsidiary and (iv) there are no events or circumstances that would reasonably be expected to form the basis of an order for clean-up or remediation, or an action, suit or proceeding by any private party or governmental body or agency, against or affecting the Company or the Subsidiary relating to Hazardous Materials or any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i/>
          <w:sz w:val="20"/>
        </w:rPr>
        <w:t>Investment Company Act</w:t>
      </w:r>
      <w:r>
        <w:rPr>
          <w:rFonts w:ascii="Times New Roman" w:hAnsi="Times New Roman"/>
          <w:sz w:val="20"/>
        </w:rPr>
        <w:t xml:space="preserve">. The Company is not and, upon the issuance and sale of the Bonds as contemplated herein and the application of the net proceeds thereof as described in the Disclosure Package and the Prospectus, will not be, required to register as an “investment company” under the Investment Company Act of 1940, as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(bb) </w:t>
      </w:r>
      <w:r>
        <w:rPr>
          <w:rFonts w:ascii="Times New Roman" w:hAnsi="Times New Roman"/>
          <w:i/>
          <w:sz w:val="20"/>
        </w:rPr>
        <w:t>ERISA</w:t>
      </w:r>
      <w:r>
        <w:rPr>
          <w:rFonts w:ascii="Times New Roman" w:hAnsi="Times New Roman"/>
          <w:sz w:val="20"/>
        </w:rPr>
        <w:t>. The Company and the Subsidiary are in compliance in all material respects with all presently applicable provisions of the Employee Retirement Income Security Act of 1974, as amended, including the regulations and published interpretations thereunder (“</w:t>
      </w:r>
      <w:r>
        <w:rPr>
          <w:rFonts w:ascii="Times New Roman" w:hAnsi="Times New Roman"/>
          <w:b/>
          <w:sz w:val="20"/>
        </w:rPr>
        <w:t>ERISA</w:t>
      </w:r>
      <w:r>
        <w:rPr>
          <w:rFonts w:ascii="Times New Roman" w:hAnsi="Times New Roman"/>
          <w:sz w:val="20"/>
        </w:rPr>
        <w:t>”); no “reportable event” (as such term is defined in ERISA) has occurred with respect to any “pension plan” (as such term is defined in ERISA) for which the Company or the Subsidiary would have any material liability; the Company and the Subsidiary have not incurred and do not expect to incur any material liability under (i) Title IV of ERISA with respect to the termination of, or withdrawal from, any “pension plan” or (ii) Section 412 or 4971 of the Internal Revenue Code of 1986, as amended, including the regulations and published interpretations thereunder (the “</w:t>
      </w:r>
      <w:r>
        <w:rPr>
          <w:rFonts w:ascii="Times New Roman" w:hAnsi="Times New Roman"/>
          <w:b/>
          <w:sz w:val="20"/>
        </w:rPr>
        <w:t>Code</w:t>
      </w:r>
      <w:r>
        <w:rPr>
          <w:rFonts w:ascii="Times New Roman" w:hAnsi="Times New Roman"/>
          <w:sz w:val="20"/>
        </w:rPr>
        <w:t xml:space="preserve">”); and each “pension plan” for which the Company or the Subsidiary would have any liability that is intended to be qualified under Section 401(a) of the Code is so qualified in all material respects and nothing has occurred, whether by action or by failure to act, which would cause the loss of such qualification. </w:t>
      </w:r>
    </w:p>
    <w:p>
      <w:pPr>
        <w:pStyle w:val="TextBody"/>
        <w:bidi w:val="0"/>
        <w:spacing w:before="240" w:after="0"/>
        <w:jc w:val="left"/>
        <w:rPr>
          <w:rFonts w:ascii="Times New Roman" w:hAnsi="Times New Roman"/>
          <w:sz w:val="20"/>
        </w:rPr>
      </w:pPr>
      <w:r>
        <w:rPr>
          <w:rFonts w:ascii="Times New Roman" w:hAnsi="Times New Roman"/>
          <w:sz w:val="20"/>
        </w:rPr>
        <w:t xml:space="preserve">(cc) </w:t>
      </w:r>
      <w:r>
        <w:rPr>
          <w:rFonts w:ascii="Times New Roman" w:hAnsi="Times New Roman"/>
          <w:i/>
          <w:sz w:val="20"/>
        </w:rPr>
        <w:t>Insurance</w:t>
      </w:r>
      <w:r>
        <w:rPr>
          <w:rFonts w:ascii="Times New Roman" w:hAnsi="Times New Roman"/>
          <w:sz w:val="20"/>
        </w:rPr>
        <w:t xml:space="preserve">. The Company and the Subsidiary carry, or are covered by, insurance in such amounts and covering such risks as is adequate for the conduct of their respective businesses and the value of their respective properties.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i/>
          <w:sz w:val="20"/>
        </w:rPr>
        <w:t>Taxes</w:t>
      </w:r>
      <w:r>
        <w:rPr>
          <w:rFonts w:ascii="Times New Roman" w:hAnsi="Times New Roman"/>
          <w:sz w:val="20"/>
        </w:rPr>
        <w:t xml:space="preserve">. The Company and the Subsidiary have filed all federal, state and local income and franchise tax returns required to be filed through the date hereof and have paid all taxes due thereon, except such as are being contested in good faith by appropriate proceedings or for which an extension has been requested, and no tax deficiency has been determined adversely to the Company or the Subsidiary that has had, nor does the Company have any knowledge of any tax deficiency that, if determined adversely to the Company or the Subsidiary, would reasonably be expected to result in, a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(ee) </w:t>
      </w:r>
      <w:r>
        <w:rPr>
          <w:rFonts w:ascii="Times New Roman" w:hAnsi="Times New Roman"/>
          <w:i/>
          <w:sz w:val="20"/>
        </w:rPr>
        <w:t>Internal Controls</w:t>
      </w:r>
      <w:r>
        <w:rPr>
          <w:rFonts w:ascii="Times New Roman" w:hAnsi="Times New Roman"/>
          <w:sz w:val="20"/>
        </w:rPr>
        <w:t xml:space="preserve">. Each of the Company and the Subsidiary (i) makes and keeps accurate books and records and (ii) maintains internal accounting controls that provide reasonable assurance that (A) transactions are executed in accordance with management’s authorization, (B) transactions are recorded as necessary to permit preparation of its financial statements and to maintain accountability for its assets, (C) access to its assets is permitted only in accordance with management’s authorization and (D) the reported accountability for its assets is compared with existing assets at reasonable intervals. Except as described in the Disclosure Package and the Prospectus,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w:t>
      </w:r>
    </w:p>
    <w:p>
      <w:pPr>
        <w:pStyle w:val="TextBody"/>
        <w:bidi w:val="0"/>
        <w:spacing w:before="240" w:after="0"/>
        <w:jc w:val="left"/>
        <w:rPr>
          <w:rFonts w:ascii="Times New Roman" w:hAnsi="Times New Roman"/>
          <w:sz w:val="20"/>
        </w:rPr>
      </w:pPr>
      <w:r>
        <w:rPr>
          <w:rFonts w:ascii="Times New Roman" w:hAnsi="Times New Roman"/>
          <w:sz w:val="20"/>
        </w:rPr>
        <w:t xml:space="preserve">(ff) </w:t>
      </w:r>
      <w:r>
        <w:rPr>
          <w:rFonts w:ascii="Times New Roman" w:hAnsi="Times New Roman"/>
          <w:i/>
          <w:sz w:val="20"/>
        </w:rPr>
        <w:t>Sarbanes-Oxley</w:t>
      </w:r>
      <w:r>
        <w:rPr>
          <w:rFonts w:ascii="Times New Roman" w:hAnsi="Times New Roman"/>
          <w:sz w:val="20"/>
        </w:rPr>
        <w:t xml:space="preserve">. The Company is in compliance, in all material respects, with all applicable provisions of the Sarbanes-Oxley Act of 2002 and the rules and regulations promulgated in connection therewith, including Section 402 related to loans, and the requirement that the Company and its consolidated subsidiaries maintain the following, among other, controls and procedures: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a system of “internal accounting controls” as contemplated in Section 13(b)(2)(B)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(ii) “disclosure controls and procedures” (as such term is defined in Rule 13a-15(e) of the Exchange Act); and </w:t>
      </w:r>
    </w:p>
    <w:p>
      <w:pPr>
        <w:pStyle w:val="TextBody"/>
        <w:bidi w:val="0"/>
        <w:spacing w:before="120" w:after="0"/>
        <w:jc w:val="left"/>
        <w:rPr>
          <w:rFonts w:ascii="Times New Roman" w:hAnsi="Times New Roman"/>
          <w:sz w:val="20"/>
        </w:rPr>
      </w:pPr>
      <w:r>
        <w:rPr>
          <w:rFonts w:ascii="Times New Roman" w:hAnsi="Times New Roman"/>
          <w:sz w:val="20"/>
        </w:rPr>
        <w:t xml:space="preserve">(iii) “internal control over financial reporting” (as such term is defined in Rule 13a-15(f)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(gg) </w:t>
      </w:r>
      <w:r>
        <w:rPr>
          <w:rFonts w:ascii="Times New Roman" w:hAnsi="Times New Roman"/>
          <w:i/>
          <w:sz w:val="20"/>
        </w:rPr>
        <w:t>Pending Proceedings and Examinations</w:t>
      </w:r>
      <w:r>
        <w:rPr>
          <w:rFonts w:ascii="Times New Roman" w:hAnsi="Times New Roman"/>
          <w:sz w:val="20"/>
        </w:rPr>
        <w:t xml:space="preserve">. The Company has not received notice from the Commission that the Registration Statement is the subject of a pending proceeding or examination under Section 8(d) or 8(e) of the Securities Act, and the Company is not the subject of a pending proceeding under Section 8A of the Securities Act in connection with the offering of the Bonds. </w:t>
      </w:r>
    </w:p>
    <w:p>
      <w:pPr>
        <w:pStyle w:val="TextBody"/>
        <w:bidi w:val="0"/>
        <w:spacing w:before="240" w:after="0"/>
        <w:jc w:val="left"/>
        <w:rPr>
          <w:rFonts w:ascii="Times New Roman" w:hAnsi="Times New Roman"/>
          <w:sz w:val="20"/>
        </w:rPr>
      </w:pPr>
      <w:r>
        <w:rPr>
          <w:rFonts w:ascii="Times New Roman" w:hAnsi="Times New Roman"/>
          <w:sz w:val="20"/>
        </w:rPr>
        <w:t xml:space="preserve">(hh) </w:t>
      </w:r>
      <w:r>
        <w:rPr>
          <w:rFonts w:ascii="Times New Roman" w:hAnsi="Times New Roman"/>
          <w:i/>
          <w:sz w:val="20"/>
        </w:rPr>
        <w:t>Ratings</w:t>
      </w:r>
      <w:r>
        <w:rPr>
          <w:rFonts w:ascii="Times New Roman" w:hAnsi="Times New Roman"/>
          <w:sz w:val="20"/>
        </w:rPr>
        <w:t xml:space="preserve">. The Bonds will be rated as described in the Final Term Sheet (as such term is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Foreign Corrupt Practices Act</w:t>
      </w:r>
      <w:r>
        <w:rPr>
          <w:rFonts w:ascii="Times New Roman" w:hAnsi="Times New Roman"/>
          <w:sz w:val="20"/>
        </w:rPr>
        <w:t xml:space="preserve">. None of the Company, the Subsidiary nor, to the knowledge of the Company, any director, officer, agent, employee, affiliate or other person associated with or acting on behalf of the Company or the Subsidiary has (i) made any unlawful contribution, gift, entertainment or other unlawful expense relating to political activity, (ii) made any direct or indirect unlawful payment to any foreign or domestic government official or employee from corporate funds, (iii) violated or is in violation of any provision of the Foreign Corrupt Practices Act of 1977, as amended, (iv) violated or is in violation of any provision of the Bribery Act 2010 of the United Kingdom or (v) made any bribe, rebate, payoff, influence payment, kickback or other unlawful payment. </w:t>
      </w:r>
    </w:p>
    <w:p>
      <w:pPr>
        <w:pStyle w:val="TextBody"/>
        <w:bidi w:val="0"/>
        <w:spacing w:before="240" w:after="0"/>
        <w:jc w:val="left"/>
        <w:rPr>
          <w:rFonts w:ascii="Times New Roman" w:hAnsi="Times New Roman"/>
          <w:sz w:val="20"/>
        </w:rPr>
      </w:pPr>
      <w:r>
        <w:rPr>
          <w:rFonts w:ascii="Times New Roman" w:hAnsi="Times New Roman"/>
          <w:sz w:val="20"/>
        </w:rPr>
        <w:t xml:space="preserve">(jj) </w:t>
      </w:r>
      <w:r>
        <w:rPr>
          <w:rFonts w:ascii="Times New Roman" w:hAnsi="Times New Roman"/>
          <w:i/>
          <w:sz w:val="20"/>
        </w:rPr>
        <w:t>Money Laundering Laws</w:t>
      </w:r>
      <w:r>
        <w:rPr>
          <w:rFonts w:ascii="Times New Roman" w:hAnsi="Times New Roman"/>
          <w:sz w:val="20"/>
        </w:rPr>
        <w:t>. The operations of the Company, the Subsidiary and, to the knowledge of the Company, its other subsidiaries are and have been conducted at all times in compliance with the requirements of applicable anti-money laundering laws, including the Bank Secrecy Act of 1970, as amended by the USA PATRIOT ACT of 2001, and the rules and regulations promulgated thereunder and the anti-money laundering laws of the various jurisdictions in which the Company and its subsidiaries conduct business (collectively, the “</w:t>
      </w:r>
      <w:r>
        <w:rPr>
          <w:rFonts w:ascii="Times New Roman" w:hAnsi="Times New Roman"/>
          <w:b/>
          <w:sz w:val="20"/>
        </w:rPr>
        <w:t>Money Laundering Laws</w:t>
      </w:r>
      <w:r>
        <w:rPr>
          <w:rFonts w:ascii="Times New Roman" w:hAnsi="Times New Roman"/>
          <w:sz w:val="20"/>
        </w:rPr>
        <w:t xml:space="preserve">”), and no action, suit or proceeding by or before any court or governmental agency, authority or body or any arbitrator involving the Company or the Subsidiary or, to the knowledge of the Company, any of its other subsidiaries with respect to the Money Laundering Laws is pending or threatened. </w:t>
      </w:r>
    </w:p>
    <w:p>
      <w:pPr>
        <w:pStyle w:val="TextBody"/>
        <w:bidi w:val="0"/>
        <w:spacing w:before="240" w:after="0"/>
        <w:jc w:val="left"/>
        <w:rPr>
          <w:rFonts w:ascii="Times New Roman" w:hAnsi="Times New Roman"/>
          <w:sz w:val="20"/>
        </w:rPr>
      </w:pPr>
      <w:r>
        <w:rPr>
          <w:rFonts w:ascii="Times New Roman" w:hAnsi="Times New Roman"/>
          <w:sz w:val="20"/>
        </w:rPr>
        <w:t xml:space="preserve">(kk) </w:t>
      </w:r>
      <w:r>
        <w:rPr>
          <w:rFonts w:ascii="Times New Roman" w:hAnsi="Times New Roman"/>
          <w:i/>
          <w:sz w:val="20"/>
        </w:rPr>
        <w:t>OFAC</w:t>
      </w:r>
      <w:r>
        <w:rPr>
          <w:rFonts w:ascii="Times New Roman" w:hAnsi="Times New Roman"/>
          <w:sz w:val="20"/>
        </w:rPr>
        <w:t>. None of the Company, the Subsidiary nor, to the knowledge of the Company, any director, officer, agent, employee or affiliate of the Company or the Subsidiary is currently the subject or the target of any sanctions administered or enforced by the U.S. Government, including the Office of Foreign Assets Control of the U.S. Department of the Treasury (“</w:t>
      </w:r>
      <w:r>
        <w:rPr>
          <w:rFonts w:ascii="Times New Roman" w:hAnsi="Times New Roman"/>
          <w:b/>
          <w:sz w:val="20"/>
        </w:rPr>
        <w:t>OFAC</w:t>
      </w:r>
      <w:r>
        <w:rPr>
          <w:rFonts w:ascii="Times New Roman" w:hAnsi="Times New Roman"/>
          <w:sz w:val="20"/>
        </w:rPr>
        <w:t>”), or other relevant sanctions authority (collectively, “</w:t>
      </w:r>
      <w:r>
        <w:rPr>
          <w:rFonts w:ascii="Times New Roman" w:hAnsi="Times New Roman"/>
          <w:b/>
          <w:sz w:val="20"/>
        </w:rPr>
        <w:t>Sanctions</w:t>
      </w:r>
      <w:r>
        <w:rPr>
          <w:rFonts w:ascii="Times New Roman" w:hAnsi="Times New Roman"/>
          <w:sz w:val="20"/>
        </w:rPr>
        <w:t xml:space="preserve">”), and the Company will not directly or indirectly use the proceeds of the offering of the Bonds hereunder, or lend, contribute or otherwise make available such proceeds to the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(ll) </w:t>
      </w:r>
      <w:r>
        <w:rPr>
          <w:rFonts w:ascii="Times New Roman" w:hAnsi="Times New Roman"/>
          <w:i/>
          <w:sz w:val="20"/>
        </w:rPr>
        <w:t>eXtensible Business Reporting Language</w:t>
      </w:r>
      <w:r>
        <w:rPr>
          <w:rFonts w:ascii="Times New Roman" w:hAnsi="Times New Roman"/>
          <w:sz w:val="20"/>
        </w:rPr>
        <w:t xml:space="preserve">. The interactive data in eXtensible Business Reporting Language included or incorporated by reference in the Registration Statement, the Disclosure Package and the Prospectus fairly presents the information called for in all material respects and has been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(mm) </w:t>
      </w:r>
      <w:r>
        <w:rPr>
          <w:rFonts w:ascii="Times New Roman" w:hAnsi="Times New Roman"/>
          <w:i/>
          <w:sz w:val="20"/>
        </w:rPr>
        <w:t>Cybersecurity</w:t>
      </w:r>
      <w:r>
        <w:rPr>
          <w:rFonts w:ascii="Times New Roman" w:hAnsi="Times New Roman"/>
          <w:sz w:val="20"/>
        </w:rPr>
        <w:t>. (i) (A) Except as disclosed in the Registration Statement, the Disclosure Package and the Prospectus, there has been no security breach or other compromise of or relating to any of the Company’s or the Subsidiary’s information technology and computer systems, networks, hardware, software, data (including the data of their respective customers, employees, suppliers, vendors and any third party data maintained by or on behalf of them), equipment or technology (collectively, “</w:t>
      </w:r>
      <w:r>
        <w:rPr>
          <w:rFonts w:ascii="Times New Roman" w:hAnsi="Times New Roman"/>
          <w:b/>
          <w:sz w:val="20"/>
        </w:rPr>
        <w:t>IT Systems and Data</w:t>
      </w:r>
      <w:r>
        <w:rPr>
          <w:rFonts w:ascii="Times New Roman" w:hAnsi="Times New Roman"/>
          <w:sz w:val="20"/>
        </w:rPr>
        <w:t xml:space="preserve">”) and (B) the Company and the Subsidiary have not been notified of, and have no knowledge of any event or condition that would reasonably be expected to result in, any security breach or other compromise to their IT Systems and Data, except as would not, in the case of this clause (i), reasonably be expected to result in a Material Adverse Change; (ii) the Company and the Subsidiary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 the case of this clause (ii), individually or in the aggregate, reasonably be expected to result in a Material Adverse Change; and (iii) the Company and the Subsidiary have implemented backup and disaster recovery technology reasonably consistent with industry standards and practices.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any director or officer of the Company and delivered to the Underwriters or to counsel for the Underwriters shall be deemed a representation and warranty by the Company to the Underwriters as to the matters covered thereby on the date of such certificate and, unless subsequently amended or supplemented, at each Representation Date subsequent thereto.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sz w:val="20"/>
          <w:u w:val="single"/>
        </w:rPr>
        <w:t>Purchase, Sale and Delivery of the Bonds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The Bonds. </w:t>
      </w:r>
      <w:r>
        <w:rPr>
          <w:rFonts w:ascii="Times New Roman" w:hAnsi="Times New Roman"/>
          <w:sz w:val="20"/>
        </w:rPr>
        <w:t xml:space="preserve">The Company agrees to issue and sell to the several Underwriters, severally and not jointly, all of the Bonds upon the terms herein set forth. On the basis of the representations, warranties and agreements herein contained, and upon the terms but subject to the conditions herein set forth, the Underwriters agree, severally and not jointly, to purchase from the Company the aggregate principal amount of Bonds set forth opposite their names on Schedule A hereto, plus any additional principal amount of Bonds that such Underwriter may become obligated to purchase pursuant to Section 9 hereof, at a purchase price of 99.235% of the principal amount of the Bonds, payable on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The Closing Date. </w:t>
      </w:r>
      <w:r>
        <w:rPr>
          <w:rFonts w:ascii="Times New Roman" w:hAnsi="Times New Roman"/>
          <w:sz w:val="20"/>
        </w:rPr>
        <w:t>Delivery of one or more certificates for the Bonds in global form to be purchased by the Underwriters and payment therefor shall be made at the offices of Bracewell LLP, 31 West 52nd Street, New York, New York (or such other place as may be agreed to by the Company and the Representatives) at 10:00 a.m., New York City time, on July 1, 2026, or such other time and date as the Underwriters and the Company shall mutually agree (the time and date of such closing are called the “</w:t>
      </w:r>
      <w:r>
        <w:rPr>
          <w:rFonts w:ascii="Times New Roman" w:hAnsi="Times New Roman"/>
          <w:b/>
          <w:sz w:val="20"/>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Public Offering</w:t>
      </w:r>
      <w:r>
        <w:rPr>
          <w:rFonts w:ascii="Times New Roman" w:hAnsi="Times New Roman"/>
          <w:sz w:val="20"/>
        </w:rPr>
        <w:t xml:space="preserve"> </w:t>
      </w:r>
      <w:r>
        <w:rPr>
          <w:rFonts w:ascii="Times New Roman" w:hAnsi="Times New Roman"/>
          <w:i/>
          <w:sz w:val="20"/>
        </w:rPr>
        <w:t xml:space="preserve">of the Bonds. </w:t>
      </w:r>
      <w:r>
        <w:rPr>
          <w:rFonts w:ascii="Times New Roman" w:hAnsi="Times New Roman"/>
          <w:sz w:val="20"/>
        </w:rPr>
        <w:t xml:space="preserve">The Representatives hereby advise the Company that the Underwriters intend to offer for sale to the public, as described in the Disclosure Package and the Prospectus, their respective portions of the Bonds as soon after this Agreement has been executed as the Representatives, in their sole judgment, have determined is advisable and practicable.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Payment for the Bonds. </w:t>
      </w:r>
      <w:r>
        <w:rPr>
          <w:rFonts w:ascii="Times New Roman" w:hAnsi="Times New Roman"/>
          <w:sz w:val="20"/>
        </w:rPr>
        <w:t xml:space="preserve">Payment for the Bonds shall be made at the Closing Date by wire transfer of immediately available funds to the order of the Company. It is understood that the Representatives have been authorized, for their own accounts and for the accounts of the several Underwriters, to accept delivery of and receipt for, and make payment of the purchase price for, the Bonds that the Underwriters have agreed to purchase. The Representatives may (but shall not be obligated to) make payment for any Bonds to be purchased by any Underwriter whose funds shall not have been received by the Representatives by the Closing Date for the account of such Underwriter, but any such payment shall not relieve such Underwriter from any of its obligations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Delivery of the Bonds. </w:t>
      </w:r>
      <w:r>
        <w:rPr>
          <w:rFonts w:ascii="Times New Roman" w:hAnsi="Times New Roman"/>
          <w:sz w:val="20"/>
        </w:rPr>
        <w:t xml:space="preserve">The Company shall deliver, or cause to be delivered, to the Representatives for the accounts of the several Underwriters through the facilities of the Depositary one or more certificates for the Bonds at the Closing Date, against the irrevocable release of a wire transfer of immediately available funds for the amount of the purchase price therefor. The certificate for the Bonds shall be a definitive global certificate in book-entry form for clearance through the Depositary. Time shall be of the essence, and delivery at the time and place specified in this Agreement is a further condition to the obligations of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sz w:val="20"/>
          <w:u w:val="single"/>
        </w:rPr>
        <w:t>Covenants of the Company</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and agrees with each Underwriter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Compliance with Securities Regulations and Commission Requests. </w:t>
      </w:r>
      <w:r>
        <w:rPr>
          <w:rFonts w:ascii="Times New Roman" w:hAnsi="Times New Roman"/>
          <w:sz w:val="20"/>
        </w:rPr>
        <w:t xml:space="preserve">The Company, subject to Section 3(b) hereof, will comply with the requirements of Rule 430B, and will promptly notify the Representatives, and confirm the notice in writing, of (i) the effectiveness during the Prospectus Delivery Period (as such term is defined herein) of any post-effective amendment to the Registration Statement or the filing of any supplement or amendment to any Preliminary Prospectus or the Prospectus, (ii) the receipt of any comments from the Commission during the Prospectus Delivery Period, (iii) any request by the Commission for any amendment to the Registration Statement or any amendment or supplement to any Preliminary Prospectus or the Prospectus or for additional information and (iv) the issuance by the Commission of any stop order suspending the effectiveness of the Registration Statement or of any order preventing or suspending the use of any Preliminary Prospectus or the Prospectus, or of the suspension of the qualification of the Bonds for offering or sale in any jurisdiction, or of the initiation or threatening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any proceedings for any of such purposes. The Company will promptly effect the filings necessary pursuant to Rule 424(b) and will take such steps as it deems necessary to ascertain promptly whether any Preliminary Prospectus and the Prospectus transmitted for filing under Rule 424(b) was received for filing by the Commission and, in the event that it was not, it will promptly file such document. The Company will use every reasonable effort to prevent the issuance of any stop order and, if any stop order is issued, to obtain the lifting thereof at the earliest possible moment.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Representatives</w:t>
      </w:r>
      <w:r>
        <w:rPr>
          <w:rFonts w:ascii="Times New Roman" w:hAnsi="Times New Roman"/>
          <w:sz w:val="20"/>
        </w:rPr>
        <w:t xml:space="preserve">’ </w:t>
      </w:r>
      <w:r>
        <w:rPr>
          <w:rFonts w:ascii="Times New Roman" w:hAnsi="Times New Roman"/>
          <w:i/>
          <w:sz w:val="20"/>
        </w:rPr>
        <w:t xml:space="preserve">Review of Proposed Amendments and Supplements. </w:t>
      </w:r>
      <w:r>
        <w:rPr>
          <w:rFonts w:ascii="Times New Roman" w:hAnsi="Times New Roman"/>
          <w:sz w:val="20"/>
        </w:rPr>
        <w:t>During the period beginning on the date of this Agreement and ending on the later of the Closing Date or such date, as in the opinion of counsel for the Underwriters, a prospectus relating to the Bonds is no longer required by law to be delivered in connection with sales of the Bonds by an Underwriter or dealer, including in circumstances where such requirement may be satisfied pursuant to Rule 172 of the Securities Act (the “</w:t>
      </w:r>
      <w:r>
        <w:rPr>
          <w:rFonts w:ascii="Times New Roman" w:hAnsi="Times New Roman"/>
          <w:b/>
          <w:sz w:val="20"/>
        </w:rPr>
        <w:t>Prospectus Delivery Period</w:t>
      </w:r>
      <w:r>
        <w:rPr>
          <w:rFonts w:ascii="Times New Roman" w:hAnsi="Times New Roman"/>
          <w:sz w:val="20"/>
        </w:rPr>
        <w:t xml:space="preserve">”), prior to amending or supplementing the Registration Statement, the Disclosure Package or the Prospectus (including any amendment or supplement through incorporation by reference of any report filed under the Exchange Act), the Company shall furnish, within a reasonable time prior to filing such amendment or supplement, to the Representatives for review a copy of each such proposed amendment or supplement, and the Company shall not file or use any such proposed amendment or supplement (except for any amendment or supplement filed under the Exchange Act after the Closing Date) to which the Representatives or counsel for the Underwriters shall reasonably object.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Delivery of Registration Statements. </w:t>
      </w:r>
      <w:r>
        <w:rPr>
          <w:rFonts w:ascii="Times New Roman" w:hAnsi="Times New Roman"/>
          <w:sz w:val="20"/>
        </w:rPr>
        <w:t xml:space="preserve">If requested, the Company will furnish or deliver to the Representatives and counsel for the Underwriters, without charge, copies of the Registration Statement as originally filed and of each amendment thereto (including exhibits filed therewith or incorporated by reference therein and documents incorporated or deemed to be incorporated by reference therein) and copies of all consents and certificates of experts, and will also deliver to the Representatives, without charge, a conformed copy of the Registration Statement as originally filed and of each amendment thereto (without exhibits) for each of the Underwriters. The Registration Statement and each amendment thereto furnished to the Underwriters will be identical to any electronically transmitted copies thereof filed with the Commission pursuant to EDGAR, except to the extent permitted by the Commission’s Regulation S-T.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Delivery of Prospectuses. </w:t>
      </w:r>
      <w:r>
        <w:rPr>
          <w:rFonts w:ascii="Times New Roman" w:hAnsi="Times New Roman"/>
          <w:sz w:val="20"/>
        </w:rPr>
        <w:t xml:space="preserve">The Company will deliver to each Underwriter, without charge, as many copies of each Preliminary Prospectus as such Underwriter may reasonably request, and the Company hereby consents to the use of such copies for purposes permitted by the Securities Act. The Company will furnish to each Underwriter, without charge, during the Prospectus Delivery Period, such number of copies of the Prospectus as such Underwriter may reasonably request. Each Preliminary Prospectus and the Prospectus and any amendments or supplements thereto furnished to the Underwriters will be identical to any electronically transmitted copies thereof filed with the Commission pursuant to EDGAR, except to the extent permitted by the Commission’s Regulation 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Continued Compliance with Securities Laws</w:t>
      </w:r>
      <w:r>
        <w:rPr>
          <w:rFonts w:ascii="Times New Roman" w:hAnsi="Times New Roman"/>
          <w:sz w:val="20"/>
        </w:rPr>
        <w:t xml:space="preserve">. The Company will comply with the Securities Act and the Exchange Act so as to permit the completion of the distribution of the Bonds as contemplated in this Agreement and the Prospectus. If, at any time during the Prospectus Delivery Period, any event shall occur or condition shall exist as a result of which it is necessary to amend the Registration Statement in order that the Registration Statement will not contain an untrue statement of a material fact or omit to state a material fact required to be stated therein or necessary to make the statements therein not misleading or to amend or supplement the Disclosure Package or the Prospectus in order that the Disclosure Package or the Prospectus, as the case may be, will not include an untrue statement of a material fact or omit to state a material fact necessary in order to make the statements therein, in the light of the circumstances existing at the Initial Sale Time or at the time it is delivered or conveyed to a purchaser, not misleading, or if it shall be necessary at any such time to amend the Registration Statement or amend or supplement the Disclosure Package or the Prospectus in order to comply with the requirements of the Securities Act, the Company will (i) notify the Representatives of any such event, development or condition, (ii) promptly prepare and file with the Commission, subject to Section 3(b) hereof, such amendment or supplement (including by filing under the Exchange Act any document incorporated by reference in the Disclosure Package or the Prospectus) as may be necessary to correct such statement or omission or to make the Registration Statement, the Disclosure Package or the Prospectus comply with such requirements and (iii) the Company will furnish to the Underwriters, without charge, such number of copies of such amendment or supplement to the Disclosure Package or the Prospectus as the Underwriters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Blue Sky Compliance. </w:t>
      </w:r>
      <w:r>
        <w:rPr>
          <w:rFonts w:ascii="Times New Roman" w:hAnsi="Times New Roman"/>
          <w:sz w:val="20"/>
        </w:rPr>
        <w:t xml:space="preserve">The Company shall cooperate with the Representatives and counsel for the Underwriters to qualify or register the Bonds for sale under (or obtain exemptions from the application of) the state securities or blue sky laws of those jurisdictions designated by the Representatives, shall comply with such laws and shall continue such qualifications, registrations and exemptions in effect so long as required for the distribution of the Bonds. The Company shall not be required to qualify to transact business or to take any action that would subject it to general service of process in any such jurisdiction where it is not presently qualified or where it would be subject to taxation as a foreign business. The Company will advise the Representatives promptly of the suspension of the qualification or registration of (or any such exemption relating to) the Bonds for offering, sale or trading in any jurisdiction or any initiation or threat of any proceeding for any such purpose, and in the event of the issuance of any order suspending such qualification, registration or exemption, the Company shall use every reasonable effort to obtain the withdrawal thereof at the earliest possible moment.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Use of Proceeds. </w:t>
      </w:r>
      <w:r>
        <w:rPr>
          <w:rFonts w:ascii="Times New Roman" w:hAnsi="Times New Roman"/>
          <w:sz w:val="20"/>
        </w:rPr>
        <w:t xml:space="preserve">The Company shall apply the net proceeds from the sale of the Bonds sold by it in the manner described under the caption “Use of Proceeds” in each of the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Depositary. </w:t>
      </w:r>
      <w:r>
        <w:rPr>
          <w:rFonts w:ascii="Times New Roman" w:hAnsi="Times New Roman"/>
          <w:sz w:val="20"/>
        </w:rPr>
        <w:t xml:space="preserve">The Company will cooperate with the Underwriters and use every reasonable effort to permit the Bonds to be eligible for clearance and settlement through the facilities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Periodic Reporting Obligations. </w:t>
      </w:r>
      <w:r>
        <w:rPr>
          <w:rFonts w:ascii="Times New Roman" w:hAnsi="Times New Roman"/>
          <w:sz w:val="20"/>
        </w:rPr>
        <w:t xml:space="preserve">During the Prospectus Delivery Period and subject to Section 3(b) hereof, the Company shall file, on a timely basis, with the Commission all reports and documents required to be filed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Agreement Not to Offer or Sell Additional Securities. </w:t>
      </w:r>
      <w:r>
        <w:rPr>
          <w:rFonts w:ascii="Times New Roman" w:hAnsi="Times New Roman"/>
          <w:sz w:val="20"/>
        </w:rPr>
        <w:t xml:space="preserve">During the period commencing on the date hereof and ending on the Closing Date, the Company will not, without the prior written consent of the Representatives (which consent may be withheld at the sole discretion of the Representatives), directly or indirectly, sell, offer, contract or grant any option to sell, transfer or establish an open “put equivalent position” within the meaning of Rule 16a-1(h) of the Exchange Act, or otherwise dispose of or transfer, or announce the offering of, or file any registration statement under the Securities Act in respect of, any debt securities of the Company similar to the Bonds or securities exchangeable for or convertible into debt securities similar to the Bonds, other than as contemplated by this Agreement with respect to the Bonds.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Final Term Sheet</w:t>
      </w:r>
      <w:r>
        <w:rPr>
          <w:rFonts w:ascii="Times New Roman" w:hAnsi="Times New Roman"/>
          <w:sz w:val="20"/>
        </w:rPr>
        <w:t>. The Company will prepare a final term sheet containing only a description of the Bonds, in substantially the form previously agreed to by the Company and the Representatives, and will file such term sheet pursuant to Rule 433(d) within the time required by Rule 433 (the “</w:t>
      </w:r>
      <w:r>
        <w:rPr>
          <w:rFonts w:ascii="Times New Roman" w:hAnsi="Times New Roman"/>
          <w:b/>
          <w:sz w:val="20"/>
        </w:rPr>
        <w:t>Final Term Sheet</w:t>
      </w:r>
      <w:r>
        <w:rPr>
          <w:rFonts w:ascii="Times New Roman" w:hAnsi="Times New Roman"/>
          <w:sz w:val="20"/>
        </w:rPr>
        <w:t xml:space="preserve">”). The Final Term Sheet is an Issuer Free Writing Prospectus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Permitted Free Writing Prospectuses</w:t>
      </w:r>
      <w:r>
        <w:rPr>
          <w:rFonts w:ascii="Times New Roman" w:hAnsi="Times New Roman"/>
          <w:sz w:val="20"/>
        </w:rPr>
        <w:t>. The Company represents that it has not made, and agrees that, unless it obtains the prior written consent of the Representatives, and each Underwriter, severally and not jointly, represents that it has not made, and agrees with the Company that, unless it obtains the prior written consent of the Company, it will not make, any offer relating to the Bonds that would constitute an “issuer free writing prospectus” or that would otherwise constitute a “free writing prospectus” (as such terms are defined in Rule 405) required to be filed by the Company with the Commission or retained by the Company under Rule 433; provided that the prior written consent of the Representatives shall be deemed to have been given in respect of the Issuer General Use Free Writing Prospectuses and the Issuer Limited Use Free Writing Prospectuses identified in Annex I hereto. Any such free writing prospectus consented to by the Representatives is hereinafter referred to as a “</w:t>
      </w:r>
      <w:r>
        <w:rPr>
          <w:rFonts w:ascii="Times New Roman" w:hAnsi="Times New Roman"/>
          <w:b/>
          <w:sz w:val="20"/>
        </w:rPr>
        <w:t>Permitted Free Writing Prospectus</w:t>
      </w:r>
      <w:r>
        <w:rPr>
          <w:rFonts w:ascii="Times New Roman" w:hAnsi="Times New Roman"/>
          <w:sz w:val="20"/>
        </w:rPr>
        <w:t xml:space="preserve">.” The Company agrees that it has (i) treated and will treat, as the case may be, each Permitted Free Writing Prospectus as an Issuer Free Writing Prospectus and (ii) complied and will comply, as the case may be, with the requirements of Rules 164 and 433 of the Securities Act applicable to any Permitted Free Writing Prospectus, including in respect of timely filing with the Commission, legending and record keeping.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i/>
          <w:sz w:val="20"/>
        </w:rPr>
        <w:t>Notice of Inability to Use Automatic Shelf Registration Statement Form.</w:t>
      </w:r>
      <w:r>
        <w:rPr>
          <w:rFonts w:ascii="Times New Roman" w:hAnsi="Times New Roman"/>
          <w:sz w:val="20"/>
        </w:rPr>
        <w:t xml:space="preserve"> If at any time during the Prospectus Delivery Period the Company receives from the Commission a notice pursuant to Rule 401(g)(2) or otherwise ceases to be eligible to use the automatic shelf registration statement form, the Company will (i) promptly notify the Representatives, (ii) promptly file a new registration statement or post-effective amendment on the proper form relating to the Bonds, in a form satisfactory to the Representatives, (iii) use its best efforts to cause such registration statement or post-effective amendment to be declared effective and (iv) promptly notify the Representatives of such effectiveness. The Company will take all other action necessary or appropriate to permit the public offering and sale of the Bonds to continue as contemplated in the registration statement that was the subject of the Rule 401(g)(2) notice or for which the Company has otherwise become ineligible. References herein to the Registration Statement shall include such new registration statement or post-effective amendment,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i/>
          <w:sz w:val="20"/>
        </w:rPr>
        <w:t>Registration Statement Renewal Deadline.</w:t>
      </w:r>
      <w:r>
        <w:rPr>
          <w:rFonts w:ascii="Times New Roman" w:hAnsi="Times New Roman"/>
          <w:sz w:val="20"/>
        </w:rPr>
        <w:t xml:space="preserve"> If immediately prior to the third anniversary (the “</w:t>
      </w:r>
      <w:r>
        <w:rPr>
          <w:rFonts w:ascii="Times New Roman" w:hAnsi="Times New Roman"/>
          <w:b/>
          <w:sz w:val="20"/>
        </w:rPr>
        <w:t>Renewal Deadline</w:t>
      </w:r>
      <w:r>
        <w:rPr>
          <w:rFonts w:ascii="Times New Roman" w:hAnsi="Times New Roman"/>
          <w:sz w:val="20"/>
        </w:rPr>
        <w:t xml:space="preserve">”) of the initial effective date of the Registration Statement, any of the Bonds remain unsold by the Underwriters, the Company will prior to the Renewal Deadline file, if it has not already done so and is eligible to do so, a new automatic shelf registration statement relating to the Bonds, in a form satisfactory to the Representatives. If the Company is no longer eligible to file an automatic shelf registration statement, the Company will prior to the Renewal Deadline, if it has not already done so, file a new shelf registration statement relating to the Bonds, in a form satisfactory to the Representatives, and will use its best efforts to cause such registration statement to be declared effective within 60 days after the Renewal Deadline. The Company will take all other action necessary or appropriate to permit the public offering and sale of the Bonds to continue as contemplated in the expired registration statement relating to the Bonds. References herein to the Registration Statement shall include such new automatic shelf registration statement or such new shelf registration statement,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i/>
          <w:sz w:val="20"/>
        </w:rPr>
        <w:t>Filing Fees</w:t>
      </w:r>
      <w:r>
        <w:rPr>
          <w:rFonts w:ascii="Times New Roman" w:hAnsi="Times New Roman"/>
          <w:sz w:val="20"/>
        </w:rPr>
        <w:t xml:space="preserve">. The Company agrees to pay the required Commission filing fees relating to the Bonds within the time required by Rule 456(b)(1) of the Securities Act without regard to the proviso therein and otherwise in accordance with Rules 456(b) and 457(r)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i/>
          <w:sz w:val="20"/>
        </w:rPr>
        <w:t xml:space="preserve">No Manipulation of Price. </w:t>
      </w:r>
      <w:r>
        <w:rPr>
          <w:rFonts w:ascii="Times New Roman" w:hAnsi="Times New Roman"/>
          <w:sz w:val="20"/>
        </w:rPr>
        <w:t xml:space="preserve">The Company will not take, directly or indirectly, any action designed to cause or result in, or that has constituted or might reasonably be expected to constitute, under the Exchange Act or otherwise, the stabilization or manipulation of the price of any securities of the Company to facilitate the sale or resale of the Bonds.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i/>
          <w:sz w:val="20"/>
        </w:rPr>
        <w:t>Earning Statement</w:t>
      </w:r>
      <w:r>
        <w:rPr>
          <w:rFonts w:ascii="Times New Roman" w:hAnsi="Times New Roman"/>
          <w:sz w:val="20"/>
        </w:rPr>
        <w:t xml:space="preserve">. The Company will make generally available to the Company’s security holders and to the Representatives as soon as practicable an earning statement covering a period of at least twelve months beginning with the first fiscal quarter of the Company occurring after the date of this Agreement that will satisfy the provisions of Section 11(a)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Representatives, on behalf of the several Underwriters, may, in their sole discretion, waive in writing the performance by the Company of any one or more of the foregoing covenants or extend the time for their performance.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sz w:val="20"/>
          <w:u w:val="single"/>
        </w:rPr>
        <w:t>Payment of Expenses</w:t>
      </w:r>
      <w:r>
        <w:rPr>
          <w:rFonts w:ascii="Times New Roman" w:hAnsi="Times New Roman"/>
          <w:i/>
          <w:sz w:val="20"/>
        </w:rPr>
        <w:t xml:space="preserve">. </w:t>
      </w:r>
      <w:r>
        <w:rPr>
          <w:rFonts w:ascii="Times New Roman" w:hAnsi="Times New Roman"/>
          <w:sz w:val="20"/>
        </w:rPr>
        <w:t xml:space="preserve">The Company agrees to pay all costs, fees and expenses incurred in connection with the performance of its obligations hereunder and in connection with the transactions contemplated hereby, including (i) all expenses incident to the issuance and delivery of the Bonds (including all printing and engraving costs), (ii) all necessary issue, transfer and other stamp taxes in connection with the issuance and sale of the Bonds to the Underwriters, (iii) all fees and expenses of the Company’s counsel, independent public or certified public accountants and other advisors to the Company, (iv) all costs and expenses incurred in connection with the preparation, printing, filing, shipping and distribution of the Registration Statement (including financial statements, exhibits, schedules, consents and certificates of experts), each Issuer Free Writing Prospectus, each Preliminary Prospectus and the Prospectus, and all amendments and supplements thereto, and this Agreement, the Mortgage Indenture, the DTC Agreement and the Bonds, (v) all filing fees, reasonable attorneys’ fees and expenses incurred by the Company or the Underwriters in connection with qualifying or registering (or obtaining exemptions from the qualification or registration of) all or any part of the Bonds for offer and sale under the state securities or blue sky laws, and, if requested by the Representatives, preparing a “Blue Sky Survey” or memorandum, and any supplements thereto, advising the Underwriters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such qualifications, registrations and exemptions, (vi) the filing fees incident to, and the reasonable fees and disbursements of counsel to the Underwriters in connection with, the review, if any, by the Financial Industry Regulatory Authority, Inc. (“</w:t>
      </w:r>
      <w:r>
        <w:rPr>
          <w:rFonts w:ascii="Times New Roman" w:hAnsi="Times New Roman"/>
          <w:b/>
          <w:sz w:val="20"/>
        </w:rPr>
        <w:t>FINRA</w:t>
      </w:r>
      <w:r>
        <w:rPr>
          <w:rFonts w:ascii="Times New Roman" w:hAnsi="Times New Roman"/>
          <w:sz w:val="20"/>
        </w:rPr>
        <w:t xml:space="preserve">”) of the terms of the sale of the Bonds, (vii) the fees and expenses of the Trustee, including the reasonable fees and disbursements of counsel for the Trustee in connection with the Mortgage Indenture and the Bonds, (viii) any fees payable in connection with the rating of the Bonds with the ratings agencies, (ix) all fees and expenses (including reasonable fees and expenses of counsel) of the Company in connection with approval of the Bonds by the Depositary for “book-entry” transfer, (x) all other applicable fees, costs and expenses referred to in Item 14 of Part II of the Registration Statement, (xi) all reasonable out-of-pocket expenses incurred by the Representatives with respect to any road show, including expenses relating to slide production, internet road show taping and travel, and (xii) all other fees, costs and expenses incurred in connection with the performance of its obligations hereunder for which provision is not otherwise made in this Section 4. Except as provided in this Section 4, Section 6, Section 7 and Section 8 hereof, the Underwriters shall pay their own expenses, including the fees and disbursements of their counsel.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sz w:val="20"/>
          <w:u w:val="single"/>
        </w:rPr>
        <w:t>Conditions of the Obligations of the Underwriters</w:t>
      </w:r>
      <w:r>
        <w:rPr>
          <w:rFonts w:ascii="Times New Roman" w:hAnsi="Times New Roman"/>
          <w:sz w:val="20"/>
        </w:rPr>
        <w:t xml:space="preserve">. The obligations of the several Underwriters to purchase and pay for the Bonds as provided herein on the Closing Date shall be subject to the accuracy of the representations and warranties on the part of the Company set forth in Section 1 hereof as of each Representation Date as though then made and to the timely performance by the Company of its covenants and other obligations hereunder, and to each of the following additional conditions: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Effectiveness of Registration Statement</w:t>
      </w:r>
      <w:r>
        <w:rPr>
          <w:rFonts w:ascii="Times New Roman" w:hAnsi="Times New Roman"/>
          <w:sz w:val="20"/>
        </w:rPr>
        <w:t xml:space="preserve">. The Registration Statement shall remain effective under the Securities Act and no stop order suspending the effectiveness of the Registration Statement shall have been issued under the Securities Act and no proceedings for that purpose shall have been instituted or be pending or threatened by the Commission, any request on the part of the Commission for additional information shall have been complied with to the reasonable satisfaction of counsel to the Underwriters and the Company shall not have received from the Commission any notice pursuant to Rule 401(g)(2) objecting to use of the automatic shelf registration statement form.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Filings under Rule 424(b) and Rule 433. </w:t>
      </w:r>
      <w:r>
        <w:rPr>
          <w:rFonts w:ascii="Times New Roman" w:hAnsi="Times New Roman"/>
          <w:sz w:val="20"/>
        </w:rPr>
        <w:t xml:space="preserve">For the period from the Execution Time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filed any Preliminary Prospectus not previously filed and the Prospectus with the Commission (including the information required by Rule 430B) in the manner and within the time period required by Rule 424(b) (or the Company shall have filed a post-effective amendment to the Registration Statement containing the information required by Rule 430B, and such post-effective amendment shall have become effective); and </w:t>
      </w:r>
    </w:p>
    <w:p>
      <w:pPr>
        <w:pStyle w:val="TextBody"/>
        <w:bidi w:val="0"/>
        <w:spacing w:before="120" w:after="0"/>
        <w:jc w:val="left"/>
        <w:rPr>
          <w:rFonts w:ascii="Times New Roman" w:hAnsi="Times New Roman"/>
          <w:sz w:val="20"/>
        </w:rPr>
      </w:pPr>
      <w:r>
        <w:rPr>
          <w:rFonts w:ascii="Times New Roman" w:hAnsi="Times New Roman"/>
          <w:sz w:val="20"/>
        </w:rPr>
        <w:t xml:space="preserve">(ii) the Final Term Sheet and any other material required to be filed by the Company pursuant to Rule 433(d) shall have been filed with the Commission within the applicable time periods prescribed for such filings under Rule 433.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Accountants</w:t>
      </w:r>
      <w:r>
        <w:rPr>
          <w:rFonts w:ascii="Times New Roman" w:hAnsi="Times New Roman"/>
          <w:sz w:val="20"/>
        </w:rPr>
        <w:t xml:space="preserve">’ </w:t>
      </w:r>
      <w:r>
        <w:rPr>
          <w:rFonts w:ascii="Times New Roman" w:hAnsi="Times New Roman"/>
          <w:i/>
          <w:sz w:val="20"/>
        </w:rPr>
        <w:t xml:space="preserve">Comfort Letter. </w:t>
      </w:r>
      <w:r>
        <w:rPr>
          <w:rFonts w:ascii="Times New Roman" w:hAnsi="Times New Roman"/>
          <w:sz w:val="20"/>
        </w:rPr>
        <w:t xml:space="preserve">On the date hereof, the Representatives shall have received from Deloitte &amp; Touche LLP, independent public or certified public accountants for the Company, a letter dated the date hereof addressed to the Underwriters, in form and substance satisfactory to the Representatives with respect to the audited and any unaudited consolidated financial statements and certain financial information of the Company included or incorporated by reference in the Registration Statement, any Preliminary Prospectus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Bring-down Comfort Letter</w:t>
      </w:r>
      <w:r>
        <w:rPr>
          <w:rFonts w:ascii="Times New Roman" w:hAnsi="Times New Roman"/>
          <w:sz w:val="20"/>
        </w:rPr>
        <w:t xml:space="preserve">. On the Closing Date, the Representatives shall have received from Deloitte &amp; Touche LLP, independent public or certified public accountants for the Company, a letter dated such date, in form and substance satisfactory to the Representatives, to the effect that they reaffirm the statements made in the letter furnished by them pursuant to Section 5(c) hereof, except that the specified date referred to therein for the carrying out of procedures shall be no more than two business days prior to the Closing Date and in any case no earlier than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No Material Adverse Change or Ratings Agency Change. </w:t>
      </w:r>
      <w:r>
        <w:rPr>
          <w:rFonts w:ascii="Times New Roman" w:hAnsi="Times New Roman"/>
          <w:sz w:val="20"/>
        </w:rPr>
        <w:t xml:space="preserve">For the period from the Execution Time to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(i) in the judgment of the Representatives, there shall not have occurred any Material Adverse Change, except as reflected in or contemplated by the Disclosure Package; and </w:t>
      </w:r>
    </w:p>
    <w:p>
      <w:pPr>
        <w:pStyle w:val="TextBody"/>
        <w:bidi w:val="0"/>
        <w:spacing w:before="120" w:after="0"/>
        <w:jc w:val="left"/>
        <w:rPr>
          <w:rFonts w:ascii="Times New Roman" w:hAnsi="Times New Roman"/>
          <w:sz w:val="20"/>
        </w:rPr>
      </w:pPr>
      <w:r>
        <w:rPr>
          <w:rFonts w:ascii="Times New Roman" w:hAnsi="Times New Roman"/>
          <w:sz w:val="20"/>
        </w:rPr>
        <w:t xml:space="preserve">(ii) there shall not have occurred any downgrading, nor shall any notice have been given of any intended or potential downgrading or of any review for a possible change that does not indicate the direction of the possible change, in the rating accorded any securities of the Company by any “nationally recognized statistical rating organization” (as such term is defined in Section 3(a)(62)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Opinion of Counsel for the Company. </w:t>
      </w:r>
      <w:r>
        <w:rPr>
          <w:rFonts w:ascii="Times New Roman" w:hAnsi="Times New Roman"/>
          <w:sz w:val="20"/>
        </w:rPr>
        <w:t xml:space="preserve">On the Closing Date, the Representatives shall have received the favorable opinions of (i) Hunton Andrews Kurth LLP, counsel for the Company, dated the Closing Date, the form of which is attached as Exhibit A-1, and (ii) Heather A. Humphrey, Senior Vice President, General Counsel and Corporate Secretary of the Company, dated the Closing Date, the form of which is attached as Exhibit A-2.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Opinion of Counsel for the Underwriters. </w:t>
      </w:r>
      <w:r>
        <w:rPr>
          <w:rFonts w:ascii="Times New Roman" w:hAnsi="Times New Roman"/>
          <w:sz w:val="20"/>
        </w:rPr>
        <w:t xml:space="preserve">On the Closing Date, the Representatives shall have received the favorable opinion of Bracewell LLP, counsel for the Underwriters, dated the Closing Date, with respect to such matters as may be reasonably requested by the Underwriters.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Officers’ Certificate. </w:t>
      </w:r>
      <w:r>
        <w:rPr>
          <w:rFonts w:ascii="Times New Roman" w:hAnsi="Times New Roman"/>
          <w:sz w:val="20"/>
        </w:rPr>
        <w:t xml:space="preserve">On the Closing Date, the Representatives shall have received a written certificate executed by the Chief Executive Officer, President or a Vice President of the Company and the Chief Financial Officer, Chief Accounting Officer or Treasurer or Assistant Treasurer of the Company, dated the Closing Date, to the effect that, to the best of their knowledge after reasonable investigation: </w:t>
      </w:r>
    </w:p>
    <w:p>
      <w:pPr>
        <w:pStyle w:val="TextBody"/>
        <w:bidi w:val="0"/>
        <w:spacing w:before="120" w:after="0"/>
        <w:jc w:val="left"/>
        <w:rPr>
          <w:rFonts w:ascii="Times New Roman" w:hAnsi="Times New Roman"/>
          <w:sz w:val="20"/>
        </w:rPr>
      </w:pPr>
      <w:r>
        <w:rPr>
          <w:rFonts w:ascii="Times New Roman" w:hAnsi="Times New Roman"/>
          <w:sz w:val="20"/>
        </w:rPr>
        <w:t xml:space="preserve">(i) the Company has received no stop order suspending the effectiveness of the Registration Statement, and no proceedings for such purpose have been instituted or threatened by the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Company has not received from the Commission any notice pursuant to Rule 401(g)(2) objecting to use of the automatic shelf registration statement form; </w:t>
      </w:r>
    </w:p>
    <w:p>
      <w:pPr>
        <w:pStyle w:val="TextBody"/>
        <w:bidi w:val="0"/>
        <w:spacing w:before="120" w:after="0"/>
        <w:jc w:val="left"/>
        <w:rPr>
          <w:rFonts w:ascii="Times New Roman" w:hAnsi="Times New Roman"/>
          <w:sz w:val="20"/>
        </w:rPr>
      </w:pPr>
      <w:r>
        <w:rPr>
          <w:rFonts w:ascii="Times New Roman" w:hAnsi="Times New Roman"/>
          <w:sz w:val="20"/>
        </w:rPr>
        <w:t xml:space="preserve">(iii) for the period from the Execution Time to the Closing Date, there has not occurred any downgrading, and the Company has not received any notice of any intended or potential downgrading or of any review for a possible change that does not indicate the direction of the possible change, in the rating accorded any securities of the Company by any “nationally recognized statistical rating organization” (as such term is defined in Section 3(a)(62) of the Exchange Act); </w:t>
      </w:r>
    </w:p>
    <w:p>
      <w:pPr>
        <w:pStyle w:val="TextBody"/>
        <w:bidi w:val="0"/>
        <w:spacing w:before="120" w:after="0"/>
        <w:jc w:val="left"/>
        <w:rPr>
          <w:rFonts w:ascii="Times New Roman" w:hAnsi="Times New Roman"/>
          <w:sz w:val="20"/>
        </w:rPr>
      </w:pPr>
      <w:r>
        <w:rPr>
          <w:rFonts w:ascii="Times New Roman" w:hAnsi="Times New Roman"/>
          <w:sz w:val="20"/>
        </w:rPr>
        <w:t xml:space="preserve">(iv) for the period from the Execution Time to the Closing Date, there has not occurred any Material Adverse Change; </w:t>
      </w:r>
    </w:p>
    <w:p>
      <w:pPr>
        <w:pStyle w:val="TextBody"/>
        <w:bidi w:val="0"/>
        <w:spacing w:before="120" w:after="0"/>
        <w:jc w:val="left"/>
        <w:rPr>
          <w:rFonts w:ascii="Times New Roman" w:hAnsi="Times New Roman"/>
          <w:sz w:val="20"/>
        </w:rPr>
      </w:pPr>
      <w:r>
        <w:rPr>
          <w:rFonts w:ascii="Times New Roman" w:hAnsi="Times New Roman"/>
          <w:sz w:val="20"/>
        </w:rPr>
        <w:t xml:space="preserve">(v) the representations and warranties of the Company set forth in Section 1 hereof are true and correct with the same force and effect as though expressly made on and as of the Closing Date; and </w:t>
      </w:r>
    </w:p>
    <w:p>
      <w:pPr>
        <w:pStyle w:val="TextBody"/>
        <w:bidi w:val="0"/>
        <w:spacing w:before="120" w:after="0"/>
        <w:jc w:val="left"/>
        <w:rPr>
          <w:rFonts w:ascii="Times New Roman" w:hAnsi="Times New Roman"/>
          <w:sz w:val="20"/>
        </w:rPr>
      </w:pPr>
      <w:r>
        <w:rPr>
          <w:rFonts w:ascii="Times New Roman" w:hAnsi="Times New Roman"/>
          <w:sz w:val="20"/>
        </w:rPr>
        <w:t xml:space="preserve">(vi) the Company has complied with all the agreements hereunder and satisfied all the conditions on its part to be performed or satisfied hereunder at or prior to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Recordation of the Supplemental Indenture</w:t>
      </w:r>
      <w:r>
        <w:rPr>
          <w:rFonts w:ascii="Times New Roman" w:hAnsi="Times New Roman"/>
          <w:sz w:val="20"/>
        </w:rPr>
        <w:t xml:space="preserve">. The Company shall have caused the Supplemental Indenture to be duly recorded and filed in each place in which such recording or filing is required to establish, protect and preserve the lien of the Mortgage Indenture on the Mortgaged Property.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Additional Documents. </w:t>
      </w:r>
      <w:r>
        <w:rPr>
          <w:rFonts w:ascii="Times New Roman" w:hAnsi="Times New Roman"/>
          <w:sz w:val="20"/>
        </w:rPr>
        <w:t xml:space="preserve">On or before the Closing Date, the Representatives and counsel for the Underwriters shall have received such information, documents and opinions as they may reasonably require for the purposes of enabling such counsel to pass upon the issuance and sale of the Bonds as contemplated herein, or in order to evidence the accuracy of any of the representations and warranties, or the satisfaction of any of the conditions or agreements, herein contained. </w:t>
      </w:r>
    </w:p>
    <w:p>
      <w:pPr>
        <w:pStyle w:val="TextBody"/>
        <w:bidi w:val="0"/>
        <w:spacing w:before="240" w:after="0"/>
        <w:jc w:val="left"/>
        <w:rPr>
          <w:rFonts w:ascii="Times New Roman" w:hAnsi="Times New Roman"/>
          <w:sz w:val="20"/>
        </w:rPr>
      </w:pPr>
      <w:r>
        <w:rPr>
          <w:rFonts w:ascii="Times New Roman" w:hAnsi="Times New Roman"/>
          <w:sz w:val="20"/>
        </w:rPr>
        <w:t xml:space="preserve">If any condition specified in this Section 5 is not satisfied when and as required to be satisfied, this Agreement may be terminated by the Representatives by notice to the Company at any time on or prior to the Closing Date, which termination shall be without liability on the part of any party to any other party, except that Section 4, Section 6, Section 7, Section 8 and Section 16 hereof shall at all times be effective and shall survive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6. </w:t>
      </w:r>
      <w:r>
        <w:rPr>
          <w:rFonts w:ascii="Times New Roman" w:hAnsi="Times New Roman"/>
          <w:sz w:val="20"/>
          <w:u w:val="single"/>
        </w:rPr>
        <w:t>Reimbursement of Underwriters’ Expenses</w:t>
      </w:r>
      <w:r>
        <w:rPr>
          <w:rFonts w:ascii="Times New Roman" w:hAnsi="Times New Roman"/>
          <w:i/>
          <w:sz w:val="20"/>
        </w:rPr>
        <w:t>.</w:t>
      </w:r>
      <w:r>
        <w:rPr>
          <w:rFonts w:ascii="Times New Roman" w:hAnsi="Times New Roman"/>
          <w:sz w:val="20"/>
        </w:rPr>
        <w:t xml:space="preserve"> If this Agreement is terminated by the Representatives pursuant to Section 5, Section 10(i) or Section 10(iv) hereof, the Company agrees to reimburse the Representatives and the other Underwriters, severally, upon demand for all out-of-pocket expenses that shall have been reasonably incurred by the Representatives and the Underwriters in connection with the proposed purchase and the offering and sale of the Bonds, including fees and disbursements of counsel, printing expenses, travel expenses, postage, facsimile and telephone charges.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 </w:t>
      </w:r>
      <w:r>
        <w:rPr>
          <w:rFonts w:ascii="Times New Roman" w:hAnsi="Times New Roman"/>
          <w:sz w:val="20"/>
          <w:u w:val="single"/>
        </w:rPr>
        <w:t>Indemnification</w:t>
      </w:r>
      <w:r>
        <w:rPr>
          <w:rFonts w:ascii="Times New Roman" w:hAnsi="Times New Roman"/>
          <w:i/>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Indemnification of the Underwriters</w:t>
      </w:r>
      <w:r>
        <w:rPr>
          <w:rFonts w:ascii="Times New Roman" w:hAnsi="Times New Roman"/>
          <w:sz w:val="20"/>
        </w:rPr>
        <w:t xml:space="preserve">. The Company agrees to indemnify and hold harmless each Underwriter, its directors, officers, employees and agents, and each person, if any, who controls any Underwriter within the meaning of the Securities Act and the Exchange Act against any loss, claim, damage, liability or expense, as incurred, to which such Underwriter, director, officer, employee, agent or controlling person may become subject, insofar as such loss, claim, damage, liability or expense (or actions in respect thereof as contemplated below) arises out of or is based upon (i) any untrue statement or alleged untrue statement of a material fact contained in the Registration Statement, or any amendment or supplement thereto, including any information deemed to be a part thereof pursuant to Rule 430B, or the omission or alleged omission therefrom of a material fact required to be stated therein or necessary to make the statements therein not misleading or (ii) any untrue statement or alleged untrue statement of a material fact included in any Preliminary Prospectus, any Issuer Free Writing Prospectus or the Prospectus (or any amendment or supplement thereto), or the omission or alleged omission therefrom of a material fact necessary in order to make the statements therein, in the light of the circumstances under which they were made, not misleading; and to reimburse each Underwriter, its officers, directors, employees, agents and controlling persons for any and all expenses (including the reasonable fees and disbursements of counsel chosen by the Representatives) as such expenses are reasonably incurred by such Underwriter, officer, director, employee, agent or controlling person in connection with investigating, defending, settling, compromising or paying any such loss, claim, damage, liability, expense or action; </w:t>
      </w:r>
      <w:r>
        <w:rPr>
          <w:rFonts w:ascii="Times New Roman" w:hAnsi="Times New Roman"/>
          <w:i/>
          <w:sz w:val="20"/>
        </w:rPr>
        <w:t>provided</w:t>
      </w:r>
      <w:r>
        <w:rPr>
          <w:rFonts w:ascii="Times New Roman" w:hAnsi="Times New Roman"/>
          <w:sz w:val="20"/>
        </w:rPr>
        <w:t xml:space="preserve">,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information furnished in writing to the Company by any Underwriter through the Representatives expressly for use in the Registration Statement, any Preliminary Prospectus, any Issuer Free Writing Prospectus or the Prospectus (or any amendment or supplement thereto), it being understood and agreed that the only such information consists of the information described in Section 7(b) hereof. The indemnity agreement set forth in this Section 7(a) shall be in addition to any liabilities that the Company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of the Company, its Directors and Officers</w:t>
      </w:r>
      <w:r>
        <w:rPr>
          <w:rFonts w:ascii="Times New Roman" w:hAnsi="Times New Roman"/>
          <w:sz w:val="20"/>
        </w:rPr>
        <w:t xml:space="preserve">. Each Underwriter agrees, severally and not jointly, to indemnify and hold harmless the Company, its directors,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insofar as such loss, claim, damage, liability or expense (or actions in respect thereof as contemplated below) arises out of or is based upon (i) any untrue statement or alleged untrue statement of a material fact contained in the Registration Statement, or any amendment or supplement thereto, or the omission or alleged omission therefrom of a material fact required to be stated therein or necessary to make the statements therein not misleading or (ii) any untrue statement or alleged untrue statement of a material fact contained in any Preliminary Prospectus, any Issuer Free Writing Prospectus or the Prospectus (or any amendment or supplement thereto), or the omission or alleged omission therefrom of a material fact necessary in order to make the statements therein, in the light of the circumstances under which they were made, not misleading, in each case to the extent, and only to the extent, that such untrue statement or alleged untrue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or omission or alleged omission was made in the Registration Statement, such Preliminary Prospectus, such Issuer Free Writing Prospectus or the Prospectus (or any amendment or supplement thereto), in reliance upon and in conformity with information furnished in writing to the Company by any Underwriter through the Representatives expressly for use therein; and to reimburse the Company, such director, officer or controlling person for any and all expenses (including the reasonable fees and disbursements of counsel chosen by the Company) as such expenses are reasonably incurred by the Company, such director, officer or controlling person in connection with investigating, defending, settling, compromising or paying any such loss, claim, damage, liability, expense or action. The Company hereby acknowledges that the only information that the Underwriters have furnished to the Company in writing expressly for use in the Registration Statement, any Preliminary Prospectus, any Issuer Free Writing Prospectus or the Prospectus (or any amendment or supplement thereto) are the statements set forth in the sixth paragraph, the third sentence of the eighth paragraph and the ninth paragraph, each under the caption “Underwriting (Conflicts of Interest)” in the Prospectus. The indemnity agreement set forth in this Section 7(b) shall be in addition to any liabilities that each Underwriter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Notifications and Other Indemnification Procedures</w:t>
      </w:r>
      <w:r>
        <w:rPr>
          <w:rFonts w:ascii="Times New Roman" w:hAnsi="Times New Roman"/>
          <w:sz w:val="20"/>
        </w:rPr>
        <w:t xml:space="preserve">. Promptly after receipt by an indemnified party under this Section 7 of notice of the commencement of any action, such indemnified party will, if a claim in respect thereof is to be made against an indemnifying party under this Section 7, notify the indemnifying party in writing of the commencement thereof; but the failure to so notify the indemnifying party (i) will not relieve it from liability under Section 7(a) or 7(b) hereof unless and to the extent it did not otherwise learn of such action and such failure results in the forfeiture by the indemnifying party of substantial rights and defenses and (ii) will not, in any event, relieve the indemnifying party from any liability other than the indemnification obligation provided in Section 7(a) or 7(b) hereof.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satisfactory to such indemnified party; </w:t>
      </w:r>
      <w:r>
        <w:rPr>
          <w:rFonts w:ascii="Times New Roman" w:hAnsi="Times New Roman"/>
          <w:i/>
          <w:sz w:val="20"/>
        </w:rPr>
        <w:t>provided</w:t>
      </w:r>
      <w:r>
        <w:rPr>
          <w:rFonts w:ascii="Times New Roman" w:hAnsi="Times New Roman"/>
          <w:sz w:val="20"/>
        </w:rPr>
        <w:t xml:space="preserve">, however, such indemnified party shall have the right to employ its own counsel in any such action and to participate in the defense thereof, but the fees and expenses of such counsel shall be at the expense of such indemnified party, unless (i) the employment of such counsel has been specifically authorized by the indemnifying party, (ii) the indemnifying party has failed promptly to assume the defense and employ counsel reasonably satisfactory to the indemnified party or (iii) the named parties to any such action (including any impleaded parties) include both such indemnified party and the indemnifying party or any affiliate of the indemnifying party, and such indemnified party shall have reasonably concluded that either (x) there may be one or more legal defenses available to it that are different from or additional to those available to the indemnifying party or such affiliate of the indemnifying party or (y) a conflict may exist between such indemnified party and the indemnifying party or such affiliate of the indemnifying party (it being understood, however, that the indemnifying party shall not, in connection with any one such action or separate but substantially similar or related actions in the same jurisdiction arising out of the same general allegations or circumstances, be liable for the fees and expenses of more than one separate firm of attorneys (in addition to a single firm of local counsel) for all such indemnified parties, which firm shall be designated in writing by (i) the Representatives, in the case of indemnification pursuant to Section 7(a) hereof or (ii) the Company, in the case of indemnification pursuant to Section 7(b) hereof, and that all such reasonable fees and expenses shall be reimbursed as they are incurred).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Settlements</w:t>
      </w:r>
      <w:r>
        <w:rPr>
          <w:rFonts w:ascii="Times New Roman" w:hAnsi="Times New Roman"/>
          <w:sz w:val="20"/>
        </w:rPr>
        <w:t xml:space="preserve">. The indemnifying party under this Section 7 shall not be liable for any settlement of any proceeding effected without its written consent, but if settled with such consent or if there is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Section 7(c) hereof, the indemnifying party agrees that it shall be liable for any settlement of any proceeding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(A) includes an unconditional release of such indemnified party from all liability on claims that are the subject matter of such action, suit or proceeding and (B) does not include a statement as to or an admission of fault, culpability or a failure to act,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SECTION 8. </w:t>
      </w:r>
      <w:r>
        <w:rPr>
          <w:rFonts w:ascii="Times New Roman" w:hAnsi="Times New Roman"/>
          <w:sz w:val="20"/>
          <w:u w:val="single"/>
        </w:rPr>
        <w:t>Contribution</w:t>
      </w:r>
      <w:r>
        <w:rPr>
          <w:rFonts w:ascii="Times New Roman" w:hAnsi="Times New Roman"/>
          <w:sz w:val="20"/>
        </w:rPr>
        <w:t xml:space="preserve">. If the indemnification provided for in Section 7 hereof is for any reason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Underwriters, on the other hand, from the offering of the Bonds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hand, in connection with the statements or omissions that resulted in such losses, claims, damages, liabilities or expenses, as well as any other relevant equitable considerations. The relative benefits received by the Company, on the one hand, and the Underwriters, on the other hand, in connection with the offering of the Bonds pursuant to this Agreement shall be deemed to be in the same respective proportions as the total net proceeds from the offering of the Bonds pursuant to this Agreement (before deducting expenses) received by the Company, and the total underwriting discount received by the Underwriters, in each case as set forth on the front cover page of the Prospectus bear to the aggregate initial public offering price of the Bonds as set forth on such cover. 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on the one hand, or the Underwriters, on the other hand, and the parties’ relative intent, knowledge, access to information and opportunity to correct or prevent such statement or omission.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amount paid or payable by a party as a result of the losses, claims, damages, liabilities and expenses referred to above shall be deemed to include, subject to the limitations set forth in Section 7(c) hereof, any legal or other fees or expenses reasonably incurred by such party in connection with investigating or defending any action or claim. The provisions set forth in Section 7(c) hereof with respect to notice of commencement of any action shall apply if a claim for contribution is to be made under this Section 8; </w:t>
      </w:r>
      <w:r>
        <w:rPr>
          <w:rFonts w:ascii="Times New Roman" w:hAnsi="Times New Roman"/>
          <w:i/>
          <w:sz w:val="20"/>
        </w:rPr>
        <w:t>provided</w:t>
      </w:r>
      <w:r>
        <w:rPr>
          <w:rFonts w:ascii="Times New Roman" w:hAnsi="Times New Roman"/>
          <w:sz w:val="20"/>
        </w:rPr>
        <w:t xml:space="preserve">, however, that no additional notice shall be required with respect to any action for which notice has been given under Section 7(c) hereof for purposes of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the Underwriters agree that it would not be just and equitable if contribution pursuant to this Section 8 were determined by pro rata allocation (even if the Underwriters were treated as one entity for such purpose) or by any other method of allocation that does not take account of the equitable considerations referred to in this Section 8.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this Section 8, no Underwriter shall be required to contribute any amount in excess of the underwriting discount received by such Underwriter in connection with the Bonds underwritten by it and distributed to the public. No person guilty of fraudulent misrepresentation (within the meaning of Section 11(f) of the Securities Act) shall be entitled to contribution from any person who was not guilty of such fraudulent misrepresentation. The Underwriters’ obligations to contribute pursuant to this Section 8 are several, and not joint, in proportion to their respective underwriting commitments as set forth opposite their names in Schedule A hereto. For purposes of this Section 8, each director, officer, employee and agent of an Underwriter and each person, if any, who controls an Underwriter within the meaning of the Securities Act and the Exchange Act shall have the same rights to contribution as such Underwriter, and each director of the Company, each officer of the Company who signed the Registration Statement and each person, if any, who controls the Company within the meaning of the Securities Act and the Exchange Act shall have the same rights to contribution as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sz w:val="20"/>
          <w:u w:val="single"/>
        </w:rPr>
        <w:t>Default of One or More of the Several Underwriters</w:t>
      </w:r>
      <w:r>
        <w:rPr>
          <w:rFonts w:ascii="Times New Roman" w:hAnsi="Times New Roman"/>
          <w:i/>
          <w:sz w:val="20"/>
        </w:rPr>
        <w:t xml:space="preserve">. </w:t>
      </w:r>
      <w:r>
        <w:rPr>
          <w:rFonts w:ascii="Times New Roman" w:hAnsi="Times New Roman"/>
          <w:sz w:val="20"/>
        </w:rPr>
        <w:t>If, on the Closing Date, any one or more of the several Underwriters shall fail or refuse to purchase Bonds that it or they have agreed to purchase hereunder on such date (the “</w:t>
      </w:r>
      <w:r>
        <w:rPr>
          <w:rFonts w:ascii="Times New Roman" w:hAnsi="Times New Roman"/>
          <w:b/>
          <w:sz w:val="20"/>
        </w:rPr>
        <w:t>Defaulted Securities</w:t>
      </w:r>
      <w:r>
        <w:rPr>
          <w:rFonts w:ascii="Times New Roman" w:hAnsi="Times New Roman"/>
          <w:sz w:val="20"/>
        </w:rPr>
        <w:t xml:space="preserve">”), then the Representatives shall have the right, within 36 hours thereafter, to make arrangements for one or more of the non-defaulting Underwriters, or any other underwriters, to purchase all, but not less than all, of the aggregate principal amount of the Defaulted Securities in such amounts as may be agreed upon and upon the terms herein set forth. </w:t>
      </w:r>
    </w:p>
    <w:p>
      <w:pPr>
        <w:pStyle w:val="TextBody"/>
        <w:bidi w:val="0"/>
        <w:spacing w:before="240" w:after="0"/>
        <w:jc w:val="left"/>
        <w:rPr>
          <w:rFonts w:ascii="Times New Roman" w:hAnsi="Times New Roman"/>
          <w:sz w:val="20"/>
        </w:rPr>
      </w:pPr>
      <w:r>
        <w:rPr>
          <w:rFonts w:ascii="Times New Roman" w:hAnsi="Times New Roman"/>
          <w:sz w:val="20"/>
        </w:rPr>
        <w:t xml:space="preserve">If, however, the Underwriters shall not have completed such arrangements within such 36-hour period, and if the aggregate principal amount of the Defaulted Securities does not exceed 10% of the aggregate principal amount of Bonds to be purchased on such date, the non-defaulting Underwriters shall be obligated, severally, in the proportion to the aggregate principal amount of the Bonds set forth opposite their respective names on Schedule A hereto bears to the aggregate principal amount of such Bonds set forth opposite the names of all such non-defaulting Underwriters, or in such other proportions as may be specified by the Representatives with the consent of the non-defaulting Underwriters, to purchase such Bonds that such defaulting Underwriter or Underwriters agreed but failed or refused to purchase on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on the Closing Date, any one or more of the Underwriters shall fail or refuse to purchase such Bonds and the aggregate principal amount of such Bonds with respect to which such default occurs exceeds 10% of the aggregate principal amount of Bonds to be purchased on such date, and arrangements satisfactory to the Representatives and the Company for the purchase of such Bonds are not made within 48 hours after such default, this Agreement shall terminate without liability of any party to any other party except that the provisions of Section 4, Section 7, Section 8 and Section 16 hereof shall at all times be effective and shall survive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In any such case, either the Representatives or the Company shall have the right to postpone the Closing Date, but in no event for longer than seven days in order that the required changes, if any, to the Registration Statement, each Issuer Free Writing Prospectus, each Preliminary Prospectus or the Prospectus or any other documents or arrangements may be effected. </w:t>
      </w:r>
    </w:p>
    <w:p>
      <w:pPr>
        <w:pStyle w:val="TextBody"/>
        <w:bidi w:val="0"/>
        <w:spacing w:before="240" w:after="0"/>
        <w:jc w:val="left"/>
        <w:rPr>
          <w:rFonts w:ascii="Times New Roman" w:hAnsi="Times New Roman"/>
          <w:sz w:val="20"/>
        </w:rPr>
      </w:pPr>
      <w:r>
        <w:rPr>
          <w:rFonts w:ascii="Times New Roman" w:hAnsi="Times New Roman"/>
          <w:sz w:val="20"/>
        </w:rPr>
        <w:t>As used in this Agreement, the term “</w:t>
      </w:r>
      <w:r>
        <w:rPr>
          <w:rFonts w:ascii="Times New Roman" w:hAnsi="Times New Roman"/>
          <w:b/>
          <w:sz w:val="20"/>
        </w:rPr>
        <w:t>Underwriter</w:t>
      </w:r>
      <w:r>
        <w:rPr>
          <w:rFonts w:ascii="Times New Roman" w:hAnsi="Times New Roman"/>
          <w:sz w:val="20"/>
        </w:rPr>
        <w:t xml:space="preserve">” shall be deemed to include any person substituted for a defaulting Underwriter under this Section 9. Any action taken under this Section 9 shall not relieve any defaulting Underwriter from liability in respect of any default of such Underwriter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sz w:val="20"/>
          <w:u w:val="single"/>
        </w:rPr>
        <w:t>Termination of this Agreement</w:t>
      </w:r>
      <w:r>
        <w:rPr>
          <w:rFonts w:ascii="Times New Roman" w:hAnsi="Times New Roman"/>
          <w:i/>
          <w:sz w:val="20"/>
        </w:rPr>
        <w:t xml:space="preserve">. </w:t>
      </w:r>
      <w:r>
        <w:rPr>
          <w:rFonts w:ascii="Times New Roman" w:hAnsi="Times New Roman"/>
          <w:sz w:val="20"/>
        </w:rPr>
        <w:t xml:space="preserve">Prior to the Closing Date, this Agreement may be terminated by the Representatives by notice given to the Company if at any time: (i) trading or quotation in any of the Company’s securities shall have been suspended or materially limited by the New York Stock Exchange or the Commission, or trading in securities generally on the NASDAQ Global Market or the New York Stock Exchange shall have been suspended or materially limited, or minimum or maximum prices shall have been generally established on either of such stock exchanges by the Commission or FINRA; (ii) a general banking moratorium shall have been declared by any federal or New York authorities; (iii) there shall have occurred any outbreak or escalation of national or international hostilities or any crisis or calamity, or any material adverse change in the United States or international financial markets, or any change or development involving a prospective substantial change in United States’ or international political, financial or economic conditions, as in the judgment of the Representatives makes it impracticable or inadvisable to proceed with the offering, sale or delivery of the Bonds in the manner and on the terms described in the Disclosure Package or the Prospectus or to enforce contracts for the sale of securities; (iv) in the judgment of the Representatives, there shall have occurred any Material Adverse Change; or (v) there shall have occurred a material disruption in commercial banking or securities settlement or clearance services in the United States. Any termination pursuant to this Section 10 shall be without liability on the part of (A) the Company to any Underwriter, except that the Company shall be obligated to reimburse the expenses of the Representatives and the Underwriters pursuant to Section 4 and Section 6 hereof, (B) any Underwriter to the Company or (C) any party hereto to any other party except that the provisions of Section 7, Section 8 and Section 16 hereof shall at all times be effective and shall survive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No Fiduciary Duty; No Advisory or Fiduciary Responsibility</w:t>
      </w:r>
      <w:r>
        <w:rPr>
          <w:rFonts w:ascii="Times New Roman" w:hAnsi="Times New Roman"/>
          <w:i/>
          <w:sz w:val="20"/>
        </w:rPr>
        <w:t>.</w:t>
      </w:r>
      <w:r>
        <w:rPr>
          <w:rFonts w:ascii="Times New Roman" w:hAnsi="Times New Roman"/>
          <w:sz w:val="20"/>
        </w:rPr>
        <w:t xml:space="preserve"> The Company acknowledges and agrees that: (i) the purchase and sale of the Bonds pursuant to this Agreement, including the determination of the public offering price of the Bonds and any related discounts and commissions, is an arm’s-length commercial transaction between the Company, on the one hand, and the several Underwriters, on the other hand; (ii) in connection with the offering contemplated hereby and the process leading to such transaction each Underwriter is and has been acting solely as a principal and is not the financial advisor, agent or fiduciary of the Company or its affiliates, stockholders, creditors or employees or any other party; (iii) no Underwriter has assumed or will assume an advisory, agency or fiduciary responsibility in favor of the Company with respect to the offering contemplated hereby or the process leading thereto (irrespective of whether such Underwriter has advised or is currently advising the Company on other matters) and no Underwriter has any obligation to the Company with respect to the offering contemplated hereby except the obligations expressly set forth in this Agreement; (iv) the several Underwriters and their respective affiliates may be engaged in a broad range of transactions that involve interests that differ from those of the Company; and (v) the Underwriters have not provided any legal, accounting, regulatory or tax advice with respect to the offering contemplated hereby and the Company has consulted its own legal, accounting, regulatory and tax advisors to the extent it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waives and releases, to the fullest extent permitted by law, any claims that the Company may have against the several Underwriters with respect to any breach or alleged breach of agency or fiduciary duty.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sz w:val="20"/>
          <w:u w:val="single"/>
        </w:rPr>
        <w:t>Representations and Indemnities to Survive Delivery</w:t>
      </w:r>
      <w:r>
        <w:rPr>
          <w:rFonts w:ascii="Times New Roman" w:hAnsi="Times New Roman"/>
          <w:i/>
          <w:sz w:val="20"/>
        </w:rPr>
        <w:t xml:space="preserve">. </w:t>
      </w:r>
      <w:r>
        <w:rPr>
          <w:rFonts w:ascii="Times New Roman" w:hAnsi="Times New Roman"/>
          <w:sz w:val="20"/>
        </w:rPr>
        <w:t xml:space="preserve">The respective indemnities, agreements, representations, warranties and other statements of the Company, of its officers and of the several Underwriters set forth in or made pursuant to this Agreement (i) will remain operative and in full force and effect, regardless of (A) any investigation, or statement as to the results thereof, made by or on behalf of any Underwriter or the Company or any of the officers, directors, employees, agents or controlling persons referred to in Section 7(a) or Section 7(b) hereof, as the case may be or (B) acceptance of the Bonds and payment for them hereunder and (ii) will survive delivery of and payment for the Bonds sold hereunder and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13. </w:t>
      </w:r>
      <w:r>
        <w:rPr>
          <w:rFonts w:ascii="Times New Roman" w:hAnsi="Times New Roman"/>
          <w:sz w:val="20"/>
          <w:u w:val="single"/>
        </w:rPr>
        <w:t>Notices</w:t>
      </w:r>
      <w:r>
        <w:rPr>
          <w:rFonts w:ascii="Times New Roman" w:hAnsi="Times New Roman"/>
          <w:i/>
          <w:sz w:val="20"/>
        </w:rPr>
        <w:t xml:space="preserve">. </w:t>
      </w:r>
      <w:r>
        <w:rPr>
          <w:rFonts w:ascii="Times New Roman" w:hAnsi="Times New Roman"/>
          <w:sz w:val="20"/>
        </w:rPr>
        <w:t xml:space="preserve">All communications hereunder shall be in writing and shall be delivered by mail, hand or electronic means as follows: </w:t>
      </w:r>
    </w:p>
    <w:p>
      <w:pPr>
        <w:pStyle w:val="TextBody"/>
        <w:bidi w:val="0"/>
        <w:spacing w:before="240" w:after="0"/>
        <w:jc w:val="left"/>
        <w:rPr>
          <w:rFonts w:ascii="Times New Roman" w:hAnsi="Times New Roman"/>
          <w:sz w:val="20"/>
        </w:rPr>
      </w:pPr>
      <w:r>
        <w:rPr>
          <w:rFonts w:ascii="Times New Roman" w:hAnsi="Times New Roman"/>
          <w:sz w:val="20"/>
        </w:rPr>
        <w:t xml:space="preserve">If to the Representatives: </w:t>
      </w:r>
    </w:p>
    <w:p>
      <w:pPr>
        <w:pStyle w:val="TextBody"/>
        <w:bidi w:val="0"/>
        <w:spacing w:before="120" w:after="0"/>
        <w:jc w:val="left"/>
        <w:rPr>
          <w:rFonts w:ascii="Times New Roman" w:hAnsi="Times New Roman"/>
          <w:sz w:val="20"/>
        </w:rPr>
      </w:pPr>
      <w:r>
        <w:rPr>
          <w:rFonts w:ascii="Times New Roman" w:hAnsi="Times New Roman"/>
          <w:sz w:val="20"/>
        </w:rPr>
        <w:t xml:space="preserve">Barclays Capital Inc. </w:t>
      </w:r>
    </w:p>
    <w:p>
      <w:pPr>
        <w:pStyle w:val="TextBody"/>
        <w:bidi w:val="0"/>
        <w:spacing w:before="0" w:after="0"/>
        <w:jc w:val="left"/>
        <w:rPr>
          <w:rFonts w:ascii="Times New Roman" w:hAnsi="Times New Roman"/>
          <w:sz w:val="20"/>
        </w:rPr>
      </w:pPr>
      <w:r>
        <w:rPr>
          <w:rFonts w:ascii="Times New Roman" w:hAnsi="Times New Roman"/>
          <w:sz w:val="20"/>
        </w:rPr>
        <w:t xml:space="preserve">745 Seventh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10019 </w:t>
      </w:r>
    </w:p>
    <w:p>
      <w:pPr>
        <w:pStyle w:val="TextBody"/>
        <w:bidi w:val="0"/>
        <w:spacing w:before="0" w:after="0"/>
        <w:jc w:val="left"/>
        <w:rPr>
          <w:rFonts w:ascii="Times New Roman" w:hAnsi="Times New Roman"/>
          <w:sz w:val="20"/>
        </w:rPr>
      </w:pPr>
      <w:r>
        <w:rPr>
          <w:rFonts w:ascii="Times New Roman" w:hAnsi="Times New Roman"/>
          <w:sz w:val="20"/>
        </w:rPr>
        <w:t xml:space="preserve">Facsimile: (646) 834-8133 </w:t>
      </w:r>
    </w:p>
    <w:p>
      <w:pPr>
        <w:pStyle w:val="TextBody"/>
        <w:bidi w:val="0"/>
        <w:spacing w:before="0" w:after="0"/>
        <w:jc w:val="left"/>
        <w:rPr>
          <w:rFonts w:ascii="Times New Roman" w:hAnsi="Times New Roman"/>
          <w:sz w:val="20"/>
        </w:rPr>
      </w:pPr>
      <w:r>
        <w:rPr>
          <w:rFonts w:ascii="Times New Roman" w:hAnsi="Times New Roman"/>
          <w:sz w:val="20"/>
        </w:rPr>
        <w:t xml:space="preserve">Attention: Syndicate Registration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BNY Mellon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240 Greenwich Street, 3W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10286 </w:t>
      </w:r>
    </w:p>
    <w:p>
      <w:pPr>
        <w:pStyle w:val="TextBody"/>
        <w:bidi w:val="0"/>
        <w:spacing w:before="0" w:after="0"/>
        <w:jc w:val="left"/>
        <w:rPr>
          <w:rFonts w:ascii="Times New Roman" w:hAnsi="Times New Roman"/>
          <w:sz w:val="20"/>
        </w:rPr>
      </w:pPr>
      <w:r>
        <w:rPr>
          <w:rFonts w:ascii="Times New Roman" w:hAnsi="Times New Roman"/>
          <w:sz w:val="20"/>
        </w:rPr>
        <w:t xml:space="preserve">Facsimile: (212) 815-5192 </w:t>
      </w:r>
    </w:p>
    <w:p>
      <w:pPr>
        <w:pStyle w:val="TextBody"/>
        <w:bidi w:val="0"/>
        <w:spacing w:before="0" w:after="0"/>
        <w:jc w:val="left"/>
        <w:rPr>
          <w:rFonts w:ascii="Times New Roman" w:hAnsi="Times New Roman"/>
          <w:sz w:val="20"/>
        </w:rPr>
      </w:pPr>
      <w:r>
        <w:rPr>
          <w:rFonts w:ascii="Times New Roman" w:hAnsi="Times New Roman"/>
          <w:sz w:val="20"/>
        </w:rPr>
        <w:t xml:space="preserve">Attention: Debt Capital Markets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200 West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10282 </w:t>
      </w:r>
    </w:p>
    <w:p>
      <w:pPr>
        <w:pStyle w:val="TextBody"/>
        <w:bidi w:val="0"/>
        <w:spacing w:before="0" w:after="0"/>
        <w:jc w:val="left"/>
        <w:rPr>
          <w:rFonts w:ascii="Times New Roman" w:hAnsi="Times New Roman"/>
          <w:sz w:val="20"/>
        </w:rPr>
      </w:pPr>
      <w:r>
        <w:rPr>
          <w:rFonts w:ascii="Times New Roman" w:hAnsi="Times New Roman"/>
          <w:sz w:val="20"/>
        </w:rPr>
        <w:t xml:space="preserve">Facsimile: (212) 902-9316 </w:t>
      </w:r>
    </w:p>
    <w:p>
      <w:pPr>
        <w:pStyle w:val="TextBody"/>
        <w:bidi w:val="0"/>
        <w:spacing w:before="0" w:after="0"/>
        <w:jc w:val="left"/>
        <w:rPr>
          <w:rFonts w:ascii="Times New Roman" w:hAnsi="Times New Roman"/>
          <w:sz w:val="20"/>
        </w:rPr>
      </w:pPr>
      <w:r>
        <w:rPr>
          <w:rFonts w:ascii="Times New Roman" w:hAnsi="Times New Roman"/>
          <w:sz w:val="20"/>
        </w:rPr>
        <w:t xml:space="preserve">Attention: Registration Department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U.S. Bancorp Investments, Inc. </w:t>
      </w:r>
    </w:p>
    <w:p>
      <w:pPr>
        <w:pStyle w:val="TextBody"/>
        <w:bidi w:val="0"/>
        <w:spacing w:before="0" w:after="0"/>
        <w:jc w:val="left"/>
        <w:rPr>
          <w:rFonts w:ascii="Times New Roman" w:hAnsi="Times New Roman"/>
          <w:sz w:val="20"/>
        </w:rPr>
      </w:pPr>
      <w:r>
        <w:rPr>
          <w:rFonts w:ascii="Times New Roman" w:hAnsi="Times New Roman"/>
          <w:sz w:val="20"/>
        </w:rPr>
        <w:t xml:space="preserve">214 North Tryon Street, 26th Floor </w:t>
      </w:r>
    </w:p>
    <w:p>
      <w:pPr>
        <w:pStyle w:val="TextBody"/>
        <w:bidi w:val="0"/>
        <w:spacing w:before="0" w:after="0"/>
        <w:jc w:val="left"/>
        <w:rPr>
          <w:rFonts w:ascii="Times New Roman" w:hAnsi="Times New Roman"/>
          <w:sz w:val="20"/>
        </w:rPr>
      </w:pPr>
      <w:r>
        <w:rPr>
          <w:rFonts w:ascii="Times New Roman" w:hAnsi="Times New Roman"/>
          <w:sz w:val="20"/>
        </w:rPr>
        <w:t xml:space="preserve">Charlotte, North Carolina 28202 </w:t>
      </w:r>
    </w:p>
    <w:p>
      <w:pPr>
        <w:pStyle w:val="TextBody"/>
        <w:bidi w:val="0"/>
        <w:spacing w:before="0" w:after="0"/>
        <w:jc w:val="left"/>
        <w:rPr>
          <w:rFonts w:ascii="Times New Roman" w:hAnsi="Times New Roman"/>
          <w:sz w:val="20"/>
        </w:rPr>
      </w:pPr>
      <w:r>
        <w:rPr>
          <w:rFonts w:ascii="Times New Roman" w:hAnsi="Times New Roman"/>
          <w:sz w:val="20"/>
        </w:rPr>
        <w:t xml:space="preserve">Facsimile: (877) 774-3462 </w:t>
      </w:r>
    </w:p>
    <w:p>
      <w:pPr>
        <w:pStyle w:val="TextBody"/>
        <w:bidi w:val="0"/>
        <w:spacing w:before="0" w:after="0"/>
        <w:jc w:val="left"/>
        <w:rPr>
          <w:rFonts w:ascii="Times New Roman" w:hAnsi="Times New Roman"/>
          <w:sz w:val="20"/>
        </w:rPr>
      </w:pPr>
      <w:r>
        <w:rPr>
          <w:rFonts w:ascii="Times New Roman" w:hAnsi="Times New Roman"/>
          <w:sz w:val="20"/>
        </w:rPr>
        <w:t xml:space="preserve">Attention: High Grade Syndicate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Bracewell LLP </w:t>
      </w:r>
    </w:p>
    <w:p>
      <w:pPr>
        <w:pStyle w:val="TextBody"/>
        <w:bidi w:val="0"/>
        <w:spacing w:before="0" w:after="0"/>
        <w:jc w:val="left"/>
        <w:rPr>
          <w:rFonts w:ascii="Times New Roman" w:hAnsi="Times New Roman"/>
          <w:sz w:val="20"/>
        </w:rPr>
      </w:pPr>
      <w:r>
        <w:rPr>
          <w:rFonts w:ascii="Times New Roman" w:hAnsi="Times New Roman"/>
          <w:sz w:val="20"/>
        </w:rPr>
        <w:t xml:space="preserve">31 West 52nd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10020-1100 </w:t>
      </w:r>
    </w:p>
    <w:p>
      <w:pPr>
        <w:pStyle w:val="TextBody"/>
        <w:bidi w:val="0"/>
        <w:spacing w:before="0" w:after="0"/>
        <w:jc w:val="left"/>
        <w:rPr>
          <w:rFonts w:ascii="Times New Roman" w:hAnsi="Times New Roman"/>
          <w:sz w:val="20"/>
        </w:rPr>
      </w:pPr>
      <w:r>
        <w:rPr>
          <w:rFonts w:ascii="Times New Roman" w:hAnsi="Times New Roman"/>
          <w:sz w:val="20"/>
        </w:rPr>
        <w:t xml:space="preserve">Facsimile: (800) 404-3970 </w:t>
      </w:r>
    </w:p>
    <w:p>
      <w:pPr>
        <w:pStyle w:val="TextBody"/>
        <w:bidi w:val="0"/>
        <w:spacing w:before="0" w:after="0"/>
        <w:jc w:val="left"/>
        <w:rPr>
          <w:rFonts w:ascii="Times New Roman" w:hAnsi="Times New Roman"/>
          <w:sz w:val="20"/>
        </w:rPr>
      </w:pPr>
      <w:r>
        <w:rPr>
          <w:rFonts w:ascii="Times New Roman" w:hAnsi="Times New Roman"/>
          <w:sz w:val="20"/>
        </w:rPr>
        <w:t xml:space="preserve">Attention: Todd W. Eckland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Evergy Kansas Central, Inc. </w:t>
      </w:r>
    </w:p>
    <w:p>
      <w:pPr>
        <w:pStyle w:val="TextBody"/>
        <w:bidi w:val="0"/>
        <w:spacing w:before="0" w:after="0"/>
        <w:jc w:val="left"/>
        <w:rPr>
          <w:rFonts w:ascii="Times New Roman" w:hAnsi="Times New Roman"/>
          <w:sz w:val="20"/>
        </w:rPr>
      </w:pPr>
      <w:r>
        <w:rPr>
          <w:rFonts w:ascii="Times New Roman" w:hAnsi="Times New Roman"/>
          <w:sz w:val="20"/>
        </w:rPr>
        <w:t xml:space="preserve">818 South Kansas Avenue </w:t>
      </w:r>
    </w:p>
    <w:p>
      <w:pPr>
        <w:pStyle w:val="TextBody"/>
        <w:bidi w:val="0"/>
        <w:spacing w:before="0" w:after="0"/>
        <w:jc w:val="left"/>
        <w:rPr>
          <w:rFonts w:ascii="Times New Roman" w:hAnsi="Times New Roman"/>
          <w:sz w:val="20"/>
        </w:rPr>
      </w:pPr>
      <w:r>
        <w:rPr>
          <w:rFonts w:ascii="Times New Roman" w:hAnsi="Times New Roman"/>
          <w:sz w:val="20"/>
        </w:rPr>
        <w:t xml:space="preserve">Topeka, Kansas 66612 </w:t>
      </w:r>
    </w:p>
    <w:p>
      <w:pPr>
        <w:pStyle w:val="TextBody"/>
        <w:bidi w:val="0"/>
        <w:spacing w:before="0" w:after="0"/>
        <w:jc w:val="left"/>
        <w:rPr>
          <w:rFonts w:ascii="Times New Roman" w:hAnsi="Times New Roman"/>
          <w:sz w:val="20"/>
        </w:rPr>
      </w:pPr>
      <w:r>
        <w:rPr>
          <w:rFonts w:ascii="Times New Roman" w:hAnsi="Times New Roman"/>
          <w:sz w:val="20"/>
        </w:rPr>
        <w:t xml:space="preserve">Facsimile: (816) 556-2924 </w:t>
      </w:r>
    </w:p>
    <w:p>
      <w:pPr>
        <w:pStyle w:val="TextBody"/>
        <w:bidi w:val="0"/>
        <w:spacing w:before="0" w:after="0"/>
        <w:jc w:val="left"/>
        <w:rPr>
          <w:rFonts w:ascii="Times New Roman" w:hAnsi="Times New Roman"/>
          <w:sz w:val="20"/>
        </w:rPr>
      </w:pPr>
      <w:r>
        <w:rPr>
          <w:rFonts w:ascii="Times New Roman" w:hAnsi="Times New Roman"/>
          <w:sz w:val="20"/>
        </w:rPr>
        <w:t xml:space="preserve">Attention: Heather A. Humphrey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Hunton Andrews Kurth LLP </w:t>
      </w:r>
    </w:p>
    <w:p>
      <w:pPr>
        <w:pStyle w:val="TextBody"/>
        <w:bidi w:val="0"/>
        <w:spacing w:before="0" w:after="0"/>
        <w:jc w:val="left"/>
        <w:rPr>
          <w:rFonts w:ascii="Times New Roman" w:hAnsi="Times New Roman"/>
          <w:sz w:val="20"/>
        </w:rPr>
      </w:pPr>
      <w:r>
        <w:rPr>
          <w:rFonts w:ascii="Times New Roman" w:hAnsi="Times New Roman"/>
          <w:sz w:val="20"/>
        </w:rPr>
        <w:t xml:space="preserve">200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New York 10166 </w:t>
      </w:r>
    </w:p>
    <w:p>
      <w:pPr>
        <w:pStyle w:val="TextBody"/>
        <w:bidi w:val="0"/>
        <w:spacing w:before="0" w:after="0"/>
        <w:jc w:val="left"/>
        <w:rPr>
          <w:rFonts w:ascii="Times New Roman" w:hAnsi="Times New Roman"/>
          <w:sz w:val="20"/>
        </w:rPr>
      </w:pPr>
      <w:r>
        <w:rPr>
          <w:rFonts w:ascii="Times New Roman" w:hAnsi="Times New Roman"/>
          <w:sz w:val="20"/>
        </w:rPr>
        <w:t xml:space="preserve">Facsimile: (212) 309-1024 </w:t>
      </w:r>
    </w:p>
    <w:p>
      <w:pPr>
        <w:pStyle w:val="TextBody"/>
        <w:bidi w:val="0"/>
        <w:spacing w:before="0" w:after="0"/>
        <w:jc w:val="left"/>
        <w:rPr>
          <w:rFonts w:ascii="Times New Roman" w:hAnsi="Times New Roman"/>
          <w:sz w:val="20"/>
        </w:rPr>
      </w:pPr>
      <w:r>
        <w:rPr>
          <w:rFonts w:ascii="Times New Roman" w:hAnsi="Times New Roman"/>
          <w:sz w:val="20"/>
        </w:rPr>
        <w:t xml:space="preserve">Attention: Peter K. O’Brien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party hereto may change the address for receipt of communications by giving written notice to the others. </w:t>
      </w:r>
    </w:p>
    <w:p>
      <w:pPr>
        <w:pStyle w:val="TextBody"/>
        <w:bidi w:val="0"/>
        <w:spacing w:before="240" w:after="0"/>
        <w:jc w:val="left"/>
        <w:rPr>
          <w:rFonts w:ascii="Times New Roman" w:hAnsi="Times New Roman"/>
          <w:sz w:val="20"/>
        </w:rPr>
      </w:pPr>
      <w:r>
        <w:rPr>
          <w:rFonts w:ascii="Times New Roman" w:hAnsi="Times New Roman"/>
          <w:sz w:val="20"/>
        </w:rPr>
        <w:t xml:space="preserve">SECTION 14. </w:t>
      </w:r>
      <w:r>
        <w:rPr>
          <w:rFonts w:ascii="Times New Roman" w:hAnsi="Times New Roman"/>
          <w:sz w:val="20"/>
          <w:u w:val="single"/>
        </w:rPr>
        <w:t>Successors</w:t>
      </w:r>
      <w:r>
        <w:rPr>
          <w:rFonts w:ascii="Times New Roman" w:hAnsi="Times New Roman"/>
          <w:i/>
          <w:sz w:val="20"/>
        </w:rPr>
        <w:t xml:space="preserve">. </w:t>
      </w:r>
      <w:r>
        <w:rPr>
          <w:rFonts w:ascii="Times New Roman" w:hAnsi="Times New Roman"/>
          <w:sz w:val="20"/>
        </w:rPr>
        <w:t>This Agreement will inure to the benefit of and be binding upon the parties hereto, including any substitute Underwriters pursuant to Section 9 hereof, and to the benefit of the directors, officers, employees, agents and controlling persons referred to in Section 7 and Section 8 hereof, and in each case their respective successors and assigns, and no other person will have any right or obligation hereunder. The term “</w:t>
      </w:r>
      <w:r>
        <w:rPr>
          <w:rFonts w:ascii="Times New Roman" w:hAnsi="Times New Roman"/>
          <w:b/>
          <w:sz w:val="20"/>
        </w:rPr>
        <w:t>successors and assigns</w:t>
      </w:r>
      <w:r>
        <w:rPr>
          <w:rFonts w:ascii="Times New Roman" w:hAnsi="Times New Roman"/>
          <w:sz w:val="20"/>
        </w:rPr>
        <w:t xml:space="preserve">” shall not include any purchaser of the Bonds as such from any of the Underwriters merely by reason of such purchase. </w:t>
      </w:r>
    </w:p>
    <w:p>
      <w:pPr>
        <w:pStyle w:val="TextBody"/>
        <w:bidi w:val="0"/>
        <w:spacing w:before="240" w:after="0"/>
        <w:jc w:val="left"/>
        <w:rPr>
          <w:rFonts w:ascii="Times New Roman" w:hAnsi="Times New Roman"/>
          <w:sz w:val="20"/>
        </w:rPr>
      </w:pPr>
      <w:r>
        <w:rPr>
          <w:rFonts w:ascii="Times New Roman" w:hAnsi="Times New Roman"/>
          <w:sz w:val="20"/>
        </w:rPr>
        <w:t xml:space="preserve">SECTION 15. </w:t>
      </w:r>
      <w:r>
        <w:rPr>
          <w:rFonts w:ascii="Times New Roman" w:hAnsi="Times New Roman"/>
          <w:sz w:val="20"/>
          <w:u w:val="single"/>
        </w:rPr>
        <w:t>Partial Unenforceability</w:t>
      </w:r>
      <w:r>
        <w:rPr>
          <w:rFonts w:ascii="Times New Roman" w:hAnsi="Times New Roman"/>
          <w:i/>
          <w:sz w:val="20"/>
        </w:rPr>
        <w:t xml:space="preserve">. </w:t>
      </w:r>
      <w:r>
        <w:rPr>
          <w:rFonts w:ascii="Times New Roman" w:hAnsi="Times New Roman"/>
          <w:sz w:val="20"/>
        </w:rPr>
        <w:t xml:space="preserve">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 </w:t>
      </w:r>
    </w:p>
    <w:p>
      <w:pPr>
        <w:pStyle w:val="TextBody"/>
        <w:bidi w:val="0"/>
        <w:spacing w:before="240" w:after="0"/>
        <w:jc w:val="left"/>
        <w:rPr>
          <w:rFonts w:ascii="Times New Roman" w:hAnsi="Times New Roman"/>
          <w:sz w:val="20"/>
        </w:rPr>
      </w:pPr>
      <w:r>
        <w:rPr>
          <w:rFonts w:ascii="Times New Roman" w:hAnsi="Times New Roman"/>
          <w:sz w:val="20"/>
        </w:rPr>
        <w:t xml:space="preserve">SECTION 16. </w:t>
      </w:r>
      <w:r>
        <w:rPr>
          <w:rFonts w:ascii="Times New Roman" w:hAnsi="Times New Roman"/>
          <w:sz w:val="20"/>
          <w:u w:val="single"/>
        </w:rPr>
        <w:t>Governing Law Provisions</w:t>
      </w:r>
      <w:r>
        <w:rPr>
          <w:rFonts w:ascii="Times New Roman" w:hAnsi="Times New Roman"/>
          <w:i/>
          <w:sz w:val="20"/>
        </w:rPr>
        <w:t xml:space="preserve">. </w:t>
      </w:r>
      <w:r>
        <w:rPr>
          <w:rFonts w:ascii="Times New Roman" w:hAnsi="Times New Roman"/>
          <w:sz w:val="20"/>
        </w:rPr>
        <w:t xml:space="preserve">THIS AGREEMENT SHALL BE GOVERNED BY, AND CONSTRUED AND INTERPRETED IN ACCORDANCE WITH, THE INTERNAL LAWS OF THE STATE OF NEW YORK APPLICABLE TO AGREEMENTS MADE AND TO BE PERFORMED IN THAT STATE. </w:t>
      </w:r>
    </w:p>
    <w:p>
      <w:pPr>
        <w:pStyle w:val="TextBody"/>
        <w:bidi w:val="0"/>
        <w:spacing w:before="240" w:after="0"/>
        <w:jc w:val="left"/>
        <w:rPr>
          <w:rFonts w:ascii="Times New Roman" w:hAnsi="Times New Roman"/>
          <w:sz w:val="20"/>
        </w:rPr>
      </w:pPr>
      <w:r>
        <w:rPr>
          <w:rFonts w:ascii="Times New Roman" w:hAnsi="Times New Roman"/>
          <w:sz w:val="20"/>
        </w:rPr>
        <w:t xml:space="preserve">SECTION 17. </w:t>
      </w:r>
      <w:r>
        <w:rPr>
          <w:rFonts w:ascii="Times New Roman" w:hAnsi="Times New Roman"/>
          <w:sz w:val="20"/>
          <w:u w:val="single"/>
        </w:rPr>
        <w:t>General Provisions</w:t>
      </w:r>
      <w:r>
        <w:rPr>
          <w:rFonts w:ascii="Times New Roman" w:hAnsi="Times New Roman"/>
          <w:i/>
          <w:sz w:val="20"/>
        </w:rPr>
        <w:t>.</w:t>
      </w:r>
      <w:r>
        <w:rPr>
          <w:rFonts w:ascii="Times New Roman" w:hAnsi="Times New Roman"/>
          <w:sz w:val="20"/>
        </w:rPr>
        <w:t xml:space="preserve">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or other transmission method and any counterpart so delivered shall be deemed to have been duly and validly delivered and be valid and effective for all purposes. This Agreement may not be amended or modified unless in writing by all of the parties hereto, and no condition herein (express or implied) may be waived unless waived in writing by each party whom the condition is meant to benefit. The Section headings herein are for the convenience of the parties only and shall not affect the construction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Each of the parties hereto acknowledges that it is a sophisticated business person who was adequately represented by counsel during negotiations regarding the provisions hereof, including the indemnification provisions of Section 7 hereof and the contribution provisions of Section 8 hereof, and is fully informed regarding such provisions. Each of the parties hereto further acknowledges that the provisions of Section 7 and Section 8 hereof fairly allocate the risks in light of the ability of the parties to investigate the Company, its affairs and its business in order to assure that adequate disclosure has been made in the Registration Statement, the Disclosure Package and the Prospectus (and any amendments and supplements thereto), as required by the Securities Act and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18. </w:t>
      </w:r>
      <w:r>
        <w:rPr>
          <w:rFonts w:ascii="Times New Roman" w:hAnsi="Times New Roman"/>
          <w:sz w:val="20"/>
          <w:u w:val="single"/>
        </w:rPr>
        <w:t>Recognition of U.S. Special Resolution Regimes</w:t>
      </w:r>
      <w:r>
        <w:rPr>
          <w:rFonts w:ascii="Times New Roman" w:hAnsi="Times New Roman"/>
          <w:sz w:val="20"/>
        </w:rPr>
        <w:t xml:space="preserve">. In the event that (a)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and (b)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For purposes of this Section 18, (i) a “BHC Act Affiliate” has the meaning assigned to the term “affiliate” in, and shall be interpreted in accordance with, 12 U.S.C. § 1841(k), (ii) “Covered Entity” means (A) a “covered entity” (as such term is defined in, and interpreted in accordance with, 12 C.F.R. § 252.82(b)), (B) a “covered bank” (as such term is defined in, and interpreted in accordance with, 12 C.F.R. § 47.3(b)) or (C) a “covered FSI” (as such term is defined in, and interpreted in accordance with, 12 C.F.R. § 382.2(b)), (iii) “Default Right” has the meaning assigned to that term in, and shall be interpreted in accordance with, 12 C.F.R. §§ 252.81, 47.2 or 382.1, as applicable, and (iv) “U.S. Special Resolution Regime” means each of (A) the Federal Deposit Insurance Act and the regulations thereunder and (B) Title II of the Dodd-Frank Wall Street Reform and Consumer Protection Act and the regulations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is in accordance with your understanding of our agreement, kindly sign and return to the Company the enclosed copies hereof, whereupon this instrument, along with all counterparts hereof, shall become a binding agreement in accordance with its terms.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EVERGY KANSAS CENTRAL, INC.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Geoffrey T. Ley</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Geoffrey T. Ley</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Senior Vice President, Corporate Planning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Underwriting Agreement is hereby confirmed and accepted by the Representatives as of the date first above written. </w:t>
      </w:r>
    </w:p>
    <w:p>
      <w:pPr>
        <w:pStyle w:val="TextBody"/>
        <w:bidi w:val="0"/>
        <w:spacing w:before="240" w:after="0"/>
        <w:jc w:val="left"/>
        <w:rPr>
          <w:rFonts w:ascii="Times New Roman" w:hAnsi="Times New Roman"/>
          <w:sz w:val="20"/>
        </w:rPr>
      </w:pPr>
      <w:r>
        <w:rPr>
          <w:rFonts w:ascii="Times New Roman" w:hAnsi="Times New Roman"/>
          <w:sz w:val="20"/>
        </w:rPr>
        <w:t xml:space="preserve">BARCLAYS CAPITAL INC. </w:t>
      </w:r>
    </w:p>
    <w:p>
      <w:pPr>
        <w:pStyle w:val="TextBody"/>
        <w:bidi w:val="0"/>
        <w:spacing w:before="0" w:after="0"/>
        <w:jc w:val="left"/>
        <w:rPr>
          <w:rFonts w:ascii="Times New Roman" w:hAnsi="Times New Roman"/>
          <w:sz w:val="20"/>
        </w:rPr>
      </w:pPr>
      <w:r>
        <w:rPr>
          <w:rFonts w:ascii="Times New Roman" w:hAnsi="Times New Roman"/>
          <w:sz w:val="20"/>
        </w:rPr>
        <w:t xml:space="preserve">BNY MELLON CAPITAL MARKETS, LLC </w:t>
      </w:r>
    </w:p>
    <w:p>
      <w:pPr>
        <w:pStyle w:val="TextBody"/>
        <w:bidi w:val="0"/>
        <w:spacing w:before="0" w:after="0"/>
        <w:jc w:val="left"/>
        <w:rPr>
          <w:rFonts w:ascii="Times New Roman" w:hAnsi="Times New Roman"/>
          <w:sz w:val="20"/>
        </w:rPr>
      </w:pPr>
      <w:r>
        <w:rPr>
          <w:rFonts w:ascii="Times New Roman" w:hAnsi="Times New Roman"/>
          <w:sz w:val="20"/>
        </w:rPr>
        <w:t xml:space="preserve">GOLDMAN SACHS &amp; CO. LLC </w:t>
      </w:r>
    </w:p>
    <w:p>
      <w:pPr>
        <w:pStyle w:val="TextBody"/>
        <w:bidi w:val="0"/>
        <w:spacing w:before="0" w:after="0"/>
        <w:jc w:val="left"/>
        <w:rPr>
          <w:rFonts w:ascii="Times New Roman" w:hAnsi="Times New Roman"/>
          <w:sz w:val="20"/>
        </w:rPr>
      </w:pPr>
      <w:r>
        <w:rPr>
          <w:rFonts w:ascii="Times New Roman" w:hAnsi="Times New Roman"/>
          <w:sz w:val="20"/>
        </w:rPr>
        <w:t xml:space="preserve">U.S. BANCORP INVESTMENTS, INC. </w:t>
      </w:r>
    </w:p>
    <w:p>
      <w:pPr>
        <w:pStyle w:val="TextBody"/>
        <w:bidi w:val="0"/>
        <w:spacing w:before="240" w:after="0"/>
        <w:jc w:val="left"/>
        <w:rPr>
          <w:rFonts w:ascii="Times New Roman" w:hAnsi="Times New Roman"/>
          <w:sz w:val="20"/>
        </w:rPr>
      </w:pPr>
      <w:r>
        <w:rPr>
          <w:rFonts w:ascii="Times New Roman" w:hAnsi="Times New Roman"/>
          <w:sz w:val="20"/>
        </w:rPr>
        <w:t xml:space="preserve">Acting as Representatives of the several Underwriters </w:t>
      </w:r>
    </w:p>
    <w:p>
      <w:pPr>
        <w:pStyle w:val="TextBody"/>
        <w:bidi w:val="0"/>
        <w:spacing w:before="0" w:after="0"/>
        <w:jc w:val="left"/>
        <w:rPr>
          <w:rFonts w:ascii="Times New Roman" w:hAnsi="Times New Roman"/>
          <w:sz w:val="20"/>
        </w:rPr>
      </w:pPr>
      <w:r>
        <w:rPr>
          <w:rFonts w:ascii="Times New Roman" w:hAnsi="Times New Roman"/>
          <w:sz w:val="20"/>
        </w:rPr>
        <w:t xml:space="preserve">named in Schedule A hereto.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17"/>
        <w:gridCol w:w="96"/>
        <w:gridCol w:w="3369"/>
      </w:tblGrid>
      <w:tr>
        <w:trPr/>
        <w:tc>
          <w:tcPr>
            <w:tcW w:w="617" w:type="dxa"/>
            <w:tcBorders/>
            <w:vAlign w:val="center"/>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BARCLAYS CAPITAL INC.</w:t>
            </w:r>
          </w:p>
        </w:tc>
      </w:tr>
      <w:tr>
        <w:trPr>
          <w:trHeight w:val="240" w:hRule="atLeast"/>
        </w:trPr>
        <w:tc>
          <w:tcPr>
            <w:tcW w:w="617" w:type="dxa"/>
            <w:tcBorders/>
            <w:vAlign w:val="center"/>
          </w:tcPr>
          <w:p>
            <w:pPr>
              <w:pStyle w:val="TableContents"/>
              <w:bidi w:val="0"/>
              <w:spacing w:before="0" w:after="283"/>
              <w:jc w:val="left"/>
              <w:rPr>
                <w:sz w:val="4"/>
                <w:szCs w:val="4"/>
              </w:rPr>
            </w:pPr>
            <w:r>
              <w:rPr>
                <w:sz w:val="4"/>
                <w:szCs w:val="4"/>
              </w:rPr>
            </w:r>
          </w:p>
        </w:tc>
        <w:tc>
          <w:tcPr>
            <w:tcW w:w="3465"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By:</w:t>
            </w:r>
          </w:p>
        </w:tc>
        <w:tc>
          <w:tcPr>
            <w:tcW w:w="96" w:type="dxa"/>
            <w:tcBorders/>
            <w:vAlign w:val="bottom"/>
          </w:tcPr>
          <w:p>
            <w:pPr>
              <w:pStyle w:val="TableContents"/>
              <w:bidi w:val="0"/>
              <w:spacing w:before="0" w:after="283"/>
              <w:jc w:val="left"/>
              <w:rPr/>
            </w:pPr>
            <w:r>
              <w:rPr/>
              <w:t> </w:t>
            </w:r>
          </w:p>
        </w:tc>
        <w:tc>
          <w:tcPr>
            <w:tcW w:w="336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John Lembeck</w:t>
            </w:r>
          </w:p>
        </w:tc>
      </w:tr>
      <w:tr>
        <w:trPr/>
        <w:tc>
          <w:tcPr>
            <w:tcW w:w="617"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pPr>
            <w:r>
              <w:rPr/>
              <w:t>Name: John Lembeck</w:t>
            </w:r>
          </w:p>
        </w:tc>
      </w:tr>
      <w:tr>
        <w:trPr/>
        <w:tc>
          <w:tcPr>
            <w:tcW w:w="617"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BNY MELLON CAPITAL MARKETS, LLC</w:t>
            </w:r>
          </w:p>
        </w:tc>
      </w:tr>
      <w:tr>
        <w:trPr>
          <w:trHeight w:val="240" w:hRule="atLeast"/>
        </w:trPr>
        <w:tc>
          <w:tcPr>
            <w:tcW w:w="617" w:type="dxa"/>
            <w:tcBorders/>
            <w:vAlign w:val="center"/>
          </w:tcPr>
          <w:p>
            <w:pPr>
              <w:pStyle w:val="TableContents"/>
              <w:bidi w:val="0"/>
              <w:spacing w:before="0" w:after="283"/>
              <w:jc w:val="left"/>
              <w:rPr>
                <w:sz w:val="4"/>
                <w:szCs w:val="4"/>
              </w:rPr>
            </w:pPr>
            <w:r>
              <w:rPr>
                <w:sz w:val="4"/>
                <w:szCs w:val="4"/>
              </w:rPr>
            </w:r>
          </w:p>
        </w:tc>
        <w:tc>
          <w:tcPr>
            <w:tcW w:w="3465"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By:</w:t>
            </w:r>
          </w:p>
        </w:tc>
        <w:tc>
          <w:tcPr>
            <w:tcW w:w="96" w:type="dxa"/>
            <w:tcBorders/>
            <w:vAlign w:val="bottom"/>
          </w:tcPr>
          <w:p>
            <w:pPr>
              <w:pStyle w:val="TableContents"/>
              <w:bidi w:val="0"/>
              <w:spacing w:before="0" w:after="283"/>
              <w:jc w:val="left"/>
              <w:rPr/>
            </w:pPr>
            <w:r>
              <w:rPr/>
              <w:t> </w:t>
            </w:r>
          </w:p>
        </w:tc>
        <w:tc>
          <w:tcPr>
            <w:tcW w:w="336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 Klinger</w:t>
            </w:r>
          </w:p>
        </w:tc>
      </w:tr>
      <w:tr>
        <w:trPr/>
        <w:tc>
          <w:tcPr>
            <w:tcW w:w="617"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pPr>
            <w:r>
              <w:rPr/>
              <w:t>Name: Dan Klinger</w:t>
            </w:r>
          </w:p>
        </w:tc>
      </w:tr>
      <w:tr>
        <w:trPr/>
        <w:tc>
          <w:tcPr>
            <w:tcW w:w="617"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GOLDMAN SACHS &amp; CO. LLC</w:t>
            </w:r>
          </w:p>
        </w:tc>
      </w:tr>
      <w:tr>
        <w:trPr>
          <w:trHeight w:val="240" w:hRule="atLeast"/>
        </w:trPr>
        <w:tc>
          <w:tcPr>
            <w:tcW w:w="617" w:type="dxa"/>
            <w:tcBorders/>
            <w:vAlign w:val="center"/>
          </w:tcPr>
          <w:p>
            <w:pPr>
              <w:pStyle w:val="TableContents"/>
              <w:bidi w:val="0"/>
              <w:spacing w:before="0" w:after="283"/>
              <w:jc w:val="left"/>
              <w:rPr>
                <w:sz w:val="4"/>
                <w:szCs w:val="4"/>
              </w:rPr>
            </w:pPr>
            <w:r>
              <w:rPr>
                <w:sz w:val="4"/>
                <w:szCs w:val="4"/>
              </w:rPr>
            </w:r>
          </w:p>
        </w:tc>
        <w:tc>
          <w:tcPr>
            <w:tcW w:w="3465"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By:</w:t>
            </w:r>
          </w:p>
        </w:tc>
        <w:tc>
          <w:tcPr>
            <w:tcW w:w="96" w:type="dxa"/>
            <w:tcBorders/>
            <w:vAlign w:val="bottom"/>
          </w:tcPr>
          <w:p>
            <w:pPr>
              <w:pStyle w:val="TableContents"/>
              <w:bidi w:val="0"/>
              <w:spacing w:before="0" w:after="283"/>
              <w:jc w:val="left"/>
              <w:rPr/>
            </w:pPr>
            <w:r>
              <w:rPr/>
              <w:t> </w:t>
            </w:r>
          </w:p>
        </w:tc>
        <w:tc>
          <w:tcPr>
            <w:tcW w:w="336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Kevin Dirkse</w:t>
            </w:r>
          </w:p>
        </w:tc>
      </w:tr>
      <w:tr>
        <w:trPr/>
        <w:tc>
          <w:tcPr>
            <w:tcW w:w="617"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pPr>
            <w:r>
              <w:rPr/>
              <w:t>Name: Kevin Dirkse</w:t>
            </w:r>
          </w:p>
        </w:tc>
      </w:tr>
      <w:tr>
        <w:trPr/>
        <w:tc>
          <w:tcPr>
            <w:tcW w:w="617"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BANCORP INVESTMENTS, INC.</w:t>
            </w:r>
          </w:p>
        </w:tc>
      </w:tr>
      <w:tr>
        <w:trPr>
          <w:trHeight w:val="240" w:hRule="atLeast"/>
        </w:trPr>
        <w:tc>
          <w:tcPr>
            <w:tcW w:w="617" w:type="dxa"/>
            <w:tcBorders/>
            <w:vAlign w:val="center"/>
          </w:tcPr>
          <w:p>
            <w:pPr>
              <w:pStyle w:val="TableContents"/>
              <w:bidi w:val="0"/>
              <w:spacing w:before="0" w:after="283"/>
              <w:jc w:val="left"/>
              <w:rPr>
                <w:sz w:val="4"/>
                <w:szCs w:val="4"/>
              </w:rPr>
            </w:pPr>
            <w:r>
              <w:rPr>
                <w:sz w:val="4"/>
                <w:szCs w:val="4"/>
              </w:rPr>
            </w:r>
          </w:p>
        </w:tc>
        <w:tc>
          <w:tcPr>
            <w:tcW w:w="3465" w:type="dxa"/>
            <w:gridSpan w:val="2"/>
            <w:tcBorders/>
            <w:vAlign w:val="center"/>
          </w:tcPr>
          <w:p>
            <w:pPr>
              <w:pStyle w:val="TableContents"/>
              <w:bidi w:val="0"/>
              <w:spacing w:before="0" w:after="283"/>
              <w:jc w:val="left"/>
              <w:rPr>
                <w:sz w:val="4"/>
                <w:szCs w:val="4"/>
              </w:rPr>
            </w:pPr>
            <w:r>
              <w:rPr>
                <w:sz w:val="4"/>
                <w:szCs w:val="4"/>
              </w:rPr>
            </w:r>
          </w:p>
        </w:tc>
      </w:tr>
      <w:tr>
        <w:trPr/>
        <w:tc>
          <w:tcPr>
            <w:tcW w:w="617" w:type="dxa"/>
            <w:tcBorders/>
          </w:tcPr>
          <w:p>
            <w:pPr>
              <w:pStyle w:val="TableContents"/>
              <w:bidi w:val="0"/>
              <w:spacing w:before="0" w:after="283"/>
              <w:jc w:val="left"/>
              <w:rPr/>
            </w:pPr>
            <w:r>
              <w:rPr/>
              <w:t>By:</w:t>
            </w:r>
          </w:p>
        </w:tc>
        <w:tc>
          <w:tcPr>
            <w:tcW w:w="96" w:type="dxa"/>
            <w:tcBorders/>
            <w:vAlign w:val="bottom"/>
          </w:tcPr>
          <w:p>
            <w:pPr>
              <w:pStyle w:val="TableContents"/>
              <w:bidi w:val="0"/>
              <w:spacing w:before="0" w:after="283"/>
              <w:jc w:val="left"/>
              <w:rPr/>
            </w:pPr>
            <w:r>
              <w:rPr/>
              <w:t> </w:t>
            </w:r>
          </w:p>
        </w:tc>
        <w:tc>
          <w:tcPr>
            <w:tcW w:w="336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Priore</w:t>
            </w:r>
          </w:p>
        </w:tc>
      </w:tr>
      <w:tr>
        <w:trPr/>
        <w:tc>
          <w:tcPr>
            <w:tcW w:w="617"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pPr>
            <w:r>
              <w:rPr/>
              <w:t>Name: Michael Priore</w:t>
            </w:r>
          </w:p>
        </w:tc>
      </w:tr>
      <w:tr>
        <w:trPr/>
        <w:tc>
          <w:tcPr>
            <w:tcW w:w="617" w:type="dxa"/>
            <w:tcBorders/>
          </w:tcPr>
          <w:p>
            <w:pPr>
              <w:pStyle w:val="TableContents"/>
              <w:bidi w:val="0"/>
              <w:spacing w:before="0" w:after="283"/>
              <w:jc w:val="left"/>
              <w:rPr>
                <w:sz w:val="4"/>
                <w:szCs w:val="4"/>
              </w:rPr>
            </w:pPr>
            <w:r>
              <w:rPr>
                <w:sz w:val="4"/>
                <w:szCs w:val="4"/>
              </w:rPr>
            </w:r>
          </w:p>
        </w:tc>
        <w:tc>
          <w:tcPr>
            <w:tcW w:w="96"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283"/>
              <w:jc w:val="left"/>
              <w:rPr/>
            </w:pPr>
            <w:r>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Underwriting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09"/>
        <w:gridCol w:w="240"/>
        <w:gridCol w:w="140"/>
        <w:gridCol w:w="1254"/>
        <w:gridCol w:w="62"/>
      </w:tblGrid>
      <w:tr>
        <w:trPr/>
        <w:tc>
          <w:tcPr>
            <w:tcW w:w="8509" w:type="dxa"/>
            <w:tcBorders/>
            <w:vAlign w:val="center"/>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50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Underwriters</w:t>
            </w:r>
          </w:p>
        </w:tc>
        <w:tc>
          <w:tcPr>
            <w:tcW w:w="240"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Aggregate</w:t>
              <w:br/>
              <w:t>Principal</w:t>
              <w:br/>
              <w:t>Amount of</w:t>
              <w:br/>
              <w:t>Bonds to be</w:t>
              <w:br/>
              <w:t>Purchased</w:t>
            </w:r>
          </w:p>
        </w:tc>
        <w:tc>
          <w:tcPr>
            <w:tcW w:w="62" w:type="dxa"/>
            <w:tcBorders/>
            <w:vAlign w:val="bottom"/>
          </w:tcPr>
          <w:p>
            <w:pPr>
              <w:pStyle w:val="TableContents"/>
              <w:bidi w:val="0"/>
              <w:spacing w:before="0" w:after="283"/>
              <w:jc w:val="left"/>
              <w:rPr/>
            </w:pPr>
            <w:r>
              <w:rPr/>
              <w:t> </w:t>
            </w:r>
          </w:p>
        </w:tc>
      </w:tr>
      <w:tr>
        <w:trPr/>
        <w:tc>
          <w:tcPr>
            <w:tcW w:w="8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84,000,000</w:t>
            </w:r>
          </w:p>
        </w:tc>
        <w:tc>
          <w:tcPr>
            <w:tcW w:w="62" w:type="dxa"/>
            <w:tcBorders/>
            <w:shd w:fill="CCEEFF" w:val="clear"/>
            <w:vAlign w:val="bottom"/>
          </w:tcPr>
          <w:p>
            <w:pPr>
              <w:pStyle w:val="TableContents"/>
              <w:bidi w:val="0"/>
              <w:spacing w:before="0" w:after="283"/>
              <w:jc w:val="left"/>
              <w:rPr/>
            </w:pPr>
            <w:r>
              <w:rPr/>
              <w:t> </w:t>
            </w:r>
          </w:p>
        </w:tc>
      </w:tr>
      <w:tr>
        <w:trPr/>
        <w:tc>
          <w:tcPr>
            <w:tcW w:w="8509" w:type="dxa"/>
            <w:tcBorders/>
          </w:tcPr>
          <w:p>
            <w:pPr>
              <w:pStyle w:val="TableContents"/>
              <w:bidi w:val="0"/>
              <w:spacing w:before="0" w:after="0"/>
              <w:jc w:val="left"/>
              <w:rPr>
                <w:rFonts w:ascii="Times New Roman" w:hAnsi="Times New Roman"/>
                <w:sz w:val="20"/>
              </w:rPr>
            </w:pPr>
            <w:r>
              <w:rPr>
                <w:rFonts w:ascii="Times New Roman" w:hAnsi="Times New Roman"/>
                <w:sz w:val="20"/>
              </w:rPr>
              <w:t>BNY Mellon Capital Markets, LLC</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84,000,000</w:t>
            </w:r>
          </w:p>
        </w:tc>
        <w:tc>
          <w:tcPr>
            <w:tcW w:w="62" w:type="dxa"/>
            <w:tcBorders/>
            <w:vAlign w:val="bottom"/>
          </w:tcPr>
          <w:p>
            <w:pPr>
              <w:pStyle w:val="TableContents"/>
              <w:bidi w:val="0"/>
              <w:spacing w:before="0" w:after="283"/>
              <w:jc w:val="left"/>
              <w:rPr/>
            </w:pPr>
            <w:r>
              <w:rPr/>
              <w:t> </w:t>
            </w:r>
          </w:p>
        </w:tc>
      </w:tr>
      <w:tr>
        <w:trPr/>
        <w:tc>
          <w:tcPr>
            <w:tcW w:w="8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84,000,000</w:t>
            </w:r>
          </w:p>
        </w:tc>
        <w:tc>
          <w:tcPr>
            <w:tcW w:w="62" w:type="dxa"/>
            <w:tcBorders/>
            <w:shd w:fill="CCEEFF" w:val="clear"/>
            <w:vAlign w:val="bottom"/>
          </w:tcPr>
          <w:p>
            <w:pPr>
              <w:pStyle w:val="TableContents"/>
              <w:bidi w:val="0"/>
              <w:spacing w:before="0" w:after="283"/>
              <w:jc w:val="left"/>
              <w:rPr/>
            </w:pPr>
            <w:r>
              <w:rPr/>
              <w:t> </w:t>
            </w:r>
          </w:p>
        </w:tc>
      </w:tr>
      <w:tr>
        <w:trPr/>
        <w:tc>
          <w:tcPr>
            <w:tcW w:w="8509" w:type="dxa"/>
            <w:tcBorders/>
          </w:tcPr>
          <w:p>
            <w:pPr>
              <w:pStyle w:val="TableContents"/>
              <w:bidi w:val="0"/>
              <w:spacing w:before="0" w:after="0"/>
              <w:jc w:val="left"/>
              <w:rPr>
                <w:rFonts w:ascii="Times New Roman" w:hAnsi="Times New Roman"/>
                <w:sz w:val="20"/>
              </w:rPr>
            </w:pPr>
            <w:r>
              <w:rPr>
                <w:rFonts w:ascii="Times New Roman" w:hAnsi="Times New Roman"/>
                <w:sz w:val="20"/>
              </w:rPr>
              <w:t>U.S. Bancorp Investments, Inc.</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84,000,000</w:t>
            </w:r>
          </w:p>
        </w:tc>
        <w:tc>
          <w:tcPr>
            <w:tcW w:w="62" w:type="dxa"/>
            <w:tcBorders/>
            <w:vAlign w:val="bottom"/>
          </w:tcPr>
          <w:p>
            <w:pPr>
              <w:pStyle w:val="TableContents"/>
              <w:bidi w:val="0"/>
              <w:spacing w:before="0" w:after="283"/>
              <w:jc w:val="left"/>
              <w:rPr/>
            </w:pPr>
            <w:r>
              <w:rPr/>
              <w:t> </w:t>
            </w:r>
          </w:p>
        </w:tc>
      </w:tr>
      <w:tr>
        <w:trPr/>
        <w:tc>
          <w:tcPr>
            <w:tcW w:w="8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Commerce Brokerage Services, Inc.</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8,400,000</w:t>
            </w:r>
          </w:p>
        </w:tc>
        <w:tc>
          <w:tcPr>
            <w:tcW w:w="62" w:type="dxa"/>
            <w:tcBorders/>
            <w:shd w:fill="CCEEFF" w:val="clear"/>
            <w:vAlign w:val="bottom"/>
          </w:tcPr>
          <w:p>
            <w:pPr>
              <w:pStyle w:val="TableContents"/>
              <w:bidi w:val="0"/>
              <w:spacing w:before="0" w:after="283"/>
              <w:jc w:val="left"/>
              <w:rPr/>
            </w:pPr>
            <w:r>
              <w:rPr/>
              <w:t> </w:t>
            </w:r>
          </w:p>
        </w:tc>
      </w:tr>
      <w:tr>
        <w:trPr/>
        <w:tc>
          <w:tcPr>
            <w:tcW w:w="8509" w:type="dxa"/>
            <w:tcBorders/>
          </w:tcPr>
          <w:p>
            <w:pPr>
              <w:pStyle w:val="TableContents"/>
              <w:bidi w:val="0"/>
              <w:spacing w:before="0" w:after="0"/>
              <w:jc w:val="left"/>
              <w:rPr>
                <w:rFonts w:ascii="Times New Roman" w:hAnsi="Times New Roman"/>
                <w:sz w:val="20"/>
              </w:rPr>
            </w:pPr>
            <w:r>
              <w:rPr>
                <w:rFonts w:ascii="Times New Roman" w:hAnsi="Times New Roman"/>
                <w:sz w:val="20"/>
              </w:rPr>
              <w:t>Loop Capital Markets LLC</w:t>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5,600,000</w:t>
            </w:r>
          </w:p>
        </w:tc>
        <w:tc>
          <w:tcPr>
            <w:tcW w:w="62" w:type="dxa"/>
            <w:tcBorders/>
            <w:vAlign w:val="bottom"/>
          </w:tcPr>
          <w:p>
            <w:pPr>
              <w:pStyle w:val="TableContents"/>
              <w:bidi w:val="0"/>
              <w:spacing w:before="0" w:after="283"/>
              <w:jc w:val="left"/>
              <w:rPr/>
            </w:pPr>
            <w:r>
              <w:rPr/>
              <w:t> </w:t>
            </w:r>
          </w:p>
        </w:tc>
      </w:tr>
      <w:tr>
        <w:trPr/>
        <w:tc>
          <w:tcPr>
            <w:tcW w:w="8509" w:type="dxa"/>
            <w:tcBorders/>
            <w:vAlign w:val="bottom"/>
          </w:tcPr>
          <w:p>
            <w:pPr>
              <w:pStyle w:val="TableContents"/>
              <w:bidi w:val="0"/>
              <w:spacing w:before="0" w:after="283"/>
              <w:jc w:val="left"/>
              <w:rPr>
                <w:sz w:val="4"/>
                <w:szCs w:val="4"/>
              </w:rPr>
            </w:pPr>
            <w:r>
              <w:rPr>
                <w:sz w:val="4"/>
                <w:szCs w:val="4"/>
              </w:rPr>
            </w:r>
          </w:p>
        </w:tc>
        <w:tc>
          <w:tcPr>
            <w:tcW w:w="24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4"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850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4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350,000,000</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I </w:t>
      </w:r>
    </w:p>
    <w:p>
      <w:pPr>
        <w:pStyle w:val="TextBody"/>
        <w:bidi w:val="0"/>
        <w:spacing w:before="240" w:after="0"/>
        <w:jc w:val="center"/>
        <w:rPr>
          <w:rFonts w:ascii="Times New Roman" w:hAnsi="Times New Roman"/>
          <w:sz w:val="20"/>
        </w:rPr>
      </w:pPr>
      <w:r>
        <w:rPr>
          <w:rFonts w:ascii="Times New Roman" w:hAnsi="Times New Roman"/>
          <w:sz w:val="20"/>
        </w:rPr>
        <w:t xml:space="preserve">LIST OF ISSUER GENERAL USE FREE WRITING PROSPECTUSES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Final Term Sheet dated June 22, 2026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LIST OF ISSUER LIMITED USE FREE WRITING PROSPECTUSES </w:t>
      </w:r>
    </w:p>
    <w:p>
      <w:pPr>
        <w:pStyle w:val="TextBody"/>
        <w:bidi w:val="0"/>
        <w:spacing w:before="240" w:after="0"/>
        <w:jc w:val="center"/>
        <w:rPr>
          <w:rFonts w:ascii="Times New Roman" w:hAnsi="Times New Roman"/>
          <w:sz w:val="20"/>
        </w:rPr>
      </w:pPr>
      <w:r>
        <w:rPr>
          <w:rFonts w:ascii="Times New Roman" w:hAnsi="Times New Roman"/>
          <w:sz w:val="20"/>
        </w:rPr>
        <w:t xml:space="preserve">None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A-1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Opinion of Company’s Counsel </w:t>
      </w:r>
    </w:p>
    <w:p>
      <w:pPr>
        <w:pStyle w:val="TextBody"/>
        <w:bidi w:val="0"/>
        <w:spacing w:before="240" w:after="0"/>
        <w:jc w:val="left"/>
        <w:rPr>
          <w:rFonts w:ascii="Times New Roman" w:hAnsi="Times New Roman"/>
          <w:sz w:val="20"/>
        </w:rPr>
      </w:pPr>
      <w:r>
        <w:rPr>
          <w:rFonts w:ascii="Times New Roman" w:hAnsi="Times New Roman"/>
          <w:sz w:val="20"/>
        </w:rPr>
        <w:t xml:space="preserve">(a) The Registration Statement has become effective under the Securities Act; each of the Preliminary Prospectus and the Prospectus has been filed pursuant to Rule 424(b) in accordance with Rule 424(b); the Final Term Sheet has been filed pursuant to Rule 433 in accordance with Rule 433; and, to our knowledge, no stop order suspending the effectiveness of the Registration Statement is in effect nor are any proceedings for such purpose pending before or threatened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(b) (i) The Registration Statement (other than the financial statements, financial data, statistical data and supporting schedules included therein or omitted therefrom and other than the documents incorporated by reference therein, as to none of which we express any opinion pursuant to this paragraph (b)), as of the date of the Underwriting Agreement, (ii) the Preliminary Prospectus (other than the financial statements, financial data, statistical data and supporting schedules included therein or omitted therefrom and other than the documents incorporated by reference therein, as to none of which we express any opinion pursuant to this paragraph (b)), at the Initial Sale Time, and (iii) the Prospectus (other than the financial statements, financial data, statistical data and supporting schedules included therein or omitted therefrom and other than the documents incorporated by reference therein, as to none of which we express any opinion pursuant to this paragraph (b)), as of the date of the Prospectus Supplement and as of the date hereof, appear on their face to have complied as to form in all material respects with the requirements of the Trust Indenture Act of 1939, as amended (the “Trust Indenture Act”), the Securities Act and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(c) Each document incorporated by reference in the Preliminary Prospectus and the Prospectus (other than the financial statements, financial data, statistical data and supporting schedules included therein or omitted therefrom, as to which we express no opinion), at the respective time such document was filed with the Commission, appeared on its face to have complied as to form in all material respects with the applicable requirements of the Exchange Act and the rules and regulations of the Commission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Mortgage Indenture has been duly qualified under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(e) The execution, delivery and performance by the Company of the Underwriting Agreement, the Mortgage Indenture and the Bonds and the consummation by the Company of the transactions contemplated thereby (including the issuance and sale of the Bonds and the use of the proceeds from the sale of the Bonds as described in the Disclosure Package (as such term is defined in Annex A hereto) and in the Prospectus under the caption “Use of Proceeds”) and compliance by the Company with its obligations under the Underwriting Agreement, the Mortgage Indenture and the Bonds do not and will not violate any provision of Applicable Laws. As used in this paragraph (e) and paragraph (f) below, the term “Applicable Laws” means the laws of the State of New York and the federal laws of the United States of America (including the Federal Power Act) that, in our experience and without independent investigation, are normally applicable to transactions of the type contemplated by the Underwriting Agreement and the Mortgage Indenture (provided that the term “Applicable Laws” shall not include federal or state securities or blue sky laws, including the Securities Act, the Exchange Act, the Trust Indenture Act and the Investment Company Act of 1940, as amended (the “Investment Company Act”), and the respective rules and regulations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No consent, approval, qualification, authorization, certificate or order of, or registration or filing with, any court or other governmental commission or regulatory authority or agency is required under Applicable Laws for the execution and delivery by the Company of, or the performance of the Company’s obligations under, the Underwriting Agreement or the Mortgage Indenture, or for the issue and sale of the Bonds as contemplated therein. </w:t>
      </w:r>
    </w:p>
    <w:p>
      <w:pPr>
        <w:pStyle w:val="TextBody"/>
        <w:bidi w:val="0"/>
        <w:spacing w:before="240" w:after="0"/>
        <w:jc w:val="left"/>
        <w:rPr>
          <w:rFonts w:ascii="Times New Roman" w:hAnsi="Times New Roman"/>
          <w:sz w:val="20"/>
        </w:rPr>
      </w:pPr>
      <w:r>
        <w:rPr>
          <w:rFonts w:ascii="Times New Roman" w:hAnsi="Times New Roman"/>
          <w:sz w:val="20"/>
        </w:rPr>
        <w:t xml:space="preserve">(g) The statements set forth in the Disclosure Package and the Prospectus under the captions “Description of First Mortgage Bonds” and “Description of the Bonds” (insofar as such statements purport to summarize certain provisions of the Bonds and the Mortgage Indenture) fairly, accurately and completely summarize in all material respects the matters therein described. </w:t>
      </w:r>
    </w:p>
    <w:p>
      <w:pPr>
        <w:pStyle w:val="TextBody"/>
        <w:bidi w:val="0"/>
        <w:spacing w:before="240" w:after="0"/>
        <w:jc w:val="left"/>
        <w:rPr>
          <w:rFonts w:ascii="Times New Roman" w:hAnsi="Times New Roman"/>
          <w:sz w:val="20"/>
        </w:rPr>
      </w:pPr>
      <w:r>
        <w:rPr>
          <w:rFonts w:ascii="Times New Roman" w:hAnsi="Times New Roman"/>
          <w:sz w:val="20"/>
        </w:rPr>
        <w:t xml:space="preserve">(h) The statements set forth in the Disclosure Package and the Prospectus under the captions “Plan of Distribution” and “Underwriting (Conflicts of Interest)” (insofar as such statements purport to summarize certain provisions of the Underwriting Agreement) fairly, accurately and completely summarize in all material respects the matters therein described. </w:t>
      </w:r>
    </w:p>
    <w:p>
      <w:pPr>
        <w:pStyle w:val="TextBody"/>
        <w:bidi w:val="0"/>
        <w:spacing w:before="240" w:after="0"/>
        <w:jc w:val="left"/>
        <w:rPr>
          <w:rFonts w:ascii="Times New Roman" w:hAnsi="Times New Roman"/>
          <w:sz w:val="20"/>
        </w:rPr>
      </w:pPr>
      <w:r>
        <w:rPr>
          <w:rFonts w:ascii="Times New Roman" w:hAnsi="Times New Roman"/>
          <w:sz w:val="20"/>
        </w:rPr>
        <w:t xml:space="preserve">(i) The statements set forth in the Disclosure Package and the Prospectus under the caption “Material U.S. Federal Income Tax Considerations,” insofar as they purport to constitute summaries of matters of United States federal income tax law, constitute accurate and complete summaries, in all material respects, subject to the qualifications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(j) The Company is not, and will not be after giving effect to the offer and sale of the Bonds and application of the proceeds therefrom as described in the Prospectus, required to register as an “investment company” (as such term is defined in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(k) No facts came to the attention of such counsel that gave such counsel reason to believe that (i) any part of the Registration Statement, as of the date of the Underwriting Agreement, contained an untrue statement of a material fact or omitted to state a material fact required to be stated therein or necessary to make the statements therein not misleading, (ii) the Disclosure Package, as of the Initial Sale Time, contained an untrue statement of a material fact or omitted to state a material fact necessary in order to make the statements therein, in the light of the circumstances under which they were made, not misleading or (iii) the Prospectus contained, as of the date of the Underwriting Agreement, or contains, on the date hereof, an untrue statement of a material fact or omitted, as of the date of the Underwriting Agreement, or omits, on the date hereof, to state a material fact necessary in order to make the statements therein, in the light of the circumstances under which they were made, not misleading, except that in each case such counsel may express no opinion or belief with respect to the financial statements, financial data, statistical data and supporting schedules included or incorporated or deemed to be incorporated by reference therein or omitted therefrom.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A </w:t>
      </w:r>
    </w:p>
    <w:p>
      <w:pPr>
        <w:pStyle w:val="TextBody"/>
        <w:bidi w:val="0"/>
        <w:spacing w:before="240" w:after="0"/>
        <w:jc w:val="center"/>
        <w:rPr>
          <w:rFonts w:ascii="Times New Roman" w:hAnsi="Times New Roman"/>
          <w:sz w:val="20"/>
        </w:rPr>
      </w:pPr>
      <w:r>
        <w:rPr>
          <w:rFonts w:ascii="Times New Roman" w:hAnsi="Times New Roman"/>
          <w:sz w:val="20"/>
        </w:rPr>
        <w:t xml:space="preserve">DISCLOSURE PACKAGE </w:t>
      </w:r>
    </w:p>
    <w:p>
      <w:pPr>
        <w:pStyle w:val="TextBody"/>
        <w:bidi w:val="0"/>
        <w:spacing w:before="240" w:after="0"/>
        <w:jc w:val="left"/>
        <w:rPr>
          <w:rFonts w:ascii="Times New Roman" w:hAnsi="Times New Roman"/>
          <w:sz w:val="20"/>
        </w:rPr>
      </w:pPr>
      <w:r>
        <w:rPr>
          <w:rFonts w:ascii="Times New Roman" w:hAnsi="Times New Roman"/>
          <w:sz w:val="20"/>
        </w:rPr>
        <w:t xml:space="preserve">1. The Preliminary Prospectus. </w:t>
      </w:r>
    </w:p>
    <w:p>
      <w:pPr>
        <w:pStyle w:val="TextBody"/>
        <w:bidi w:val="0"/>
        <w:spacing w:before="240" w:after="0"/>
        <w:jc w:val="left"/>
        <w:rPr>
          <w:rFonts w:ascii="Times New Roman" w:hAnsi="Times New Roman"/>
          <w:sz w:val="20"/>
        </w:rPr>
      </w:pPr>
      <w:r>
        <w:rPr>
          <w:rFonts w:ascii="Times New Roman" w:hAnsi="Times New Roman"/>
          <w:sz w:val="20"/>
        </w:rPr>
        <w:t xml:space="preserve">2. The Final Term Sheet.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the “Disclosure Package,” the information contained in the foregoing documents shall be considered together.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A-2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Opinion of Heather A. Humphrey, Senior Vice President, General Counsel and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validly organized and existing corporation in good standing under the laws of the State of Kansas with corporate power and authority to own, lease and operate its properties and to conduct its business as set forth in the Disclosure Package and the Prospectus and to enter into and perform its obligations under the Underwriting Agreement. </w:t>
      </w:r>
    </w:p>
    <w:p>
      <w:pPr>
        <w:pStyle w:val="TextBody"/>
        <w:bidi w:val="0"/>
        <w:spacing w:before="240" w:after="0"/>
        <w:jc w:val="left"/>
        <w:rPr>
          <w:rFonts w:ascii="Times New Roman" w:hAnsi="Times New Roman"/>
          <w:sz w:val="20"/>
        </w:rPr>
      </w:pPr>
      <w:r>
        <w:rPr>
          <w:rFonts w:ascii="Times New Roman" w:hAnsi="Times New Roman"/>
          <w:sz w:val="20"/>
        </w:rPr>
        <w:t xml:space="preserve">(b) The Underwriting Agreement has been duly authorized, executed and delivered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 Mortgage Indenture is in due and proper form, has been duly and validly authorized by all necessary corporate action, has been duly and validly executed and delivered, and is a valid instrument legally binding on the Company enforceable in accordance with its terms, except as enforcement thereof may be limited by bankruptcy, insolvency, reorganization, moratorium or other similar laws relating to or affecting enforcement of mortgagees’ or other creditors’ rights generally and by the effect of general principles of equity (regardless of whether enforceability is considered in a proceeding in equity or at law); </w:t>
      </w:r>
      <w:r>
        <w:rPr>
          <w:rFonts w:ascii="Times New Roman" w:hAnsi="Times New Roman"/>
          <w:i/>
          <w:sz w:val="20"/>
        </w:rPr>
        <w:t>provided</w:t>
      </w:r>
      <w:r>
        <w:rPr>
          <w:rFonts w:ascii="Times New Roman" w:hAnsi="Times New Roman"/>
          <w:sz w:val="20"/>
        </w:rPr>
        <w:t xml:space="preserve">, however, that certain remedial provisions of the Mortgage Indenture may not be enforceable, but such unenforceability will not render the Mortgage Indenture invalid as a whole or affect the judicial enforcement of (i) the obligation of the Company to repay the principal of the Bonds, together with the interest and any premium thereon, as provided in the Bonds, (ii) the acceleration of the obligation of the Company to repay such principal, together with such interest and premium, based upon a material default by the Company in the payment of such principal, interest or premium or (iii) the right of the Trustee to exercise its right to foreclose under the Mortgage Indenture. </w:t>
      </w:r>
    </w:p>
    <w:p>
      <w:pPr>
        <w:pStyle w:val="TextBody"/>
        <w:bidi w:val="0"/>
        <w:spacing w:before="240" w:after="0"/>
        <w:jc w:val="left"/>
        <w:rPr>
          <w:rFonts w:ascii="Times New Roman" w:hAnsi="Times New Roman"/>
          <w:sz w:val="20"/>
        </w:rPr>
      </w:pPr>
      <w:r>
        <w:rPr>
          <w:rFonts w:ascii="Times New Roman" w:hAnsi="Times New Roman"/>
          <w:sz w:val="20"/>
        </w:rPr>
        <w:t xml:space="preserve">(d) The Bonds are in due and proper form; the issue and sale of the Bonds by the Company in accordance with the terms of the Underwriting Agreement have been duly and validly approved by the necessary corporate action of the Company; the Bonds have been duly authorized, executed and delivered by the Company and, when authenticated by the Trustee in accordance with the terms of the Mortgage Indenture and delivered against payment therefor pursuant to the terms of the Underwriting Agreement, will constitute legal, valid and binding obligations of the Company enforceable in accordance with their terms, secured by the lien of and entitled to the benefits provided by the Mortgage Indenture, except as enforcement thereof may be limited by bankruptcy, insolvency, reorganization, moratorium or other similar laws relating to or affecting enforcement of mortgagees’ or other creditors’ rights generally and by the effect of general principles of equity (regardless of whether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(e) Except as to property acquired subsequent to the execution and delivery of the Supplemental Indenture, the Company has good and sufficient title to, or a satisfactory easement in, the Mortgaged Property (as such term is defined in the Mortgage Indenture) (except such property as may have been disposed of or released from the lien of the Mortgage Indenture in accordance with the terms thereof), subject only to (i) the lien of the Mortgage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exceptions and reservations specifically set forth therein, (iii) Permitted Liens (as such term is defined in the Mortgage Indenture), (iv) leases and minor liens of judgments not prior to the lien of the Mortgage Indenture that, in my opinion, do not interfere with the Company’s business, (v) defects, irregularities and deficiencies in titles of properties and rights-of-way that, in my opinion, do not materially impair the use of such property and rights-of-way for the purposes for which they are held by the Company and (vi) matters specified in the Disclosure Package and the Prospectus under “Description of First Mortgage Bonds—Priority and Security;” the description in the Mortgage Indenture of such property is adequate to constitute the mortgage lien thereon; the Mortgage Indenture, subject only to the qualifications set forth in this paragraph (e) and to such other matters as do not materially affect the security for the Bonds, constitutes a valid, direct first mortgage lien on the Mortgaged Property, and all property (to the extent such property constitutes Mortgaged Property) acquired by the Company after the execution and delivery of the Supplemental Indenture will, upon such acquisition, become subject to the lien of the Mortgage Indenture to the extent provided therein, subject, however, to Permitted Liens and such other exceptions as are permitted by the Mortgage Indenture. </w:t>
      </w:r>
    </w:p>
    <w:p>
      <w:pPr>
        <w:pStyle w:val="TextBody"/>
        <w:bidi w:val="0"/>
        <w:spacing w:before="240" w:after="0"/>
        <w:jc w:val="left"/>
        <w:rPr>
          <w:rFonts w:ascii="Times New Roman" w:hAnsi="Times New Roman"/>
          <w:sz w:val="20"/>
        </w:rPr>
      </w:pPr>
      <w:r>
        <w:rPr>
          <w:rFonts w:ascii="Times New Roman" w:hAnsi="Times New Roman"/>
          <w:sz w:val="20"/>
        </w:rPr>
        <w:t xml:space="preserve">(f) The Mortgage Indenture has been duly recorded and filed in each place in which such recording or filing is required to establish, protect and preserve the lien of the Mortgage Indenture on the Mortgaged Property, and all taxes and recording or filing fees required to be paid in connection with the execution, recording or filing of the Mortgage Indenture have been duly paid. </w:t>
      </w:r>
    </w:p>
    <w:p>
      <w:pPr>
        <w:pStyle w:val="TextBody"/>
        <w:bidi w:val="0"/>
        <w:spacing w:before="240" w:after="0"/>
        <w:jc w:val="left"/>
        <w:rPr>
          <w:rFonts w:ascii="Times New Roman" w:hAnsi="Times New Roman"/>
          <w:sz w:val="20"/>
        </w:rPr>
      </w:pPr>
      <w:r>
        <w:rPr>
          <w:rFonts w:ascii="Times New Roman" w:hAnsi="Times New Roman"/>
          <w:sz w:val="20"/>
        </w:rPr>
        <w:t xml:space="preserve">(g) The Subsidiary has been duly organized and is validly existing as a corporation in good standing under the laws of the jurisdiction of its incorporation, has the corporate power and authority to own, lease and operate its properties and to conduct its business as described in the Disclosure Package and the Prospectus and is duly qualified as a foreign corporation to transact business and is in good standing in each jurisdiction in which such qualification is required, whether by reason of the ownership or leasing of property or the conduct of business, except where the failure so to qualify or to be in good standing would not result in a Material Adverse Change; except as otherwise disclosed in the Disclosure Package and the Prospectus, all of the issued and outstanding shares of capital stock of the Subsidiary have been duly authorized and validly issued, are fully paid and non-assessable and, to the best of such counsel’s knowledge, such shares of capital stock are owned directly by the Company free and clear of any security interest, mortgage, pledge, lien, encumbrance or claim; and none of the outstanding shares of capital stock of the Subsidiary was issued in violation of preemptive or other similar rights of any securityholder of the Subsidiary. </w:t>
      </w:r>
    </w:p>
    <w:p>
      <w:pPr>
        <w:pStyle w:val="TextBody"/>
        <w:bidi w:val="0"/>
        <w:spacing w:before="240" w:after="0"/>
        <w:jc w:val="left"/>
        <w:rPr>
          <w:rFonts w:ascii="Times New Roman" w:hAnsi="Times New Roman"/>
          <w:sz w:val="20"/>
        </w:rPr>
      </w:pPr>
      <w:r>
        <w:rPr>
          <w:rFonts w:ascii="Times New Roman" w:hAnsi="Times New Roman"/>
          <w:sz w:val="20"/>
        </w:rPr>
        <w:t xml:space="preserve">(h) The Company has obtained all necessary consents, orders or approvals in connection with the issuance and sale of the Bonds. No additional consent, approval, authorization, filing with or order of (i) the Federal Energy Regulatory Commission under the Federal Power Act, (ii) the State Corporation Commission of the State of Kansas or (iii) to the knowledge of the Company, any court or governmental agency or body is required in connection with the transactions contemplated by the Underwriting Agreement or the Mortgage Indenture, except as may be required under securities or blue sky laws of the various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Company and the Subsidiary hold, to the extent required, valid and subsisting franchises, certificates of convenience and authority, licenses and permits authorizing them to carry on the regulated utility businesses in which they are engaged, in the territories from which substantially all of their consolidated gross operating revenue is derived, except where the failure to hold such franchises, certificates of convenience and authority, licenses and permits would not reasonably be expected to result in a Material Adverse Change. </w:t>
      </w:r>
    </w:p>
    <w:p>
      <w:pPr>
        <w:pStyle w:val="TextBody"/>
        <w:bidi w:val="0"/>
        <w:spacing w:before="240" w:after="0"/>
        <w:jc w:val="left"/>
        <w:rPr>
          <w:rFonts w:ascii="Times New Roman" w:hAnsi="Times New Roman"/>
          <w:sz w:val="20"/>
        </w:rPr>
      </w:pPr>
      <w:r>
        <w:rPr>
          <w:rFonts w:ascii="Times New Roman" w:hAnsi="Times New Roman"/>
          <w:sz w:val="20"/>
        </w:rPr>
        <w:t xml:space="preserve">(j) To the best of such counsel’s knowledge, there are no legal or governmental proceedings pending or threatened that are required to be disclosed in the Disclosure Package and the Prospectus, other than those disclosed therein, and all pending legal or governmental proceedings to which the Company or any of its subsidiaries is a party or of which any of their property is the subject that are not described in the Disclosure Package and the Prospectus, including ordinary routine litigation incidental to the business of the Company, are, considered in the aggregate, not material to the consolidated financial condition of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(k) To the best of such counsel’s knowledge, the Company is not in violation of its Amended and Restated Articles of Incorporation, as amended, or in default in the performance or observance of any material obligation, agreement, covenant or condition contained in any material Agreement or Instrument. </w:t>
      </w:r>
    </w:p>
    <w:p>
      <w:pPr>
        <w:pStyle w:val="TextBody"/>
        <w:bidi w:val="0"/>
        <w:spacing w:before="240" w:after="0"/>
        <w:jc w:val="left"/>
        <w:rPr>
          <w:rFonts w:ascii="Times New Roman" w:hAnsi="Times New Roman"/>
          <w:sz w:val="20"/>
        </w:rPr>
      </w:pPr>
      <w:r>
        <w:rPr>
          <w:rFonts w:ascii="Times New Roman" w:hAnsi="Times New Roman"/>
          <w:sz w:val="20"/>
        </w:rPr>
        <w:t xml:space="preserve">(l) The execution, delivery and performance of the Underwriting Agreement, the Mortgage Indenture and the Bonds and the consummation of the transactions contemplated therein (including the issuance and sale of the Bonds and the use of the proceeds received by the Company from the sale of the Bonds as described in the Disclosure Package and in the Prospectus under the caption “Use of Proceeds”) and compliance by the Company with its obligations under the Underwriting Agreement, the Mortgage Indenture and the Bonds do not and will not conflict with or violate or constitute a breach of, or default under, or result in the creation or imposition of any lien, charge or encumbrance (other than the lien of the Mortgage Indenture) upon any property or assets of the Company or the Subsidiary pursuant to any material Agreement or Instrument or any law, any regulation or any administrative or court order or decree known to such counsel to be applicable to the Company of any court or governmental agency, authority or body or any arbitrator having jurisdiction over the Company; nor will such action result in any violation of the provisions of the Company’s Amended and Restated Articles of Incorporation, as amended, or the Company’s Amended and Restated By-Laws, as amended. </w:t>
      </w:r>
    </w:p>
    <w:p>
      <w:pPr>
        <w:pStyle w:val="TextBody"/>
        <w:bidi w:val="0"/>
        <w:spacing w:before="240" w:after="0"/>
        <w:jc w:val="left"/>
        <w:rPr>
          <w:rFonts w:ascii="Times New Roman" w:hAnsi="Times New Roman"/>
          <w:sz w:val="20"/>
        </w:rPr>
      </w:pPr>
      <w:r>
        <w:rPr>
          <w:rFonts w:ascii="Times New Roman" w:hAnsi="Times New Roman"/>
          <w:sz w:val="20"/>
        </w:rPr>
        <w:t xml:space="preserve">(m) To the best of such counsel’s knowledge, there are no contracts, indentures, mortgages, loan agreements, notes, leases or other instruments or documents required to be described or referred to in the Disclosure Package or the Prospectus or to be filed as exhibits or incorporated by reference as exhibits to the Registration Statement other than those described or referred to therein or filed or incorporated by reference as exhibits to the Registration Statement, the descriptions thereof or references thereto are correct in all material respects, and no default exists in the due performance or observance of any material obligation, agreement, covenant or condition contained in any Agreement or Instrument described, referred to, filed or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In rendering such opinion, such counsel may state that such counsel expresses no opinion as to the laws of any jurisdiction other than the laws of the State of Kansas and the federal laws of the United States of America.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A-2-3 </w:t>
      </w:r>
    </w:p>
    <w:p>
      <w:pPr>
        <w:pStyle w:val="TextBody"/>
        <w:bidi w:val="0"/>
        <w:spacing w:before="0" w:after="0"/>
        <w:jc w:val="right"/>
        <w:rPr>
          <w:rFonts w:ascii="Times New Roman" w:hAnsi="Times New Roman"/>
          <w:b/>
          <w:sz w:val="20"/>
        </w:rPr>
      </w:pPr>
      <w:bookmarkStart w:id="4" w:name="d917808dex41.htm"/>
      <w:bookmarkStart w:id="5" w:name="ksd917808dex41"/>
      <w:bookmarkEnd w:id="4"/>
      <w:bookmarkEnd w:id="5"/>
      <w:r>
        <w:rPr>
          <w:rFonts w:ascii="Times New Roman" w:hAnsi="Times New Roman"/>
          <w:b/>
          <w:sz w:val="20"/>
        </w:rPr>
        <w:t xml:space="preserve">Exhibit 4.1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EVERGY KANSAS CENTRAL, INC. </w:t>
      </w:r>
    </w:p>
    <w:p>
      <w:pPr>
        <w:pStyle w:val="TextBody"/>
        <w:bidi w:val="0"/>
        <w:spacing w:before="240" w:after="0"/>
        <w:jc w:val="center"/>
        <w:rPr>
          <w:rFonts w:ascii="Times New Roman" w:hAnsi="Times New Roman"/>
          <w:b/>
          <w:sz w:val="20"/>
        </w:rPr>
      </w:pPr>
      <w:r>
        <w:rPr>
          <w:rFonts w:ascii="Times New Roman" w:hAnsi="Times New Roman"/>
          <w:b/>
          <w:sz w:val="20"/>
        </w:rPr>
        <w:t xml:space="preserve">TO </w:t>
      </w:r>
    </w:p>
    <w:p>
      <w:pPr>
        <w:pStyle w:val="TextBody"/>
        <w:bidi w:val="0"/>
        <w:spacing w:before="240" w:after="0"/>
        <w:jc w:val="center"/>
        <w:rPr>
          <w:rFonts w:ascii="Times New Roman" w:hAnsi="Times New Roman"/>
          <w:b/>
          <w:sz w:val="20"/>
        </w:rPr>
      </w:pPr>
      <w:r>
        <w:rPr>
          <w:rFonts w:ascii="Times New Roman" w:hAnsi="Times New Roman"/>
          <w:b/>
          <w:sz w:val="20"/>
        </w:rPr>
        <w:t xml:space="preserve">THE BANK OF NEW YORK MELLON TRUST COMPANY, N.A. </w:t>
      </w:r>
    </w:p>
    <w:p>
      <w:pPr>
        <w:pStyle w:val="TextBody"/>
        <w:bidi w:val="0"/>
        <w:spacing w:before="0" w:after="0"/>
        <w:jc w:val="center"/>
        <w:rPr>
          <w:rFonts w:ascii="Times New Roman" w:hAnsi="Times New Roman"/>
          <w:b/>
          <w:sz w:val="20"/>
        </w:rPr>
      </w:pPr>
      <w:r>
        <w:rPr>
          <w:rFonts w:ascii="Times New Roman" w:hAnsi="Times New Roman"/>
          <w:b/>
          <w:sz w:val="20"/>
        </w:rPr>
        <w:t xml:space="preserve">as 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(as Successor to </w:t>
      </w:r>
    </w:p>
    <w:p>
      <w:pPr>
        <w:pStyle w:val="TextBody"/>
        <w:bidi w:val="0"/>
        <w:spacing w:before="0" w:after="0"/>
        <w:jc w:val="center"/>
        <w:rPr>
          <w:rFonts w:ascii="Times New Roman" w:hAnsi="Times New Roman"/>
          <w:b/>
          <w:sz w:val="20"/>
        </w:rPr>
      </w:pPr>
      <w:r>
        <w:rPr>
          <w:rFonts w:ascii="Times New Roman" w:hAnsi="Times New Roman"/>
          <w:b/>
          <w:sz w:val="20"/>
        </w:rPr>
        <w:t xml:space="preserve">HARRIS TRUST AND SAVINGS BANK)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FIFTY-FIFTH SUPPLEMENTAL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to Original Mortgage Filed with Shawnee County Register of Deeds </w:t>
      </w:r>
    </w:p>
    <w:p>
      <w:pPr>
        <w:pStyle w:val="TextBody"/>
        <w:bidi w:val="0"/>
        <w:spacing w:before="240" w:after="0"/>
        <w:jc w:val="center"/>
        <w:rPr>
          <w:rFonts w:ascii="Times New Roman" w:hAnsi="Times New Roman"/>
          <w:b/>
          <w:sz w:val="20"/>
        </w:rPr>
      </w:pPr>
      <w:r>
        <w:rPr>
          <w:rFonts w:ascii="Times New Roman" w:hAnsi="Times New Roman"/>
          <w:b/>
          <w:sz w:val="20"/>
        </w:rPr>
        <w:t xml:space="preserve">on July 1, 1939, at Book 778 Page 216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1, 2026 </w:t>
      </w:r>
    </w:p>
    <w:p>
      <w:pPr>
        <w:pStyle w:val="TextBody"/>
        <w:bidi w:val="0"/>
        <w:spacing w:before="0" w:after="0"/>
        <w:jc w:val="center"/>
        <w:rPr>
          <w:rFonts w:ascii="Times New Roman" w:hAnsi="Times New Roman"/>
          <w:sz w:val="20"/>
        </w:rPr>
      </w:pPr>
      <w:r>
        <w:rPr>
          <w:rFonts w:ascii="Times New Roman" w:hAnsi="Times New Roman"/>
          <w:sz w:val="20"/>
        </w:rPr>
        <w:t xml:space="preserve">First Mortgage Bonds, 5.300% Series due 2036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24"/>
        <w:gridCol w:w="120"/>
        <w:gridCol w:w="60"/>
        <w:gridCol w:w="140"/>
        <w:gridCol w:w="61"/>
      </w:tblGrid>
      <w:tr>
        <w:trPr/>
        <w:tc>
          <w:tcPr>
            <w:tcW w:w="98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c>
          <w:tcPr>
            <w:tcW w:w="9824" w:type="dxa"/>
            <w:tcBorders/>
          </w:tcPr>
          <w:p>
            <w:pPr>
              <w:pStyle w:val="TableContents"/>
              <w:bidi w:val="0"/>
              <w:spacing w:before="0" w:after="0"/>
              <w:jc w:val="left"/>
              <w:rPr>
                <w:rFonts w:ascii="Times New Roman" w:hAnsi="Times New Roman"/>
                <w:sz w:val="20"/>
              </w:rPr>
            </w:pPr>
            <w:r>
              <w:rPr>
                <w:rFonts w:ascii="Times New Roman" w:hAnsi="Times New Roman"/>
                <w:sz w:val="20"/>
              </w:rPr>
              <w:t>Parties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1</w:t>
            </w:r>
          </w:p>
        </w:tc>
        <w:tc>
          <w:tcPr>
            <w:tcW w:w="61" w:type="dxa"/>
            <w:tcBorders/>
            <w:vAlign w:val="bottom"/>
          </w:tcPr>
          <w:p>
            <w:pPr>
              <w:pStyle w:val="TableContents"/>
              <w:bidi w:val="0"/>
              <w:spacing w:before="0" w:after="283"/>
              <w:jc w:val="left"/>
              <w:rPr/>
            </w:pPr>
            <w:r>
              <w:rPr/>
              <w:t> </w:t>
            </w:r>
          </w:p>
        </w:tc>
      </w:tr>
      <w:tr>
        <w:trPr/>
        <w:tc>
          <w:tcPr>
            <w:tcW w:w="9824" w:type="dxa"/>
            <w:tcBorders/>
          </w:tcPr>
          <w:p>
            <w:pPr>
              <w:pStyle w:val="TableContents"/>
              <w:bidi w:val="0"/>
              <w:spacing w:before="0" w:after="0"/>
              <w:jc w:val="left"/>
              <w:rPr>
                <w:rFonts w:ascii="Times New Roman" w:hAnsi="Times New Roman"/>
                <w:sz w:val="20"/>
              </w:rPr>
            </w:pPr>
            <w:r>
              <w:rPr>
                <w:rFonts w:ascii="Times New Roman" w:hAnsi="Times New Roman"/>
                <w:sz w:val="20"/>
              </w:rPr>
              <w:t>Recitals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1</w:t>
            </w:r>
          </w:p>
        </w:tc>
        <w:tc>
          <w:tcPr>
            <w:tcW w:w="61" w:type="dxa"/>
            <w:tcBorders/>
            <w:vAlign w:val="bottom"/>
          </w:tcPr>
          <w:p>
            <w:pPr>
              <w:pStyle w:val="TableContents"/>
              <w:bidi w:val="0"/>
              <w:spacing w:before="0" w:after="283"/>
              <w:jc w:val="left"/>
              <w:rPr/>
            </w:pPr>
            <w:r>
              <w:rPr/>
              <w:t> </w:t>
            </w:r>
          </w:p>
        </w:tc>
      </w:tr>
      <w:tr>
        <w:trPr/>
        <w:tc>
          <w:tcPr>
            <w:tcW w:w="9824" w:type="dxa"/>
            <w:tcBorders/>
          </w:tcPr>
          <w:p>
            <w:pPr>
              <w:pStyle w:val="TableContents"/>
              <w:bidi w:val="0"/>
              <w:spacing w:before="0" w:after="0"/>
              <w:jc w:val="left"/>
              <w:rPr>
                <w:rFonts w:ascii="Times New Roman" w:hAnsi="Times New Roman"/>
                <w:sz w:val="20"/>
              </w:rPr>
            </w:pPr>
            <w:r>
              <w:rPr>
                <w:rFonts w:ascii="Times New Roman" w:hAnsi="Times New Roman"/>
                <w:sz w:val="20"/>
              </w:rPr>
              <w:t>Granting Clause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5</w:t>
            </w:r>
          </w:p>
        </w:tc>
        <w:tc>
          <w:tcPr>
            <w:tcW w:w="61" w:type="dxa"/>
            <w:tcBorders/>
            <w:vAlign w:val="bottom"/>
          </w:tcPr>
          <w:p>
            <w:pPr>
              <w:pStyle w:val="TableContents"/>
              <w:bidi w:val="0"/>
              <w:spacing w:before="0" w:after="283"/>
              <w:jc w:val="left"/>
              <w:rPr/>
            </w:pPr>
            <w:r>
              <w:rPr/>
              <w:t> </w:t>
            </w:r>
          </w:p>
        </w:tc>
      </w:tr>
      <w:tr>
        <w:trPr/>
        <w:tc>
          <w:tcPr>
            <w:tcW w:w="9824" w:type="dxa"/>
            <w:tcBorders/>
          </w:tcPr>
          <w:p>
            <w:pPr>
              <w:pStyle w:val="TableContents"/>
              <w:bidi w:val="0"/>
              <w:spacing w:before="0" w:after="0"/>
              <w:jc w:val="left"/>
              <w:rPr>
                <w:rFonts w:ascii="Times New Roman" w:hAnsi="Times New Roman"/>
                <w:sz w:val="20"/>
              </w:rPr>
            </w:pPr>
            <w:r>
              <w:rPr>
                <w:rFonts w:ascii="Times New Roman" w:hAnsi="Times New Roman"/>
                <w:sz w:val="20"/>
              </w:rPr>
              <w:t>Habendum</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7</w:t>
            </w:r>
          </w:p>
        </w:tc>
        <w:tc>
          <w:tcPr>
            <w:tcW w:w="61" w:type="dxa"/>
            <w:tcBorders/>
            <w:vAlign w:val="bottom"/>
          </w:tcPr>
          <w:p>
            <w:pPr>
              <w:pStyle w:val="TableContents"/>
              <w:bidi w:val="0"/>
              <w:spacing w:before="0" w:after="283"/>
              <w:jc w:val="left"/>
              <w:rPr/>
            </w:pPr>
            <w:r>
              <w:rPr/>
              <w:t> </w:t>
            </w:r>
          </w:p>
        </w:tc>
      </w:tr>
      <w:tr>
        <w:trPr/>
        <w:tc>
          <w:tcPr>
            <w:tcW w:w="9824" w:type="dxa"/>
            <w:tcBorders/>
          </w:tcPr>
          <w:p>
            <w:pPr>
              <w:pStyle w:val="TableContents"/>
              <w:bidi w:val="0"/>
              <w:spacing w:before="0" w:after="0"/>
              <w:jc w:val="left"/>
              <w:rPr>
                <w:rFonts w:ascii="Times New Roman" w:hAnsi="Times New Roman"/>
                <w:sz w:val="20"/>
              </w:rPr>
            </w:pPr>
            <w:r>
              <w:rPr>
                <w:rFonts w:ascii="Times New Roman" w:hAnsi="Times New Roman"/>
                <w:sz w:val="20"/>
              </w:rPr>
              <w:t>Exceptions and Reservations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8</w:t>
            </w:r>
          </w:p>
        </w:tc>
        <w:tc>
          <w:tcPr>
            <w:tcW w:w="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24"/>
        <w:gridCol w:w="262"/>
        <w:gridCol w:w="102"/>
        <w:gridCol w:w="454"/>
        <w:gridCol w:w="63"/>
      </w:tblGrid>
      <w:tr>
        <w:trPr/>
        <w:tc>
          <w:tcPr>
            <w:tcW w:w="9324"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24"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556" w:type="dxa"/>
            <w:gridSpan w:val="2"/>
            <w:tcBorders>
              <w:bottom w:val="single" w:sz="8" w:space="0" w:color="000000"/>
            </w:tcBorders>
            <w:tcMar>
              <w:bottom w:w="28" w:type="dxa"/>
            </w:tcMar>
            <w:vAlign w:val="bottom"/>
          </w:tcPr>
          <w:p>
            <w:pPr>
              <w:pStyle w:val="TableContents"/>
              <w:bidi w:val="0"/>
              <w:spacing w:before="0" w:after="283"/>
              <w:jc w:val="center"/>
              <w:rPr/>
            </w:pPr>
            <w:r>
              <w:rPr/>
              <w:t>P</w:t>
            </w:r>
            <w:r>
              <w:rPr>
                <w:sz w:val="20"/>
              </w:rPr>
              <w:t>AGE</w:t>
            </w:r>
          </w:p>
        </w:tc>
        <w:tc>
          <w:tcPr>
            <w:tcW w:w="63" w:type="dxa"/>
            <w:tcBorders/>
            <w:vAlign w:val="bottom"/>
          </w:tcPr>
          <w:p>
            <w:pPr>
              <w:pStyle w:val="TableContents"/>
              <w:bidi w:val="0"/>
              <w:spacing w:before="0" w:after="283"/>
              <w:jc w:val="left"/>
              <w:rPr/>
            </w:pPr>
            <w:r>
              <w:rPr/>
              <w:t> </w:t>
            </w:r>
          </w:p>
        </w:tc>
      </w:tr>
      <w:tr>
        <w:trPr>
          <w:trHeight w:val="240" w:hRule="atLeast"/>
        </w:trPr>
        <w:tc>
          <w:tcPr>
            <w:tcW w:w="9324" w:type="dxa"/>
            <w:tcBorders/>
            <w:vAlign w:val="center"/>
          </w:tcPr>
          <w:p>
            <w:pPr>
              <w:pStyle w:val="TableContents"/>
              <w:bidi w:val="0"/>
              <w:spacing w:before="0" w:after="283"/>
              <w:jc w:val="left"/>
              <w:rPr>
                <w:sz w:val="4"/>
                <w:szCs w:val="4"/>
              </w:rPr>
            </w:pPr>
            <w:r>
              <w:rPr>
                <w:sz w:val="4"/>
                <w:szCs w:val="4"/>
              </w:rPr>
            </w:r>
          </w:p>
        </w:tc>
        <w:tc>
          <w:tcPr>
            <w:tcW w:w="881" w:type="dxa"/>
            <w:gridSpan w:val="4"/>
            <w:tcBorders/>
            <w:vAlign w:val="center"/>
          </w:tcPr>
          <w:p>
            <w:pPr>
              <w:pStyle w:val="TableContents"/>
              <w:bidi w:val="0"/>
              <w:spacing w:before="0" w:after="283"/>
              <w:jc w:val="left"/>
              <w:rPr>
                <w:sz w:val="4"/>
                <w:szCs w:val="4"/>
              </w:rPr>
            </w:pPr>
            <w:r>
              <w:rPr>
                <w:sz w:val="4"/>
                <w:szCs w:val="4"/>
              </w:rPr>
            </w:r>
          </w:p>
        </w:tc>
      </w:tr>
      <w:tr>
        <w:trPr/>
        <w:tc>
          <w:tcPr>
            <w:tcW w:w="9324" w:type="dxa"/>
            <w:tcBorders/>
          </w:tcPr>
          <w:p>
            <w:pPr>
              <w:pStyle w:val="TableContents"/>
              <w:bidi w:val="0"/>
              <w:spacing w:before="0" w:after="283"/>
              <w:jc w:val="center"/>
              <w:rPr/>
            </w:pPr>
            <w:r>
              <w:rPr/>
              <w:t>ARTICLE I</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324" w:type="dxa"/>
            <w:tcBorders/>
          </w:tcPr>
          <w:p>
            <w:pPr>
              <w:pStyle w:val="TableContents"/>
              <w:bidi w:val="0"/>
              <w:spacing w:before="0" w:after="283"/>
              <w:jc w:val="center"/>
              <w:rPr/>
            </w:pPr>
            <w:r>
              <w:rPr/>
              <w:t>D</w:t>
            </w:r>
            <w:r>
              <w:rPr>
                <w:sz w:val="20"/>
              </w:rPr>
              <w:t>ESCRIPTION</w:t>
            </w:r>
            <w:r>
              <w:rPr/>
              <w:t xml:space="preserve"> </w:t>
            </w:r>
            <w:r>
              <w:rPr>
                <w:sz w:val="20"/>
              </w:rPr>
              <w:t>OF</w:t>
            </w:r>
            <w:r>
              <w:rPr/>
              <w:t xml:space="preserve"> B</w:t>
            </w:r>
            <w:r>
              <w:rPr>
                <w:sz w:val="20"/>
              </w:rPr>
              <w:t>ONDS</w:t>
            </w:r>
            <w:r>
              <w:rPr/>
              <w:t xml:space="preserve"> </w:t>
            </w:r>
            <w:r>
              <w:rPr>
                <w:sz w:val="20"/>
              </w:rPr>
              <w:t>OF</w:t>
            </w:r>
            <w:r>
              <w:rPr/>
              <w:t xml:space="preserve"> </w:t>
            </w:r>
            <w:r>
              <w:rPr>
                <w:sz w:val="20"/>
              </w:rPr>
              <w:t>THE</w:t>
            </w:r>
            <w:r>
              <w:rPr/>
              <w:t xml:space="preserve"> 5.300% S</w:t>
            </w:r>
            <w:r>
              <w:rPr>
                <w:sz w:val="20"/>
              </w:rPr>
              <w:t>ERIES</w:t>
            </w:r>
            <w:r>
              <w:rPr/>
              <w:t xml:space="preserve"> </w:t>
            </w:r>
            <w:r>
              <w:rPr>
                <w:sz w:val="20"/>
              </w:rPr>
              <w:t>DUE</w:t>
            </w:r>
            <w:r>
              <w:rPr/>
              <w:t xml:space="preserve"> 2036</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9324" w:type="dxa"/>
            <w:tcBorders/>
            <w:vAlign w:val="center"/>
          </w:tcPr>
          <w:p>
            <w:pPr>
              <w:pStyle w:val="TableContents"/>
              <w:bidi w:val="0"/>
              <w:spacing w:before="0" w:after="283"/>
              <w:jc w:val="left"/>
              <w:rPr>
                <w:sz w:val="4"/>
                <w:szCs w:val="4"/>
              </w:rPr>
            </w:pPr>
            <w:r>
              <w:rPr>
                <w:sz w:val="4"/>
                <w:szCs w:val="4"/>
              </w:rPr>
            </w:r>
          </w:p>
        </w:tc>
        <w:tc>
          <w:tcPr>
            <w:tcW w:w="881" w:type="dxa"/>
            <w:gridSpan w:val="4"/>
            <w:tcBorders/>
            <w:vAlign w:val="center"/>
          </w:tcPr>
          <w:p>
            <w:pPr>
              <w:pStyle w:val="TableContents"/>
              <w:bidi w:val="0"/>
              <w:spacing w:before="0" w:after="283"/>
              <w:jc w:val="left"/>
              <w:rPr>
                <w:sz w:val="4"/>
                <w:szCs w:val="4"/>
              </w:rPr>
            </w:pPr>
            <w:r>
              <w:rPr>
                <w:sz w:val="4"/>
                <w:szCs w:val="4"/>
              </w:rPr>
            </w:r>
          </w:p>
        </w:tc>
      </w:tr>
      <w:tr>
        <w:trPr/>
        <w:tc>
          <w:tcPr>
            <w:tcW w:w="9324" w:type="dxa"/>
            <w:tcBorders/>
          </w:tcPr>
          <w:p>
            <w:pPr>
              <w:pStyle w:val="TableContents"/>
              <w:bidi w:val="0"/>
              <w:spacing w:before="0" w:after="0"/>
              <w:jc w:val="left"/>
              <w:rPr>
                <w:rFonts w:ascii="Times New Roman" w:hAnsi="Times New Roman"/>
                <w:sz w:val="20"/>
              </w:rPr>
            </w:pPr>
            <w:r>
              <w:rPr>
                <w:rFonts w:ascii="Times New Roman" w:hAnsi="Times New Roman"/>
                <w:sz w:val="20"/>
              </w:rPr>
              <w:t>Section 1. </w:t>
            </w:r>
            <w:r>
              <w:rPr>
                <w:rFonts w:ascii="Times New Roman" w:hAnsi="Times New Roman"/>
                <w:i/>
                <w:sz w:val="20"/>
              </w:rPr>
              <w:t>General</w:t>
            </w:r>
            <w:r>
              <w:rPr>
                <w:rFonts w:ascii="Times New Roman" w:hAnsi="Times New Roman"/>
                <w:sz w:val="20"/>
              </w:rPr>
              <w:t> </w:t>
            </w:r>
            <w:r>
              <w:rPr>
                <w:rFonts w:ascii="Times New Roman" w:hAnsi="Times New Roman"/>
                <w:i/>
                <w:sz w:val="20"/>
              </w:rPr>
              <w:t>Description of Bonds of the 5.300% Series due 2036</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324" w:type="dxa"/>
            <w:tcBorders/>
          </w:tcPr>
          <w:p>
            <w:pPr>
              <w:pStyle w:val="TableContents"/>
              <w:bidi w:val="0"/>
              <w:spacing w:before="0" w:after="0"/>
              <w:jc w:val="left"/>
              <w:rPr>
                <w:rFonts w:ascii="Times New Roman" w:hAnsi="Times New Roman"/>
                <w:sz w:val="20"/>
              </w:rPr>
            </w:pPr>
            <w:r>
              <w:rPr>
                <w:rFonts w:ascii="Times New Roman" w:hAnsi="Times New Roman"/>
                <w:sz w:val="20"/>
              </w:rPr>
              <w:t>Section 2. </w:t>
            </w:r>
            <w:r>
              <w:rPr>
                <w:rFonts w:ascii="Times New Roman" w:hAnsi="Times New Roman"/>
                <w:i/>
                <w:sz w:val="20"/>
              </w:rPr>
              <w:t>Denominations</w:t>
            </w:r>
            <w:r>
              <w:rPr>
                <w:rFonts w:ascii="Times New Roman" w:hAnsi="Times New Roman"/>
                <w:sz w:val="20"/>
              </w:rPr>
              <w:t> </w:t>
            </w:r>
            <w:r>
              <w:rPr>
                <w:rFonts w:ascii="Times New Roman" w:hAnsi="Times New Roman"/>
                <w:i/>
                <w:sz w:val="20"/>
              </w:rPr>
              <w:t>of Bonds of the 5.300% Series due 2036 and Privilege of Exchange</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24" w:type="dxa"/>
            <w:tcBorders/>
          </w:tcPr>
          <w:p>
            <w:pPr>
              <w:pStyle w:val="TableContents"/>
              <w:bidi w:val="0"/>
              <w:spacing w:before="0" w:after="0"/>
              <w:jc w:val="left"/>
              <w:rPr>
                <w:rFonts w:ascii="Times New Roman" w:hAnsi="Times New Roman"/>
                <w:sz w:val="20"/>
              </w:rPr>
            </w:pPr>
            <w:r>
              <w:rPr>
                <w:rFonts w:ascii="Times New Roman" w:hAnsi="Times New Roman"/>
                <w:sz w:val="20"/>
              </w:rPr>
              <w:t>Section 3. </w:t>
            </w:r>
            <w:r>
              <w:rPr>
                <w:rFonts w:ascii="Times New Roman" w:hAnsi="Times New Roman"/>
                <w:i/>
                <w:sz w:val="20"/>
              </w:rPr>
              <w:t>Form</w:t>
            </w:r>
            <w:r>
              <w:rPr>
                <w:rFonts w:ascii="Times New Roman" w:hAnsi="Times New Roman"/>
                <w:sz w:val="20"/>
              </w:rPr>
              <w:t> </w:t>
            </w:r>
            <w:r>
              <w:rPr>
                <w:rFonts w:ascii="Times New Roman" w:hAnsi="Times New Roman"/>
                <w:i/>
                <w:sz w:val="20"/>
              </w:rPr>
              <w:t>of Bonds of the 5.300% Series due 2036</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24" w:type="dxa"/>
            <w:tcBorders/>
          </w:tcPr>
          <w:p>
            <w:pPr>
              <w:pStyle w:val="TableContents"/>
              <w:bidi w:val="0"/>
              <w:spacing w:before="0" w:after="0"/>
              <w:jc w:val="left"/>
              <w:rPr>
                <w:rFonts w:ascii="Times New Roman" w:hAnsi="Times New Roman"/>
                <w:sz w:val="20"/>
              </w:rPr>
            </w:pPr>
            <w:r>
              <w:rPr>
                <w:rFonts w:ascii="Times New Roman" w:hAnsi="Times New Roman"/>
                <w:sz w:val="20"/>
              </w:rPr>
              <w:t>Section 4. </w:t>
            </w:r>
            <w:r>
              <w:rPr>
                <w:rFonts w:ascii="Times New Roman" w:hAnsi="Times New Roman"/>
                <w:i/>
                <w:sz w:val="20"/>
              </w:rPr>
              <w:t>Execution</w:t>
            </w:r>
            <w:r>
              <w:rPr>
                <w:rFonts w:ascii="Times New Roman" w:hAnsi="Times New Roman"/>
                <w:sz w:val="20"/>
              </w:rPr>
              <w:t> </w:t>
            </w:r>
            <w:r>
              <w:rPr>
                <w:rFonts w:ascii="Times New Roman" w:hAnsi="Times New Roman"/>
                <w:i/>
                <w:sz w:val="20"/>
              </w:rPr>
              <w:t>and Form of Temporary Bonds of the 5.300% Series due 2036</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240" w:hRule="atLeast"/>
        </w:trPr>
        <w:tc>
          <w:tcPr>
            <w:tcW w:w="9324" w:type="dxa"/>
            <w:tcBorders/>
            <w:vAlign w:val="center"/>
          </w:tcPr>
          <w:p>
            <w:pPr>
              <w:pStyle w:val="TableContents"/>
              <w:bidi w:val="0"/>
              <w:spacing w:before="0" w:after="283"/>
              <w:jc w:val="left"/>
              <w:rPr>
                <w:sz w:val="4"/>
                <w:szCs w:val="4"/>
              </w:rPr>
            </w:pPr>
            <w:r>
              <w:rPr>
                <w:sz w:val="4"/>
                <w:szCs w:val="4"/>
              </w:rPr>
            </w:r>
          </w:p>
        </w:tc>
        <w:tc>
          <w:tcPr>
            <w:tcW w:w="881" w:type="dxa"/>
            <w:gridSpan w:val="4"/>
            <w:tcBorders/>
            <w:vAlign w:val="center"/>
          </w:tcPr>
          <w:p>
            <w:pPr>
              <w:pStyle w:val="TableContents"/>
              <w:bidi w:val="0"/>
              <w:spacing w:before="0" w:after="283"/>
              <w:jc w:val="left"/>
              <w:rPr>
                <w:sz w:val="4"/>
                <w:szCs w:val="4"/>
              </w:rPr>
            </w:pPr>
            <w:r>
              <w:rPr>
                <w:sz w:val="4"/>
                <w:szCs w:val="4"/>
              </w:rPr>
            </w:r>
          </w:p>
        </w:tc>
      </w:tr>
      <w:tr>
        <w:trPr/>
        <w:tc>
          <w:tcPr>
            <w:tcW w:w="9324" w:type="dxa"/>
            <w:tcBorders/>
          </w:tcPr>
          <w:p>
            <w:pPr>
              <w:pStyle w:val="TableContents"/>
              <w:bidi w:val="0"/>
              <w:spacing w:before="0" w:after="283"/>
              <w:jc w:val="center"/>
              <w:rPr/>
            </w:pPr>
            <w:r>
              <w:rPr/>
              <w:t>ARTICLE II</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324" w:type="dxa"/>
            <w:tcBorders/>
          </w:tcPr>
          <w:p>
            <w:pPr>
              <w:pStyle w:val="TableContents"/>
              <w:bidi w:val="0"/>
              <w:spacing w:before="0" w:after="283"/>
              <w:jc w:val="center"/>
              <w:rPr/>
            </w:pPr>
            <w:r>
              <w:rPr/>
              <w:t>I</w:t>
            </w:r>
            <w:r>
              <w:rPr>
                <w:sz w:val="20"/>
              </w:rPr>
              <w:t>SSUE</w:t>
            </w:r>
            <w:r>
              <w:rPr/>
              <w:t xml:space="preserve"> </w:t>
            </w:r>
            <w:r>
              <w:rPr>
                <w:sz w:val="20"/>
              </w:rPr>
              <w:t>OF</w:t>
            </w:r>
            <w:r>
              <w:rPr/>
              <w:t xml:space="preserve"> B</w:t>
            </w:r>
            <w:r>
              <w:rPr>
                <w:sz w:val="20"/>
              </w:rPr>
              <w:t>ONDS</w:t>
            </w:r>
            <w:r>
              <w:rPr/>
              <w:t xml:space="preserve"> </w:t>
            </w:r>
            <w:r>
              <w:rPr>
                <w:sz w:val="20"/>
              </w:rPr>
              <w:t>OF</w:t>
            </w:r>
            <w:r>
              <w:rPr/>
              <w:t xml:space="preserve"> </w:t>
            </w:r>
            <w:r>
              <w:rPr>
                <w:sz w:val="20"/>
              </w:rPr>
              <w:t>THE</w:t>
            </w:r>
            <w:r>
              <w:rPr/>
              <w:t xml:space="preserve"> 5.300% S</w:t>
            </w:r>
            <w:r>
              <w:rPr>
                <w:sz w:val="20"/>
              </w:rPr>
              <w:t>ERIES</w:t>
            </w:r>
            <w:r>
              <w:rPr/>
              <w:t xml:space="preserve"> </w:t>
            </w:r>
            <w:r>
              <w:rPr>
                <w:sz w:val="20"/>
              </w:rPr>
              <w:t>DUE</w:t>
            </w:r>
            <w:r>
              <w:rPr/>
              <w:t xml:space="preserve"> 2036</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9324" w:type="dxa"/>
            <w:tcBorders/>
            <w:vAlign w:val="center"/>
          </w:tcPr>
          <w:p>
            <w:pPr>
              <w:pStyle w:val="TableContents"/>
              <w:bidi w:val="0"/>
              <w:spacing w:before="0" w:after="283"/>
              <w:jc w:val="left"/>
              <w:rPr>
                <w:sz w:val="4"/>
                <w:szCs w:val="4"/>
              </w:rPr>
            </w:pPr>
            <w:r>
              <w:rPr>
                <w:sz w:val="4"/>
                <w:szCs w:val="4"/>
              </w:rPr>
            </w:r>
          </w:p>
        </w:tc>
        <w:tc>
          <w:tcPr>
            <w:tcW w:w="881" w:type="dxa"/>
            <w:gridSpan w:val="4"/>
            <w:tcBorders/>
            <w:vAlign w:val="center"/>
          </w:tcPr>
          <w:p>
            <w:pPr>
              <w:pStyle w:val="TableContents"/>
              <w:bidi w:val="0"/>
              <w:spacing w:before="0" w:after="283"/>
              <w:jc w:val="left"/>
              <w:rPr>
                <w:sz w:val="4"/>
                <w:szCs w:val="4"/>
              </w:rPr>
            </w:pPr>
            <w:r>
              <w:rPr>
                <w:sz w:val="4"/>
                <w:szCs w:val="4"/>
              </w:rPr>
            </w:r>
          </w:p>
        </w:tc>
      </w:tr>
      <w:tr>
        <w:trPr/>
        <w:tc>
          <w:tcPr>
            <w:tcW w:w="9324" w:type="dxa"/>
            <w:tcBorders/>
          </w:tcPr>
          <w:p>
            <w:pPr>
              <w:pStyle w:val="TableContents"/>
              <w:bidi w:val="0"/>
              <w:spacing w:before="0" w:after="0"/>
              <w:jc w:val="left"/>
              <w:rPr>
                <w:rFonts w:ascii="Times New Roman" w:hAnsi="Times New Roman"/>
                <w:sz w:val="20"/>
              </w:rPr>
            </w:pPr>
            <w:r>
              <w:rPr>
                <w:rFonts w:ascii="Times New Roman" w:hAnsi="Times New Roman"/>
                <w:sz w:val="20"/>
              </w:rPr>
              <w:t>Section 1. </w:t>
            </w:r>
            <w:r>
              <w:rPr>
                <w:rFonts w:ascii="Times New Roman" w:hAnsi="Times New Roman"/>
                <w:i/>
                <w:sz w:val="20"/>
              </w:rPr>
              <w:t>Limitation</w:t>
            </w:r>
            <w:r>
              <w:rPr>
                <w:rFonts w:ascii="Times New Roman" w:hAnsi="Times New Roman"/>
                <w:sz w:val="20"/>
              </w:rPr>
              <w:t> </w:t>
            </w:r>
            <w:r>
              <w:rPr>
                <w:rFonts w:ascii="Times New Roman" w:hAnsi="Times New Roman"/>
                <w:i/>
                <w:sz w:val="20"/>
              </w:rPr>
              <w:t>as to Principal Amount of Bonds of the 5.300% Series due 2036</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324" w:type="dxa"/>
            <w:tcBorders/>
          </w:tcPr>
          <w:p>
            <w:pPr>
              <w:pStyle w:val="TableContents"/>
              <w:bidi w:val="0"/>
              <w:spacing w:before="0" w:after="0"/>
              <w:jc w:val="left"/>
              <w:rPr>
                <w:rFonts w:ascii="Times New Roman" w:hAnsi="Times New Roman"/>
                <w:sz w:val="20"/>
              </w:rPr>
            </w:pPr>
            <w:r>
              <w:rPr>
                <w:rFonts w:ascii="Times New Roman" w:hAnsi="Times New Roman"/>
                <w:sz w:val="20"/>
              </w:rPr>
              <w:t>Section 2. </w:t>
            </w:r>
            <w:r>
              <w:rPr>
                <w:rFonts w:ascii="Times New Roman" w:hAnsi="Times New Roman"/>
                <w:i/>
                <w:sz w:val="20"/>
              </w:rPr>
              <w:t>Execution</w:t>
            </w:r>
            <w:r>
              <w:rPr>
                <w:rFonts w:ascii="Times New Roman" w:hAnsi="Times New Roman"/>
                <w:sz w:val="20"/>
              </w:rPr>
              <w:t> </w:t>
            </w:r>
            <w:r>
              <w:rPr>
                <w:rFonts w:ascii="Times New Roman" w:hAnsi="Times New Roman"/>
                <w:i/>
                <w:sz w:val="20"/>
              </w:rPr>
              <w:t>and Delivery of Bonds of the 5.300% Series due 2036</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324" w:type="dxa"/>
            <w:tcBorders/>
          </w:tcPr>
          <w:p>
            <w:pPr>
              <w:pStyle w:val="TableContents"/>
              <w:bidi w:val="0"/>
              <w:spacing w:before="0" w:after="0"/>
              <w:jc w:val="left"/>
              <w:rPr>
                <w:rFonts w:ascii="Times New Roman" w:hAnsi="Times New Roman"/>
                <w:sz w:val="20"/>
              </w:rPr>
            </w:pPr>
            <w:r>
              <w:rPr>
                <w:rFonts w:ascii="Times New Roman" w:hAnsi="Times New Roman"/>
                <w:sz w:val="20"/>
              </w:rPr>
              <w:t>Section 3. </w:t>
            </w:r>
            <w:r>
              <w:rPr>
                <w:rFonts w:ascii="Times New Roman" w:hAnsi="Times New Roman"/>
                <w:i/>
                <w:sz w:val="20"/>
              </w:rPr>
              <w:t>Additional Bonds of the 5.300% Series due 2036.</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rHeight w:val="240" w:hRule="atLeast"/>
        </w:trPr>
        <w:tc>
          <w:tcPr>
            <w:tcW w:w="9324" w:type="dxa"/>
            <w:tcBorders/>
            <w:vAlign w:val="center"/>
          </w:tcPr>
          <w:p>
            <w:pPr>
              <w:pStyle w:val="TableContents"/>
              <w:bidi w:val="0"/>
              <w:spacing w:before="0" w:after="283"/>
              <w:jc w:val="left"/>
              <w:rPr>
                <w:sz w:val="4"/>
                <w:szCs w:val="4"/>
              </w:rPr>
            </w:pPr>
            <w:r>
              <w:rPr>
                <w:sz w:val="4"/>
                <w:szCs w:val="4"/>
              </w:rPr>
            </w:r>
          </w:p>
        </w:tc>
        <w:tc>
          <w:tcPr>
            <w:tcW w:w="881" w:type="dxa"/>
            <w:gridSpan w:val="4"/>
            <w:tcBorders/>
            <w:vAlign w:val="center"/>
          </w:tcPr>
          <w:p>
            <w:pPr>
              <w:pStyle w:val="TableContents"/>
              <w:bidi w:val="0"/>
              <w:spacing w:before="0" w:after="283"/>
              <w:jc w:val="left"/>
              <w:rPr>
                <w:sz w:val="4"/>
                <w:szCs w:val="4"/>
              </w:rPr>
            </w:pPr>
            <w:r>
              <w:rPr>
                <w:sz w:val="4"/>
                <w:szCs w:val="4"/>
              </w:rPr>
            </w:r>
          </w:p>
        </w:tc>
      </w:tr>
      <w:tr>
        <w:trPr/>
        <w:tc>
          <w:tcPr>
            <w:tcW w:w="9324" w:type="dxa"/>
            <w:tcBorders/>
          </w:tcPr>
          <w:p>
            <w:pPr>
              <w:pStyle w:val="TableContents"/>
              <w:bidi w:val="0"/>
              <w:spacing w:before="0" w:after="283"/>
              <w:jc w:val="center"/>
              <w:rPr/>
            </w:pPr>
            <w:r>
              <w:rPr/>
              <w:t>ARTICLE III</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324" w:type="dxa"/>
            <w:tcBorders/>
          </w:tcPr>
          <w:p>
            <w:pPr>
              <w:pStyle w:val="TableContents"/>
              <w:bidi w:val="0"/>
              <w:spacing w:before="0" w:after="283"/>
              <w:jc w:val="center"/>
              <w:rPr/>
            </w:pPr>
            <w:r>
              <w:rPr/>
              <w:t>R</w:t>
            </w:r>
            <w:r>
              <w:rPr>
                <w:sz w:val="20"/>
              </w:rPr>
              <w:t>EDEMPTION</w:t>
            </w:r>
            <w:r>
              <w:rPr/>
              <w:t xml:space="preserve"> </w:t>
            </w:r>
            <w:r>
              <w:rPr>
                <w:sz w:val="20"/>
              </w:rPr>
              <w:t>AND</w:t>
            </w:r>
            <w:r>
              <w:rPr/>
              <w:t xml:space="preserve"> S</w:t>
            </w:r>
            <w:r>
              <w:rPr>
                <w:sz w:val="20"/>
              </w:rPr>
              <w:t>UBSTITUTION</w:t>
            </w:r>
            <w:r>
              <w:rPr/>
              <w:t xml:space="preserve"> </w:t>
            </w:r>
            <w:r>
              <w:rPr>
                <w:sz w:val="20"/>
              </w:rPr>
              <w:t>OF</w:t>
            </w:r>
            <w:r>
              <w:rPr/>
              <w:t xml:space="preserve"> B</w:t>
            </w:r>
            <w:r>
              <w:rPr>
                <w:sz w:val="20"/>
              </w:rPr>
              <w:t>ONDS</w:t>
            </w:r>
            <w:r>
              <w:rPr/>
              <w:t xml:space="preserve"> </w:t>
            </w:r>
            <w:r>
              <w:rPr>
                <w:sz w:val="20"/>
              </w:rPr>
              <w:t>OF</w:t>
            </w:r>
            <w:r>
              <w:rPr/>
              <w:t xml:space="preserve"> </w:t>
            </w:r>
            <w:r>
              <w:rPr>
                <w:sz w:val="20"/>
              </w:rPr>
              <w:t>THE</w:t>
            </w:r>
            <w:r>
              <w:rPr/>
              <w:t xml:space="preserve"> 5.300% S</w:t>
            </w:r>
            <w:r>
              <w:rPr>
                <w:sz w:val="20"/>
              </w:rPr>
              <w:t>ERIES</w:t>
            </w:r>
            <w:r>
              <w:rPr/>
              <w:t xml:space="preserve"> </w:t>
            </w:r>
            <w:r>
              <w:rPr>
                <w:sz w:val="20"/>
              </w:rPr>
              <w:t>DUE</w:t>
            </w:r>
            <w:r>
              <w:rPr/>
              <w:t xml:space="preserve"> 2036</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9324" w:type="dxa"/>
            <w:tcBorders/>
            <w:vAlign w:val="center"/>
          </w:tcPr>
          <w:p>
            <w:pPr>
              <w:pStyle w:val="TableContents"/>
              <w:bidi w:val="0"/>
              <w:spacing w:before="0" w:after="283"/>
              <w:jc w:val="left"/>
              <w:rPr>
                <w:sz w:val="4"/>
                <w:szCs w:val="4"/>
              </w:rPr>
            </w:pPr>
            <w:r>
              <w:rPr>
                <w:sz w:val="4"/>
                <w:szCs w:val="4"/>
              </w:rPr>
            </w:r>
          </w:p>
        </w:tc>
        <w:tc>
          <w:tcPr>
            <w:tcW w:w="881" w:type="dxa"/>
            <w:gridSpan w:val="4"/>
            <w:tcBorders/>
            <w:vAlign w:val="center"/>
          </w:tcPr>
          <w:p>
            <w:pPr>
              <w:pStyle w:val="TableContents"/>
              <w:bidi w:val="0"/>
              <w:spacing w:before="0" w:after="283"/>
              <w:jc w:val="left"/>
              <w:rPr>
                <w:sz w:val="4"/>
                <w:szCs w:val="4"/>
              </w:rPr>
            </w:pPr>
            <w:r>
              <w:rPr>
                <w:sz w:val="4"/>
                <w:szCs w:val="4"/>
              </w:rPr>
            </w:r>
          </w:p>
        </w:tc>
      </w:tr>
      <w:tr>
        <w:trPr/>
        <w:tc>
          <w:tcPr>
            <w:tcW w:w="9324" w:type="dxa"/>
            <w:tcBorders/>
          </w:tcPr>
          <w:p>
            <w:pPr>
              <w:pStyle w:val="TableContents"/>
              <w:bidi w:val="0"/>
              <w:spacing w:before="0" w:after="0"/>
              <w:jc w:val="left"/>
              <w:rPr>
                <w:rFonts w:ascii="Times New Roman" w:hAnsi="Times New Roman"/>
                <w:sz w:val="20"/>
              </w:rPr>
            </w:pPr>
            <w:r>
              <w:rPr>
                <w:rFonts w:ascii="Times New Roman" w:hAnsi="Times New Roman"/>
                <w:sz w:val="20"/>
              </w:rPr>
              <w:t>Section 1. </w:t>
            </w:r>
            <w:r>
              <w:rPr>
                <w:rFonts w:ascii="Times New Roman" w:hAnsi="Times New Roman"/>
                <w:i/>
                <w:sz w:val="20"/>
              </w:rPr>
              <w:t>Optional</w:t>
            </w:r>
            <w:r>
              <w:rPr>
                <w:rFonts w:ascii="Times New Roman" w:hAnsi="Times New Roman"/>
                <w:sz w:val="20"/>
              </w:rPr>
              <w:t> </w:t>
            </w:r>
            <w:r>
              <w:rPr>
                <w:rFonts w:ascii="Times New Roman" w:hAnsi="Times New Roman"/>
                <w:i/>
                <w:sz w:val="20"/>
              </w:rPr>
              <w:t>Redemption of Bonds of the 5.300% Series due 2036.</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324" w:type="dxa"/>
            <w:tcBorders/>
          </w:tcPr>
          <w:p>
            <w:pPr>
              <w:pStyle w:val="TableContents"/>
              <w:bidi w:val="0"/>
              <w:spacing w:before="0" w:after="0"/>
              <w:jc w:val="left"/>
              <w:rPr>
                <w:rFonts w:ascii="Times New Roman" w:hAnsi="Times New Roman"/>
                <w:sz w:val="20"/>
              </w:rPr>
            </w:pPr>
            <w:r>
              <w:rPr>
                <w:rFonts w:ascii="Times New Roman" w:hAnsi="Times New Roman"/>
                <w:sz w:val="20"/>
              </w:rPr>
              <w:t>Section 2. </w:t>
            </w:r>
            <w:r>
              <w:rPr>
                <w:rFonts w:ascii="Times New Roman" w:hAnsi="Times New Roman"/>
                <w:i/>
                <w:sz w:val="20"/>
              </w:rPr>
              <w:t>Substitution</w:t>
            </w:r>
            <w:r>
              <w:rPr>
                <w:rFonts w:ascii="Times New Roman" w:hAnsi="Times New Roman"/>
                <w:sz w:val="20"/>
              </w:rPr>
              <w:t> </w:t>
            </w:r>
            <w:r>
              <w:rPr>
                <w:rFonts w:ascii="Times New Roman" w:hAnsi="Times New Roman"/>
                <w:i/>
                <w:sz w:val="20"/>
              </w:rPr>
              <w:t>of Bonds of the 5.300% Series due 2036</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rHeight w:val="240" w:hRule="atLeast"/>
        </w:trPr>
        <w:tc>
          <w:tcPr>
            <w:tcW w:w="9324" w:type="dxa"/>
            <w:tcBorders/>
            <w:vAlign w:val="center"/>
          </w:tcPr>
          <w:p>
            <w:pPr>
              <w:pStyle w:val="TableContents"/>
              <w:bidi w:val="0"/>
              <w:spacing w:before="0" w:after="283"/>
              <w:jc w:val="left"/>
              <w:rPr>
                <w:sz w:val="4"/>
                <w:szCs w:val="4"/>
              </w:rPr>
            </w:pPr>
            <w:r>
              <w:rPr>
                <w:sz w:val="4"/>
                <w:szCs w:val="4"/>
              </w:rPr>
            </w:r>
          </w:p>
        </w:tc>
        <w:tc>
          <w:tcPr>
            <w:tcW w:w="881" w:type="dxa"/>
            <w:gridSpan w:val="4"/>
            <w:tcBorders/>
            <w:vAlign w:val="center"/>
          </w:tcPr>
          <w:p>
            <w:pPr>
              <w:pStyle w:val="TableContents"/>
              <w:bidi w:val="0"/>
              <w:spacing w:before="0" w:after="283"/>
              <w:jc w:val="left"/>
              <w:rPr>
                <w:sz w:val="4"/>
                <w:szCs w:val="4"/>
              </w:rPr>
            </w:pPr>
            <w:r>
              <w:rPr>
                <w:sz w:val="4"/>
                <w:szCs w:val="4"/>
              </w:rPr>
            </w:r>
          </w:p>
        </w:tc>
      </w:tr>
      <w:tr>
        <w:trPr/>
        <w:tc>
          <w:tcPr>
            <w:tcW w:w="9324" w:type="dxa"/>
            <w:tcBorders/>
          </w:tcPr>
          <w:p>
            <w:pPr>
              <w:pStyle w:val="TableContents"/>
              <w:bidi w:val="0"/>
              <w:spacing w:before="0" w:after="283"/>
              <w:jc w:val="center"/>
              <w:rPr/>
            </w:pPr>
            <w:r>
              <w:rPr/>
              <w:t>ARTICLE IV</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324" w:type="dxa"/>
            <w:tcBorders/>
          </w:tcPr>
          <w:p>
            <w:pPr>
              <w:pStyle w:val="TableContents"/>
              <w:bidi w:val="0"/>
              <w:spacing w:before="0" w:after="283"/>
              <w:jc w:val="center"/>
              <w:rPr/>
            </w:pPr>
            <w:r>
              <w:rPr/>
              <w:t>A</w:t>
            </w:r>
            <w:r>
              <w:rPr>
                <w:sz w:val="20"/>
              </w:rPr>
              <w:t>DDITIONAL</w:t>
            </w:r>
            <w:r>
              <w:rPr/>
              <w:t xml:space="preserve"> C</w:t>
            </w:r>
            <w:r>
              <w:rPr>
                <w:sz w:val="20"/>
              </w:rPr>
              <w:t>OVENANTS</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454"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9324" w:type="dxa"/>
            <w:tcBorders/>
            <w:vAlign w:val="center"/>
          </w:tcPr>
          <w:p>
            <w:pPr>
              <w:pStyle w:val="TableContents"/>
              <w:bidi w:val="0"/>
              <w:spacing w:before="0" w:after="283"/>
              <w:jc w:val="left"/>
              <w:rPr>
                <w:sz w:val="4"/>
                <w:szCs w:val="4"/>
              </w:rPr>
            </w:pPr>
            <w:r>
              <w:rPr>
                <w:sz w:val="4"/>
                <w:szCs w:val="4"/>
              </w:rPr>
            </w:r>
          </w:p>
        </w:tc>
        <w:tc>
          <w:tcPr>
            <w:tcW w:w="881" w:type="dxa"/>
            <w:gridSpan w:val="4"/>
            <w:tcBorders/>
            <w:vAlign w:val="center"/>
          </w:tcPr>
          <w:p>
            <w:pPr>
              <w:pStyle w:val="TableContents"/>
              <w:bidi w:val="0"/>
              <w:spacing w:before="0" w:after="283"/>
              <w:jc w:val="left"/>
              <w:rPr>
                <w:sz w:val="4"/>
                <w:szCs w:val="4"/>
              </w:rPr>
            </w:pPr>
            <w:r>
              <w:rPr>
                <w:sz w:val="4"/>
                <w:szCs w:val="4"/>
              </w:rPr>
            </w:r>
          </w:p>
        </w:tc>
      </w:tr>
      <w:tr>
        <w:trPr/>
        <w:tc>
          <w:tcPr>
            <w:tcW w:w="9324" w:type="dxa"/>
            <w:tcBorders/>
          </w:tcPr>
          <w:p>
            <w:pPr>
              <w:pStyle w:val="TableContents"/>
              <w:bidi w:val="0"/>
              <w:spacing w:before="0" w:after="0"/>
              <w:jc w:val="left"/>
              <w:rPr>
                <w:rFonts w:ascii="Times New Roman" w:hAnsi="Times New Roman"/>
                <w:sz w:val="20"/>
              </w:rPr>
            </w:pPr>
            <w:r>
              <w:rPr>
                <w:rFonts w:ascii="Times New Roman" w:hAnsi="Times New Roman"/>
                <w:sz w:val="20"/>
              </w:rPr>
              <w:t>Section 1. </w:t>
            </w:r>
            <w:r>
              <w:rPr>
                <w:rFonts w:ascii="Times New Roman" w:hAnsi="Times New Roman"/>
                <w:i/>
                <w:sz w:val="20"/>
              </w:rPr>
              <w:t>Title</w:t>
            </w:r>
            <w:r>
              <w:rPr>
                <w:rFonts w:ascii="Times New Roman" w:hAnsi="Times New Roman"/>
                <w:sz w:val="20"/>
              </w:rPr>
              <w:t> </w:t>
            </w:r>
            <w:r>
              <w:rPr>
                <w:rFonts w:ascii="Times New Roman" w:hAnsi="Times New Roman"/>
                <w:i/>
                <w:sz w:val="20"/>
              </w:rPr>
              <w:t>to Mortgaged Property</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324" w:type="dxa"/>
            <w:tcBorders/>
          </w:tcPr>
          <w:p>
            <w:pPr>
              <w:pStyle w:val="TableContents"/>
              <w:bidi w:val="0"/>
              <w:spacing w:before="0" w:after="0"/>
              <w:jc w:val="left"/>
              <w:rPr>
                <w:rFonts w:ascii="Times New Roman" w:hAnsi="Times New Roman"/>
                <w:sz w:val="20"/>
              </w:rPr>
            </w:pPr>
            <w:r>
              <w:rPr>
                <w:rFonts w:ascii="Times New Roman" w:hAnsi="Times New Roman"/>
                <w:sz w:val="20"/>
              </w:rPr>
              <w:t>Section 2. </w:t>
            </w:r>
            <w:r>
              <w:rPr>
                <w:rFonts w:ascii="Times New Roman" w:hAnsi="Times New Roman"/>
                <w:i/>
                <w:sz w:val="20"/>
              </w:rPr>
              <w:t>Tax Withholding Compliance</w:t>
            </w:r>
          </w:p>
        </w:tc>
        <w:tc>
          <w:tcPr>
            <w:tcW w:w="262"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54"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9575"/>
        <w:gridCol w:w="150"/>
        <w:gridCol w:w="60"/>
        <w:gridCol w:w="358"/>
        <w:gridCol w:w="62"/>
      </w:tblGrid>
      <w:tr>
        <w:trPr/>
        <w:tc>
          <w:tcPr>
            <w:tcW w:w="9575"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575" w:type="dxa"/>
            <w:tcBorders/>
          </w:tcPr>
          <w:p>
            <w:pPr>
              <w:pStyle w:val="TableContents"/>
              <w:bidi w:val="0"/>
              <w:spacing w:before="0" w:after="283"/>
              <w:jc w:val="center"/>
              <w:rPr/>
            </w:pPr>
            <w:r>
              <w:rPr/>
              <w:t>ARTICLE V</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575" w:type="dxa"/>
            <w:tcBorders/>
          </w:tcPr>
          <w:p>
            <w:pPr>
              <w:pStyle w:val="TableContents"/>
              <w:bidi w:val="0"/>
              <w:spacing w:before="0" w:after="283"/>
              <w:jc w:val="center"/>
              <w:rPr/>
            </w:pPr>
            <w:r>
              <w:rPr/>
              <w:t>R</w:t>
            </w:r>
            <w:r>
              <w:rPr>
                <w:sz w:val="20"/>
              </w:rPr>
              <w:t>ESERVATIONS</w:t>
            </w:r>
            <w:r>
              <w:rPr/>
              <w:t xml:space="preserve"> </w:t>
            </w:r>
            <w:r>
              <w:rPr>
                <w:sz w:val="20"/>
              </w:rPr>
              <w:t>OF</w:t>
            </w:r>
            <w:r>
              <w:rPr/>
              <w:t xml:space="preserve"> R</w:t>
            </w:r>
            <w:r>
              <w:rPr>
                <w:sz w:val="20"/>
              </w:rPr>
              <w:t>IGHTS</w:t>
            </w:r>
            <w:r>
              <w:rPr/>
              <w:t xml:space="preserve"> </w:t>
            </w:r>
            <w:r>
              <w:rPr>
                <w:sz w:val="20"/>
              </w:rPr>
              <w:t>TO</w:t>
            </w:r>
            <w:r>
              <w:rPr/>
              <w:t xml:space="preserve"> A</w:t>
            </w:r>
            <w:r>
              <w:rPr>
                <w:sz w:val="20"/>
              </w:rPr>
              <w:t>MEND</w:t>
            </w:r>
            <w:r>
              <w:rPr/>
              <w:t xml:space="preserve"> </w:t>
            </w:r>
            <w:r>
              <w:rPr>
                <w:sz w:val="20"/>
              </w:rPr>
              <w:t>THE</w:t>
            </w:r>
            <w:r>
              <w:rPr/>
              <w:t xml:space="preserve"> O</w:t>
            </w:r>
            <w:r>
              <w:rPr>
                <w:sz w:val="20"/>
              </w:rPr>
              <w:t>RIGINAL</w:t>
            </w:r>
            <w:r>
              <w:rPr/>
              <w:t xml:space="preserve"> I</w:t>
            </w:r>
            <w:r>
              <w:rPr>
                <w:sz w:val="20"/>
              </w:rPr>
              <w:t>NDENTURE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tcPr>
          <w:p>
            <w:pPr>
              <w:pStyle w:val="TableContents"/>
              <w:bidi w:val="0"/>
              <w:spacing w:before="0" w:after="0"/>
              <w:jc w:val="left"/>
              <w:rPr>
                <w:rFonts w:ascii="Times New Roman" w:hAnsi="Times New Roman"/>
                <w:sz w:val="20"/>
              </w:rPr>
            </w:pPr>
            <w:r>
              <w:rPr>
                <w:rFonts w:ascii="Times New Roman" w:hAnsi="Times New Roman"/>
                <w:sz w:val="20"/>
              </w:rPr>
              <w:t>Section 1. </w:t>
            </w:r>
            <w:r>
              <w:rPr>
                <w:rFonts w:ascii="Times New Roman" w:hAnsi="Times New Roman"/>
                <w:i/>
                <w:sz w:val="20"/>
              </w:rPr>
              <w:t>Modernization of the Original Indenture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rHeight w:val="240" w:hRule="atLeast"/>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tcPr>
          <w:p>
            <w:pPr>
              <w:pStyle w:val="TableContents"/>
              <w:bidi w:val="0"/>
              <w:spacing w:before="0" w:after="283"/>
              <w:jc w:val="center"/>
              <w:rPr/>
            </w:pPr>
            <w:r>
              <w:rPr/>
              <w:t>ARTICLE VI</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9575" w:type="dxa"/>
            <w:tcBorders/>
          </w:tcPr>
          <w:p>
            <w:pPr>
              <w:pStyle w:val="TableContents"/>
              <w:bidi w:val="0"/>
              <w:spacing w:before="0" w:after="283"/>
              <w:jc w:val="center"/>
              <w:rPr/>
            </w:pPr>
            <w:r>
              <w:rPr/>
              <w:t>M</w:t>
            </w:r>
            <w:r>
              <w:rPr>
                <w:sz w:val="20"/>
              </w:rPr>
              <w:t>ISCELLANEOUS</w:t>
            </w:r>
            <w:r>
              <w:rPr/>
              <w:t xml:space="preserve"> P</w:t>
            </w:r>
            <w:r>
              <w:rPr>
                <w:sz w:val="20"/>
              </w:rPr>
              <w:t>ROVISIONS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tcPr>
          <w:p>
            <w:pPr>
              <w:pStyle w:val="TableContents"/>
              <w:bidi w:val="0"/>
              <w:spacing w:before="0" w:after="0"/>
              <w:jc w:val="left"/>
              <w:rPr>
                <w:rFonts w:ascii="Times New Roman" w:hAnsi="Times New Roman"/>
                <w:sz w:val="20"/>
              </w:rPr>
            </w:pPr>
            <w:r>
              <w:rPr>
                <w:rFonts w:ascii="Times New Roman" w:hAnsi="Times New Roman"/>
                <w:sz w:val="20"/>
              </w:rPr>
              <w:t>Section 1. </w:t>
            </w:r>
            <w:r>
              <w:rPr>
                <w:rFonts w:ascii="Times New Roman" w:hAnsi="Times New Roman"/>
                <w:i/>
                <w:sz w:val="20"/>
              </w:rPr>
              <w:t>Acceptance</w:t>
            </w:r>
            <w:r>
              <w:rPr>
                <w:rFonts w:ascii="Times New Roman" w:hAnsi="Times New Roman"/>
                <w:sz w:val="20"/>
              </w:rPr>
              <w:t> </w:t>
            </w:r>
            <w:r>
              <w:rPr>
                <w:rFonts w:ascii="Times New Roman" w:hAnsi="Times New Roman"/>
                <w:i/>
                <w:sz w:val="20"/>
              </w:rPr>
              <w:t>of Trust</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575" w:type="dxa"/>
            <w:tcBorders/>
          </w:tcPr>
          <w:p>
            <w:pPr>
              <w:pStyle w:val="TableContents"/>
              <w:bidi w:val="0"/>
              <w:spacing w:before="0" w:after="0"/>
              <w:jc w:val="left"/>
              <w:rPr>
                <w:rFonts w:ascii="Times New Roman" w:hAnsi="Times New Roman"/>
                <w:sz w:val="20"/>
              </w:rPr>
            </w:pPr>
            <w:r>
              <w:rPr>
                <w:rFonts w:ascii="Times New Roman" w:hAnsi="Times New Roman"/>
                <w:sz w:val="20"/>
              </w:rPr>
              <w:t>Section 2. </w:t>
            </w:r>
            <w:r>
              <w:rPr>
                <w:rFonts w:ascii="Times New Roman" w:hAnsi="Times New Roman"/>
                <w:i/>
                <w:sz w:val="20"/>
              </w:rPr>
              <w:t>Responsibility</w:t>
            </w:r>
            <w:r>
              <w:rPr>
                <w:rFonts w:ascii="Times New Roman" w:hAnsi="Times New Roman"/>
                <w:sz w:val="20"/>
              </w:rPr>
              <w:t> </w:t>
            </w:r>
            <w:r>
              <w:rPr>
                <w:rFonts w:ascii="Times New Roman" w:hAnsi="Times New Roman"/>
                <w:i/>
                <w:sz w:val="20"/>
              </w:rPr>
              <w:t>and Duty of Trustee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575" w:type="dxa"/>
            <w:tcBorders/>
          </w:tcPr>
          <w:p>
            <w:pPr>
              <w:pStyle w:val="TableContents"/>
              <w:bidi w:val="0"/>
              <w:spacing w:before="0" w:after="0"/>
              <w:jc w:val="left"/>
              <w:rPr>
                <w:rFonts w:ascii="Times New Roman" w:hAnsi="Times New Roman"/>
                <w:sz w:val="20"/>
              </w:rPr>
            </w:pPr>
            <w:r>
              <w:rPr>
                <w:rFonts w:ascii="Times New Roman" w:hAnsi="Times New Roman"/>
                <w:sz w:val="20"/>
              </w:rPr>
              <w:t>Section 3. </w:t>
            </w:r>
            <w:r>
              <w:rPr>
                <w:rFonts w:ascii="Times New Roman" w:hAnsi="Times New Roman"/>
                <w:i/>
                <w:sz w:val="20"/>
              </w:rPr>
              <w:t>Parties</w:t>
            </w:r>
            <w:r>
              <w:rPr>
                <w:rFonts w:ascii="Times New Roman" w:hAnsi="Times New Roman"/>
                <w:sz w:val="20"/>
              </w:rPr>
              <w:t> </w:t>
            </w:r>
            <w:r>
              <w:rPr>
                <w:rFonts w:ascii="Times New Roman" w:hAnsi="Times New Roman"/>
                <w:i/>
                <w:sz w:val="20"/>
              </w:rPr>
              <w:t>to Include Successors and Assigns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575" w:type="dxa"/>
            <w:tcBorders/>
          </w:tcPr>
          <w:p>
            <w:pPr>
              <w:pStyle w:val="TableContents"/>
              <w:bidi w:val="0"/>
              <w:spacing w:before="0" w:after="0"/>
              <w:jc w:val="left"/>
              <w:rPr>
                <w:rFonts w:ascii="Times New Roman" w:hAnsi="Times New Roman"/>
                <w:sz w:val="20"/>
              </w:rPr>
            </w:pPr>
            <w:r>
              <w:rPr>
                <w:rFonts w:ascii="Times New Roman" w:hAnsi="Times New Roman"/>
                <w:sz w:val="20"/>
              </w:rPr>
              <w:t>Section 4. </w:t>
            </w:r>
            <w:r>
              <w:rPr>
                <w:rFonts w:ascii="Times New Roman" w:hAnsi="Times New Roman"/>
                <w:i/>
                <w:sz w:val="20"/>
              </w:rPr>
              <w:t>Benefits</w:t>
            </w:r>
            <w:r>
              <w:rPr>
                <w:rFonts w:ascii="Times New Roman" w:hAnsi="Times New Roman"/>
                <w:sz w:val="20"/>
              </w:rPr>
              <w:t> </w:t>
            </w:r>
            <w:r>
              <w:rPr>
                <w:rFonts w:ascii="Times New Roman" w:hAnsi="Times New Roman"/>
                <w:i/>
                <w:sz w:val="20"/>
              </w:rPr>
              <w:t>Restricted to Parties and to Holders of Bonds and Coupons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575" w:type="dxa"/>
            <w:tcBorders/>
          </w:tcPr>
          <w:p>
            <w:pPr>
              <w:pStyle w:val="TableContents"/>
              <w:bidi w:val="0"/>
              <w:spacing w:before="0" w:after="0"/>
              <w:jc w:val="left"/>
              <w:rPr>
                <w:rFonts w:ascii="Times New Roman" w:hAnsi="Times New Roman"/>
                <w:sz w:val="20"/>
              </w:rPr>
            </w:pPr>
            <w:r>
              <w:rPr>
                <w:rFonts w:ascii="Times New Roman" w:hAnsi="Times New Roman"/>
                <w:sz w:val="20"/>
              </w:rPr>
              <w:t>Section 5. </w:t>
            </w:r>
            <w:r>
              <w:rPr>
                <w:rFonts w:ascii="Times New Roman" w:hAnsi="Times New Roman"/>
                <w:i/>
                <w:sz w:val="20"/>
              </w:rPr>
              <w:t>Execution</w:t>
            </w:r>
            <w:r>
              <w:rPr>
                <w:rFonts w:ascii="Times New Roman" w:hAnsi="Times New Roman"/>
                <w:sz w:val="20"/>
              </w:rPr>
              <w:t> </w:t>
            </w:r>
            <w:r>
              <w:rPr>
                <w:rFonts w:ascii="Times New Roman" w:hAnsi="Times New Roman"/>
                <w:i/>
                <w:sz w:val="20"/>
              </w:rPr>
              <w:t>in Counterparts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575" w:type="dxa"/>
            <w:tcBorders/>
          </w:tcPr>
          <w:p>
            <w:pPr>
              <w:pStyle w:val="TableContents"/>
              <w:bidi w:val="0"/>
              <w:spacing w:before="0" w:after="0"/>
              <w:jc w:val="left"/>
              <w:rPr>
                <w:rFonts w:ascii="Times New Roman" w:hAnsi="Times New Roman"/>
                <w:sz w:val="20"/>
              </w:rPr>
            </w:pPr>
            <w:r>
              <w:rPr>
                <w:rFonts w:ascii="Times New Roman" w:hAnsi="Times New Roman"/>
                <w:sz w:val="20"/>
              </w:rPr>
              <w:t>Section 6. </w:t>
            </w:r>
            <w:r>
              <w:rPr>
                <w:rFonts w:ascii="Times New Roman" w:hAnsi="Times New Roman"/>
                <w:i/>
                <w:sz w:val="20"/>
              </w:rPr>
              <w:t>Titles</w:t>
            </w:r>
            <w:r>
              <w:rPr>
                <w:rFonts w:ascii="Times New Roman" w:hAnsi="Times New Roman"/>
                <w:sz w:val="20"/>
              </w:rPr>
              <w:t> </w:t>
            </w:r>
            <w:r>
              <w:rPr>
                <w:rFonts w:ascii="Times New Roman" w:hAnsi="Times New Roman"/>
                <w:i/>
                <w:sz w:val="20"/>
              </w:rPr>
              <w:t>of Articles Not Part of the Fifty-Fifth Supplemental Indenture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575" w:type="dxa"/>
            <w:tcBorders/>
          </w:tcPr>
          <w:p>
            <w:pPr>
              <w:pStyle w:val="TableContents"/>
              <w:bidi w:val="0"/>
              <w:spacing w:before="0" w:after="0"/>
              <w:jc w:val="left"/>
              <w:rPr>
                <w:rFonts w:ascii="Times New Roman" w:hAnsi="Times New Roman"/>
                <w:sz w:val="20"/>
              </w:rPr>
            </w:pPr>
            <w:r>
              <w:rPr>
                <w:rFonts w:ascii="Times New Roman" w:hAnsi="Times New Roman"/>
                <w:sz w:val="20"/>
              </w:rPr>
              <w:t>Section 7. </w:t>
            </w:r>
            <w:r>
              <w:rPr>
                <w:rFonts w:ascii="Times New Roman" w:hAnsi="Times New Roman"/>
                <w:i/>
                <w:sz w:val="20"/>
              </w:rPr>
              <w:t>Electronic Means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575" w:type="dxa"/>
            <w:tcBorders/>
          </w:tcPr>
          <w:p>
            <w:pPr>
              <w:pStyle w:val="TableContents"/>
              <w:bidi w:val="0"/>
              <w:spacing w:before="0" w:after="0"/>
              <w:jc w:val="left"/>
              <w:rPr>
                <w:rFonts w:ascii="Times New Roman" w:hAnsi="Times New Roman"/>
                <w:sz w:val="20"/>
              </w:rPr>
            </w:pPr>
            <w:r>
              <w:rPr>
                <w:rFonts w:ascii="Times New Roman" w:hAnsi="Times New Roman"/>
                <w:sz w:val="20"/>
              </w:rPr>
              <w:t>Section 8. </w:t>
            </w:r>
            <w:r>
              <w:rPr>
                <w:rFonts w:ascii="Times New Roman" w:hAnsi="Times New Roman"/>
                <w:i/>
                <w:sz w:val="20"/>
              </w:rPr>
              <w:t>OFAC Compliance</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575" w:type="dxa"/>
            <w:tcBorders/>
          </w:tcPr>
          <w:p>
            <w:pPr>
              <w:pStyle w:val="TableContents"/>
              <w:bidi w:val="0"/>
              <w:spacing w:before="0" w:after="0"/>
              <w:jc w:val="left"/>
              <w:rPr>
                <w:rFonts w:ascii="Times New Roman" w:hAnsi="Times New Roman"/>
                <w:sz w:val="20"/>
              </w:rPr>
            </w:pPr>
            <w:r>
              <w:rPr>
                <w:rFonts w:ascii="Times New Roman" w:hAnsi="Times New Roman"/>
                <w:sz w:val="20"/>
              </w:rPr>
              <w:t>Section 9. </w:t>
            </w:r>
            <w:r>
              <w:rPr>
                <w:rFonts w:ascii="Times New Roman" w:hAnsi="Times New Roman"/>
                <w:i/>
                <w:sz w:val="20"/>
              </w:rPr>
              <w:t>FATCA</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rHeight w:val="240" w:hRule="atLeast"/>
        </w:trPr>
        <w:tc>
          <w:tcPr>
            <w:tcW w:w="9575" w:type="dxa"/>
            <w:tcBorders/>
            <w:vAlign w:val="center"/>
          </w:tcPr>
          <w:p>
            <w:pPr>
              <w:pStyle w:val="TableContents"/>
              <w:bidi w:val="0"/>
              <w:spacing w:before="0" w:after="283"/>
              <w:jc w:val="left"/>
              <w:rPr>
                <w:sz w:val="4"/>
                <w:szCs w:val="4"/>
              </w:rPr>
            </w:pPr>
            <w:r>
              <w:rPr>
                <w:sz w:val="4"/>
                <w:szCs w:val="4"/>
              </w:rPr>
            </w:r>
          </w:p>
        </w:tc>
        <w:tc>
          <w:tcPr>
            <w:tcW w:w="630" w:type="dxa"/>
            <w:gridSpan w:val="4"/>
            <w:tcBorders/>
            <w:vAlign w:val="center"/>
          </w:tcPr>
          <w:p>
            <w:pPr>
              <w:pStyle w:val="TableContents"/>
              <w:bidi w:val="0"/>
              <w:spacing w:before="0" w:after="283"/>
              <w:jc w:val="left"/>
              <w:rPr>
                <w:sz w:val="4"/>
                <w:szCs w:val="4"/>
              </w:rPr>
            </w:pPr>
            <w:r>
              <w:rPr>
                <w:sz w:val="4"/>
                <w:szCs w:val="4"/>
              </w:rPr>
            </w:r>
          </w:p>
        </w:tc>
      </w:tr>
      <w:tr>
        <w:trPr/>
        <w:tc>
          <w:tcPr>
            <w:tcW w:w="9575" w:type="dxa"/>
            <w:tcBorders/>
          </w:tcPr>
          <w:p>
            <w:pPr>
              <w:pStyle w:val="TableContents"/>
              <w:bidi w:val="0"/>
              <w:spacing w:before="0" w:after="0"/>
              <w:jc w:val="left"/>
              <w:rPr>
                <w:rFonts w:ascii="Times New Roman" w:hAnsi="Times New Roman"/>
                <w:sz w:val="20"/>
              </w:rPr>
            </w:pPr>
            <w:r>
              <w:rPr>
                <w:rFonts w:ascii="Times New Roman" w:hAnsi="Times New Roman"/>
                <w:sz w:val="20"/>
              </w:rPr>
              <w:t>TESTIMONIUM</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575" w:type="dxa"/>
            <w:tcBorders/>
          </w:tcPr>
          <w:p>
            <w:pPr>
              <w:pStyle w:val="TableContents"/>
              <w:bidi w:val="0"/>
              <w:spacing w:before="0" w:after="0"/>
              <w:jc w:val="left"/>
              <w:rPr>
                <w:rFonts w:ascii="Times New Roman" w:hAnsi="Times New Roman"/>
                <w:sz w:val="20"/>
              </w:rPr>
            </w:pPr>
            <w:r>
              <w:rPr>
                <w:rFonts w:ascii="Times New Roman" w:hAnsi="Times New Roman"/>
                <w:sz w:val="20"/>
              </w:rPr>
              <w:t>SIGNATURES AND SEALS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S-2</w:t>
            </w:r>
          </w:p>
        </w:tc>
        <w:tc>
          <w:tcPr>
            <w:tcW w:w="62" w:type="dxa"/>
            <w:tcBorders/>
            <w:vAlign w:val="bottom"/>
          </w:tcPr>
          <w:p>
            <w:pPr>
              <w:pStyle w:val="TableContents"/>
              <w:bidi w:val="0"/>
              <w:spacing w:before="0" w:after="283"/>
              <w:jc w:val="left"/>
              <w:rPr/>
            </w:pPr>
            <w:r>
              <w:rPr/>
              <w:t> </w:t>
            </w:r>
          </w:p>
        </w:tc>
      </w:tr>
      <w:tr>
        <w:trPr/>
        <w:tc>
          <w:tcPr>
            <w:tcW w:w="9575" w:type="dxa"/>
            <w:tcBorders/>
          </w:tcPr>
          <w:p>
            <w:pPr>
              <w:pStyle w:val="TableContents"/>
              <w:bidi w:val="0"/>
              <w:spacing w:before="0" w:after="0"/>
              <w:jc w:val="left"/>
              <w:rPr>
                <w:rFonts w:ascii="Times New Roman" w:hAnsi="Times New Roman"/>
                <w:sz w:val="20"/>
              </w:rPr>
            </w:pPr>
            <w:r>
              <w:rPr>
                <w:rFonts w:ascii="Times New Roman" w:hAnsi="Times New Roman"/>
                <w:sz w:val="20"/>
              </w:rPr>
              <w:t>ACKNOWLEDGEMENTS</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FIFTY-FIFTH SUPPLEMENTAL INDENTURE, dated as of the 1st day of July, Two Thousand and Twenty-Six, made by and between Evergy Kansas Central, Inc., formerly Westar Energy, Inc., a corporation organized and existing under the laws of the State of Kansas (and successor by the Merger (hereinafter defined) to Westar Energy, Inc., formerly The Kansas Power and Light Company, sometimes hereinafter called the “</w:t>
      </w:r>
      <w:r>
        <w:rPr>
          <w:rFonts w:ascii="Times New Roman" w:hAnsi="Times New Roman"/>
          <w:b/>
          <w:sz w:val="20"/>
        </w:rPr>
        <w:t>Company-Predecessor</w:t>
      </w:r>
      <w:r>
        <w:rPr>
          <w:rFonts w:ascii="Times New Roman" w:hAnsi="Times New Roman"/>
          <w:sz w:val="20"/>
        </w:rPr>
        <w:t>”) (hereinafter called the “</w:t>
      </w:r>
      <w:r>
        <w:rPr>
          <w:rFonts w:ascii="Times New Roman" w:hAnsi="Times New Roman"/>
          <w:b/>
          <w:sz w:val="20"/>
        </w:rPr>
        <w:t>Company</w:t>
      </w:r>
      <w:r>
        <w:rPr>
          <w:rFonts w:ascii="Times New Roman" w:hAnsi="Times New Roman"/>
          <w:sz w:val="20"/>
        </w:rPr>
        <w:t>”), party of the first part, and The Bank of New York Mellon Trust Company, N.A., a national banking association whose mailing address is 311 S. Wacker Drive, Suite 6200B Mailbox #44, Chicago, Illinois 60606 (hereinafter called the “</w:t>
      </w:r>
      <w:r>
        <w:rPr>
          <w:rFonts w:ascii="Times New Roman" w:hAnsi="Times New Roman"/>
          <w:b/>
          <w:sz w:val="20"/>
        </w:rPr>
        <w:t>Trustee</w:t>
      </w:r>
      <w:r>
        <w:rPr>
          <w:rFonts w:ascii="Times New Roman" w:hAnsi="Times New Roman"/>
          <w:sz w:val="20"/>
        </w:rPr>
        <w:t xml:space="preserve">”), as Trustee (as successor to Harris Trust and Savings Bank), under the Mortgage and Deed of Trust dated July 1, 1939, hereinafter mentioned, party of the second part; </w:t>
      </w:r>
    </w:p>
    <w:p>
      <w:pPr>
        <w:pStyle w:val="TextBody"/>
        <w:bidi w:val="0"/>
        <w:spacing w:before="240" w:after="0"/>
        <w:jc w:val="left"/>
        <w:rPr>
          <w:rFonts w:ascii="Times New Roman" w:hAnsi="Times New Roman"/>
          <w:sz w:val="20"/>
        </w:rPr>
      </w:pPr>
      <w:r>
        <w:rPr>
          <w:rFonts w:ascii="Times New Roman" w:hAnsi="Times New Roman"/>
          <w:sz w:val="20"/>
        </w:rPr>
        <w:t>WHEREAS, the Company has heretofore executed and delivered to the Trustee its Mortgage and Deed of Trust dated July 1, 1939 (hereinafter referred to as the “</w:t>
      </w:r>
      <w:r>
        <w:rPr>
          <w:rFonts w:ascii="Times New Roman" w:hAnsi="Times New Roman"/>
          <w:b/>
          <w:sz w:val="20"/>
        </w:rPr>
        <w:t>Original Indenture</w:t>
      </w:r>
      <w:r>
        <w:rPr>
          <w:rFonts w:ascii="Times New Roman" w:hAnsi="Times New Roman"/>
          <w:sz w:val="20"/>
        </w:rPr>
        <w:t xml:space="preserve">”), to provide for and to secure the issue of First Mortgage Bonds of the Company, issuable in series, and to declare the terms and conditions upon which the Bonds (as defined in the Original Indenture) are to be issued thereunder;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has heretofore executed and delivered to the Trustee fifty-four Supplemental Indentures, in addition to the Forty-Second Supplemental (Reopening) Indenture and the Fifty-Third Supplemental (Reopening) Indenture, supplemental to said Original Indenture, of which fifty provided for the issuance thereunder of series of the Company’s First Mortgage Bonds, and there is set forth below information with respect to such Supplemental Indentures as have provided for the issuance of Bonds, and the principal amount of Bonds which remain outstanding as of July 1,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434"/>
        <w:gridCol w:w="179"/>
        <w:gridCol w:w="1835"/>
        <w:gridCol w:w="179"/>
        <w:gridCol w:w="1575"/>
        <w:gridCol w:w="179"/>
        <w:gridCol w:w="60"/>
        <w:gridCol w:w="1236"/>
        <w:gridCol w:w="60"/>
        <w:gridCol w:w="179"/>
        <w:gridCol w:w="1289"/>
      </w:tblGrid>
      <w:tr>
        <w:trPr/>
        <w:tc>
          <w:tcPr>
            <w:tcW w:w="3434"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83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 w:type="dxa"/>
            <w:tcBorders/>
            <w:vAlign w:val="bottom"/>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r>
      <w:tr>
        <w:trPr/>
        <w:tc>
          <w:tcPr>
            <w:tcW w:w="34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Supplemental </w:t>
              <w:br/>
              <w:t>Indenture</w:t>
            </w:r>
          </w:p>
        </w:tc>
        <w:tc>
          <w:tcPr>
            <w:tcW w:w="179" w:type="dxa"/>
            <w:tcBorders/>
            <w:vAlign w:val="bottom"/>
          </w:tcPr>
          <w:p>
            <w:pPr>
              <w:pStyle w:val="TableContents"/>
              <w:bidi w:val="0"/>
              <w:spacing w:before="0" w:after="283"/>
              <w:jc w:val="left"/>
              <w:rPr/>
            </w:pPr>
            <w:r>
              <w:rPr/>
              <w:t>  </w:t>
            </w:r>
          </w:p>
        </w:tc>
        <w:tc>
          <w:tcPr>
            <w:tcW w:w="1835" w:type="dxa"/>
            <w:tcBorders>
              <w:bottom w:val="single" w:sz="8" w:space="0" w:color="000000"/>
            </w:tcBorders>
            <w:tcMar>
              <w:bottom w:w="28" w:type="dxa"/>
            </w:tcMar>
            <w:vAlign w:val="bottom"/>
          </w:tcPr>
          <w:p>
            <w:pPr>
              <w:pStyle w:val="TableContents"/>
              <w:bidi w:val="0"/>
              <w:spacing w:before="0" w:after="283"/>
              <w:jc w:val="center"/>
              <w:rPr>
                <w:b/>
              </w:rPr>
            </w:pPr>
            <w:r>
              <w:rPr>
                <w:b/>
              </w:rPr>
              <w:t>Date</w:t>
            </w:r>
          </w:p>
        </w:tc>
        <w:tc>
          <w:tcPr>
            <w:tcW w:w="179" w:type="dxa"/>
            <w:tcBorders/>
            <w:vAlign w:val="bottom"/>
          </w:tcPr>
          <w:p>
            <w:pPr>
              <w:pStyle w:val="TableContents"/>
              <w:bidi w:val="0"/>
              <w:spacing w:before="0" w:after="283"/>
              <w:jc w:val="left"/>
              <w:rPr/>
            </w:pPr>
            <w:r>
              <w:rPr/>
              <w:t>  </w:t>
            </w:r>
          </w:p>
        </w:tc>
        <w:tc>
          <w:tcPr>
            <w:tcW w:w="1575" w:type="dxa"/>
            <w:tcBorders>
              <w:bottom w:val="single" w:sz="8" w:space="0" w:color="000000"/>
            </w:tcBorders>
            <w:tcMar>
              <w:bottom w:w="28" w:type="dxa"/>
            </w:tcMar>
            <w:vAlign w:val="bottom"/>
          </w:tcPr>
          <w:p>
            <w:pPr>
              <w:pStyle w:val="TableContents"/>
              <w:bidi w:val="0"/>
              <w:spacing w:before="0" w:after="283"/>
              <w:jc w:val="center"/>
              <w:rPr/>
            </w:pPr>
            <w:r>
              <w:rPr>
                <w:b/>
              </w:rPr>
              <w:t>Series of</w:t>
              <w:br/>
              <w:t>First Mortgage</w:t>
            </w:r>
            <w:r>
              <w:rPr/>
              <w:br/>
            </w:r>
            <w:r>
              <w:rPr>
                <w:b/>
              </w:rPr>
              <w:t>Bonds</w:t>
              <w:br/>
              <w:t>Provided For</w:t>
            </w:r>
          </w:p>
        </w:tc>
        <w:tc>
          <w:tcPr>
            <w:tcW w:w="179" w:type="dxa"/>
            <w:tcBorders/>
            <w:vAlign w:val="bottom"/>
          </w:tcPr>
          <w:p>
            <w:pPr>
              <w:pStyle w:val="TableContents"/>
              <w:bidi w:val="0"/>
              <w:spacing w:before="0" w:after="283"/>
              <w:jc w:val="left"/>
              <w:rPr/>
            </w:pPr>
            <w:r>
              <w:rPr/>
              <w:t>  </w:t>
            </w:r>
          </w:p>
        </w:tc>
        <w:tc>
          <w:tcPr>
            <w:tcW w:w="12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Issued</w:t>
            </w:r>
          </w:p>
        </w:tc>
        <w:tc>
          <w:tcPr>
            <w:tcW w:w="60"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289" w:type="dxa"/>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Outstanding</w:t>
            </w:r>
          </w:p>
        </w:tc>
      </w:tr>
      <w:tr>
        <w:trPr/>
        <w:tc>
          <w:tcPr>
            <w:tcW w:w="3434" w:type="dxa"/>
            <w:tcBorders/>
            <w:shd w:fill="CCEEFF" w:val="clear"/>
          </w:tcPr>
          <w:p>
            <w:pPr>
              <w:pStyle w:val="TableContents"/>
              <w:bidi w:val="0"/>
              <w:spacing w:before="0" w:after="283"/>
              <w:jc w:val="left"/>
              <w:rPr/>
            </w:pPr>
            <w:r>
              <w:rPr/>
              <w:t>Supplemental Indenture</w:t>
            </w:r>
          </w:p>
        </w:tc>
        <w:tc>
          <w:tcPr>
            <w:tcW w:w="179" w:type="dxa"/>
            <w:tcBorders/>
            <w:shd w:fill="CCEEFF" w:val="clear"/>
            <w:vAlign w:val="bottom"/>
          </w:tcPr>
          <w:p>
            <w:pPr>
              <w:pStyle w:val="TableContents"/>
              <w:bidi w:val="0"/>
              <w:spacing w:before="0" w:after="283"/>
              <w:jc w:val="left"/>
              <w:rPr/>
            </w:pPr>
            <w:r>
              <w:rPr/>
              <w:t>  </w:t>
            </w:r>
          </w:p>
        </w:tc>
        <w:tc>
          <w:tcPr>
            <w:tcW w:w="1835" w:type="dxa"/>
            <w:tcBorders/>
            <w:shd w:fill="CCEEFF" w:val="clear"/>
          </w:tcPr>
          <w:p>
            <w:pPr>
              <w:pStyle w:val="TableContents"/>
              <w:bidi w:val="0"/>
              <w:spacing w:before="0" w:after="283"/>
              <w:jc w:val="center"/>
              <w:rPr/>
            </w:pPr>
            <w:r>
              <w:rPr/>
              <w:t>July 1, 1939</w:t>
            </w:r>
          </w:p>
        </w:tc>
        <w:tc>
          <w:tcPr>
            <w:tcW w:w="179" w:type="dxa"/>
            <w:tcBorders/>
            <w:shd w:fill="CCEEFF" w:val="clear"/>
            <w:vAlign w:val="bottom"/>
          </w:tcPr>
          <w:p>
            <w:pPr>
              <w:pStyle w:val="TableContents"/>
              <w:bidi w:val="0"/>
              <w:spacing w:before="0" w:after="283"/>
              <w:jc w:val="left"/>
              <w:rPr/>
            </w:pPr>
            <w:r>
              <w:rPr/>
              <w:t>  </w:t>
            </w:r>
          </w:p>
        </w:tc>
        <w:tc>
          <w:tcPr>
            <w:tcW w:w="1575" w:type="dxa"/>
            <w:tcBorders/>
            <w:shd w:fill="CCEEFF" w:val="clear"/>
          </w:tcPr>
          <w:p>
            <w:pPr>
              <w:pStyle w:val="TableContents"/>
              <w:bidi w:val="0"/>
              <w:spacing w:before="0" w:after="283"/>
              <w:jc w:val="center"/>
              <w:rPr/>
            </w:pPr>
            <w:r>
              <w:rPr/>
              <w:t>3-1/2% Series</w:t>
              <w:br/>
              <w:t>Due 1969</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236" w:type="dxa"/>
            <w:tcBorders/>
            <w:shd w:fill="CCEEFF" w:val="clear"/>
          </w:tcPr>
          <w:p>
            <w:pPr>
              <w:pStyle w:val="TableContents"/>
              <w:bidi w:val="0"/>
              <w:spacing w:before="0" w:after="283"/>
              <w:jc w:val="right"/>
              <w:rPr/>
            </w:pPr>
            <w:r>
              <w:rPr/>
              <w:t>$26,500,000</w:t>
            </w:r>
          </w:p>
        </w:tc>
        <w:tc>
          <w:tcPr>
            <w:tcW w:w="60" w:type="dxa"/>
            <w:tcBorders/>
            <w:shd w:fill="CCEEFF" w:val="clear"/>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289" w:type="dxa"/>
            <w:tcBorders/>
            <w:shd w:fill="CCEEFF" w:val="clear"/>
          </w:tcPr>
          <w:p>
            <w:pPr>
              <w:pStyle w:val="TableContents"/>
              <w:bidi w:val="0"/>
              <w:spacing w:before="0" w:after="283"/>
              <w:jc w:val="center"/>
              <w:rPr/>
            </w:pPr>
            <w:r>
              <w:rPr/>
              <w:t>None</w:t>
            </w:r>
          </w:p>
        </w:tc>
      </w:tr>
      <w:tr>
        <w:trPr/>
        <w:tc>
          <w:tcPr>
            <w:tcW w:w="3434" w:type="dxa"/>
            <w:tcBorders/>
          </w:tcPr>
          <w:p>
            <w:pPr>
              <w:pStyle w:val="TableContents"/>
              <w:bidi w:val="0"/>
              <w:spacing w:before="0" w:after="283"/>
              <w:jc w:val="left"/>
              <w:rPr/>
            </w:pPr>
            <w:r>
              <w:rPr/>
              <w:t>Second Supplemental Indenture</w:t>
            </w:r>
          </w:p>
        </w:tc>
        <w:tc>
          <w:tcPr>
            <w:tcW w:w="179"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center"/>
              <w:rPr/>
            </w:pPr>
            <w:r>
              <w:rPr/>
              <w:t>April 1, 1949</w:t>
            </w:r>
          </w:p>
        </w:tc>
        <w:tc>
          <w:tcPr>
            <w:tcW w:w="179" w:type="dxa"/>
            <w:tcBorders/>
            <w:vAlign w:val="bottom"/>
          </w:tcPr>
          <w:p>
            <w:pPr>
              <w:pStyle w:val="TableContents"/>
              <w:bidi w:val="0"/>
              <w:spacing w:before="0" w:after="283"/>
              <w:jc w:val="left"/>
              <w:rPr/>
            </w:pPr>
            <w:r>
              <w:rPr/>
              <w:t>  </w:t>
            </w:r>
          </w:p>
        </w:tc>
        <w:tc>
          <w:tcPr>
            <w:tcW w:w="1575" w:type="dxa"/>
            <w:tcBorders/>
          </w:tcPr>
          <w:p>
            <w:pPr>
              <w:pStyle w:val="TableContents"/>
              <w:bidi w:val="0"/>
              <w:spacing w:before="0" w:after="283"/>
              <w:jc w:val="center"/>
              <w:rPr/>
            </w:pPr>
            <w:r>
              <w:rPr/>
              <w:t>2-7/8% Series</w:t>
              <w:br/>
              <w:t>Due 1979</w:t>
            </w:r>
          </w:p>
        </w:tc>
        <w:tc>
          <w:tcPr>
            <w:tcW w:w="17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236" w:type="dxa"/>
            <w:tcBorders/>
          </w:tcPr>
          <w:p>
            <w:pPr>
              <w:pStyle w:val="TableContents"/>
              <w:bidi w:val="0"/>
              <w:spacing w:before="0" w:after="283"/>
              <w:jc w:val="right"/>
              <w:rPr/>
            </w:pPr>
            <w:r>
              <w:rPr/>
              <w:t>10,000,000</w:t>
            </w:r>
          </w:p>
        </w:tc>
        <w:tc>
          <w:tcPr>
            <w:tcW w:w="60" w:type="dxa"/>
            <w:tcBorders/>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289" w:type="dxa"/>
            <w:tcBorders/>
          </w:tcPr>
          <w:p>
            <w:pPr>
              <w:pStyle w:val="TableContents"/>
              <w:bidi w:val="0"/>
              <w:spacing w:before="0" w:after="283"/>
              <w:jc w:val="center"/>
              <w:rPr/>
            </w:pPr>
            <w:r>
              <w:rPr/>
              <w:t>None</w:t>
            </w:r>
          </w:p>
        </w:tc>
      </w:tr>
      <w:tr>
        <w:trPr/>
        <w:tc>
          <w:tcPr>
            <w:tcW w:w="3434" w:type="dxa"/>
            <w:tcBorders/>
            <w:shd w:fill="CCEEFF" w:val="clear"/>
          </w:tcPr>
          <w:p>
            <w:pPr>
              <w:pStyle w:val="TableContents"/>
              <w:bidi w:val="0"/>
              <w:spacing w:before="0" w:after="283"/>
              <w:jc w:val="left"/>
              <w:rPr/>
            </w:pPr>
            <w:r>
              <w:rPr/>
              <w:t>Fourth Supplemental Indenture</w:t>
            </w:r>
          </w:p>
        </w:tc>
        <w:tc>
          <w:tcPr>
            <w:tcW w:w="179" w:type="dxa"/>
            <w:tcBorders/>
            <w:shd w:fill="CCEEFF" w:val="clear"/>
            <w:vAlign w:val="bottom"/>
          </w:tcPr>
          <w:p>
            <w:pPr>
              <w:pStyle w:val="TableContents"/>
              <w:bidi w:val="0"/>
              <w:spacing w:before="0" w:after="283"/>
              <w:jc w:val="left"/>
              <w:rPr/>
            </w:pPr>
            <w:r>
              <w:rPr/>
              <w:t>  </w:t>
            </w:r>
          </w:p>
        </w:tc>
        <w:tc>
          <w:tcPr>
            <w:tcW w:w="1835" w:type="dxa"/>
            <w:tcBorders/>
            <w:shd w:fill="CCEEFF" w:val="clear"/>
          </w:tcPr>
          <w:p>
            <w:pPr>
              <w:pStyle w:val="TableContents"/>
              <w:bidi w:val="0"/>
              <w:spacing w:before="0" w:after="283"/>
              <w:jc w:val="center"/>
              <w:rPr/>
            </w:pPr>
            <w:r>
              <w:rPr/>
              <w:t>October 1, 1949</w:t>
            </w:r>
          </w:p>
        </w:tc>
        <w:tc>
          <w:tcPr>
            <w:tcW w:w="179" w:type="dxa"/>
            <w:tcBorders/>
            <w:shd w:fill="CCEEFF" w:val="clear"/>
            <w:vAlign w:val="bottom"/>
          </w:tcPr>
          <w:p>
            <w:pPr>
              <w:pStyle w:val="TableContents"/>
              <w:bidi w:val="0"/>
              <w:spacing w:before="0" w:after="283"/>
              <w:jc w:val="left"/>
              <w:rPr/>
            </w:pPr>
            <w:r>
              <w:rPr/>
              <w:t>  </w:t>
            </w:r>
          </w:p>
        </w:tc>
        <w:tc>
          <w:tcPr>
            <w:tcW w:w="1575" w:type="dxa"/>
            <w:tcBorders/>
            <w:shd w:fill="CCEEFF" w:val="clear"/>
          </w:tcPr>
          <w:p>
            <w:pPr>
              <w:pStyle w:val="TableContents"/>
              <w:bidi w:val="0"/>
              <w:spacing w:before="0" w:after="283"/>
              <w:jc w:val="center"/>
              <w:rPr/>
            </w:pPr>
            <w:r>
              <w:rPr/>
              <w:t>2-3/4% Series</w:t>
              <w:br/>
              <w:t>Due 1979</w:t>
            </w:r>
          </w:p>
        </w:tc>
        <w:tc>
          <w:tcPr>
            <w:tcW w:w="179"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236" w:type="dxa"/>
            <w:tcBorders/>
            <w:shd w:fill="CCEEFF" w:val="clear"/>
          </w:tcPr>
          <w:p>
            <w:pPr>
              <w:pStyle w:val="TableContents"/>
              <w:bidi w:val="0"/>
              <w:spacing w:before="0" w:after="283"/>
              <w:jc w:val="right"/>
              <w:rPr/>
            </w:pPr>
            <w:r>
              <w:rPr/>
              <w:t>6,500,000</w:t>
            </w:r>
          </w:p>
        </w:tc>
        <w:tc>
          <w:tcPr>
            <w:tcW w:w="60" w:type="dxa"/>
            <w:tcBorders/>
            <w:shd w:fill="CCEEFF" w:val="clear"/>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1289" w:type="dxa"/>
            <w:tcBorders/>
            <w:shd w:fill="CCEEFF" w:val="clear"/>
          </w:tcPr>
          <w:p>
            <w:pPr>
              <w:pStyle w:val="TableContents"/>
              <w:bidi w:val="0"/>
              <w:spacing w:before="0" w:after="283"/>
              <w:jc w:val="center"/>
              <w:rPr/>
            </w:pPr>
            <w:r>
              <w:rPr/>
              <w:t>None</w:t>
            </w:r>
          </w:p>
        </w:tc>
      </w:tr>
      <w:tr>
        <w:trPr/>
        <w:tc>
          <w:tcPr>
            <w:tcW w:w="3434" w:type="dxa"/>
            <w:tcBorders/>
          </w:tcPr>
          <w:p>
            <w:pPr>
              <w:pStyle w:val="TableContents"/>
              <w:bidi w:val="0"/>
              <w:spacing w:before="0" w:after="283"/>
              <w:jc w:val="left"/>
              <w:rPr/>
            </w:pPr>
            <w:r>
              <w:rPr/>
              <w:t>Fifth Supplemental Indenture</w:t>
            </w:r>
          </w:p>
        </w:tc>
        <w:tc>
          <w:tcPr>
            <w:tcW w:w="179" w:type="dxa"/>
            <w:tcBorders/>
            <w:vAlign w:val="bottom"/>
          </w:tcPr>
          <w:p>
            <w:pPr>
              <w:pStyle w:val="TableContents"/>
              <w:bidi w:val="0"/>
              <w:spacing w:before="0" w:after="283"/>
              <w:jc w:val="left"/>
              <w:rPr/>
            </w:pPr>
            <w:r>
              <w:rPr/>
              <w:t>  </w:t>
            </w:r>
          </w:p>
        </w:tc>
        <w:tc>
          <w:tcPr>
            <w:tcW w:w="1835" w:type="dxa"/>
            <w:tcBorders/>
          </w:tcPr>
          <w:p>
            <w:pPr>
              <w:pStyle w:val="TableContents"/>
              <w:bidi w:val="0"/>
              <w:spacing w:before="0" w:after="283"/>
              <w:jc w:val="center"/>
              <w:rPr/>
            </w:pPr>
            <w:r>
              <w:rPr/>
              <w:t>December 1, 1949</w:t>
            </w:r>
          </w:p>
        </w:tc>
        <w:tc>
          <w:tcPr>
            <w:tcW w:w="179" w:type="dxa"/>
            <w:tcBorders/>
            <w:vAlign w:val="bottom"/>
          </w:tcPr>
          <w:p>
            <w:pPr>
              <w:pStyle w:val="TableContents"/>
              <w:bidi w:val="0"/>
              <w:spacing w:before="0" w:after="283"/>
              <w:jc w:val="left"/>
              <w:rPr/>
            </w:pPr>
            <w:r>
              <w:rPr/>
              <w:t>  </w:t>
            </w:r>
          </w:p>
        </w:tc>
        <w:tc>
          <w:tcPr>
            <w:tcW w:w="1575" w:type="dxa"/>
            <w:tcBorders/>
          </w:tcPr>
          <w:p>
            <w:pPr>
              <w:pStyle w:val="TableContents"/>
              <w:bidi w:val="0"/>
              <w:spacing w:before="0" w:after="283"/>
              <w:jc w:val="center"/>
              <w:rPr/>
            </w:pPr>
            <w:r>
              <w:rPr/>
              <w:t>2-3/4% Series</w:t>
              <w:br/>
              <w:t>Due 1984</w:t>
            </w:r>
          </w:p>
        </w:tc>
        <w:tc>
          <w:tcPr>
            <w:tcW w:w="179"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236" w:type="dxa"/>
            <w:tcBorders/>
          </w:tcPr>
          <w:p>
            <w:pPr>
              <w:pStyle w:val="TableContents"/>
              <w:bidi w:val="0"/>
              <w:spacing w:before="0" w:after="283"/>
              <w:jc w:val="right"/>
              <w:rPr/>
            </w:pPr>
            <w:r>
              <w:rPr/>
              <w:t>32,500,000</w:t>
            </w:r>
          </w:p>
        </w:tc>
        <w:tc>
          <w:tcPr>
            <w:tcW w:w="60" w:type="dxa"/>
            <w:tcBorders/>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1289" w:type="dxa"/>
            <w:tcBorders/>
          </w:tcPr>
          <w:p>
            <w:pPr>
              <w:pStyle w:val="TableContents"/>
              <w:bidi w:val="0"/>
              <w:spacing w:before="0" w:after="283"/>
              <w:jc w:val="center"/>
              <w:rPr/>
            </w:pPr>
            <w:r>
              <w:rPr/>
              <w:t>None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3018"/>
        <w:gridCol w:w="174"/>
        <w:gridCol w:w="1857"/>
        <w:gridCol w:w="174"/>
        <w:gridCol w:w="2121"/>
        <w:gridCol w:w="174"/>
        <w:gridCol w:w="60"/>
        <w:gridCol w:w="1104"/>
        <w:gridCol w:w="60"/>
        <w:gridCol w:w="174"/>
        <w:gridCol w:w="1289"/>
      </w:tblGrid>
      <w:tr>
        <w:trPr/>
        <w:tc>
          <w:tcPr>
            <w:tcW w:w="3018"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r>
      <w:tr>
        <w:trPr/>
        <w:tc>
          <w:tcPr>
            <w:tcW w:w="301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Supplemental </w:t>
              <w:br/>
              <w:t>Indenture</w:t>
            </w:r>
          </w:p>
        </w:tc>
        <w:tc>
          <w:tcPr>
            <w:tcW w:w="174" w:type="dxa"/>
            <w:tcBorders/>
            <w:vAlign w:val="bottom"/>
          </w:tcPr>
          <w:p>
            <w:pPr>
              <w:pStyle w:val="TableContents"/>
              <w:bidi w:val="0"/>
              <w:spacing w:before="0" w:after="283"/>
              <w:jc w:val="left"/>
              <w:rPr/>
            </w:pPr>
            <w:r>
              <w:rPr/>
              <w:t>  </w:t>
            </w:r>
          </w:p>
        </w:tc>
        <w:tc>
          <w:tcPr>
            <w:tcW w:w="1857" w:type="dxa"/>
            <w:tcBorders>
              <w:bottom w:val="single" w:sz="8" w:space="0" w:color="000000"/>
            </w:tcBorders>
            <w:tcMar>
              <w:bottom w:w="28" w:type="dxa"/>
            </w:tcMar>
            <w:vAlign w:val="bottom"/>
          </w:tcPr>
          <w:p>
            <w:pPr>
              <w:pStyle w:val="TableContents"/>
              <w:bidi w:val="0"/>
              <w:spacing w:before="0" w:after="283"/>
              <w:jc w:val="center"/>
              <w:rPr>
                <w:b/>
              </w:rPr>
            </w:pPr>
            <w:r>
              <w:rPr>
                <w:b/>
              </w:rPr>
              <w:t>Date</w:t>
            </w:r>
          </w:p>
        </w:tc>
        <w:tc>
          <w:tcPr>
            <w:tcW w:w="174" w:type="dxa"/>
            <w:tcBorders/>
            <w:vAlign w:val="bottom"/>
          </w:tcPr>
          <w:p>
            <w:pPr>
              <w:pStyle w:val="TableContents"/>
              <w:bidi w:val="0"/>
              <w:spacing w:before="0" w:after="283"/>
              <w:jc w:val="left"/>
              <w:rPr/>
            </w:pPr>
            <w:r>
              <w:rPr/>
              <w:t>  </w:t>
            </w:r>
          </w:p>
        </w:tc>
        <w:tc>
          <w:tcPr>
            <w:tcW w:w="2121" w:type="dxa"/>
            <w:tcBorders>
              <w:bottom w:val="single" w:sz="8" w:space="0" w:color="000000"/>
            </w:tcBorders>
            <w:tcMar>
              <w:bottom w:w="28" w:type="dxa"/>
            </w:tcMar>
            <w:vAlign w:val="bottom"/>
          </w:tcPr>
          <w:p>
            <w:pPr>
              <w:pStyle w:val="TableContents"/>
              <w:bidi w:val="0"/>
              <w:spacing w:before="0" w:after="283"/>
              <w:jc w:val="center"/>
              <w:rPr/>
            </w:pPr>
            <w:r>
              <w:rPr>
                <w:b/>
              </w:rPr>
              <w:t>Series of</w:t>
              <w:br/>
              <w:t>First Mortgage</w:t>
            </w:r>
            <w:r>
              <w:rPr/>
              <w:br/>
            </w:r>
            <w:r>
              <w:rPr>
                <w:b/>
              </w:rPr>
              <w:t>Bonds Provided For</w:t>
            </w:r>
          </w:p>
        </w:tc>
        <w:tc>
          <w:tcPr>
            <w:tcW w:w="174" w:type="dxa"/>
            <w:tcBorders/>
            <w:vAlign w:val="bottom"/>
          </w:tcPr>
          <w:p>
            <w:pPr>
              <w:pStyle w:val="TableContents"/>
              <w:bidi w:val="0"/>
              <w:spacing w:before="0" w:after="283"/>
              <w:jc w:val="left"/>
              <w:rPr/>
            </w:pPr>
            <w:r>
              <w:rPr/>
              <w:t>  </w:t>
            </w:r>
          </w:p>
        </w:tc>
        <w:tc>
          <w:tcPr>
            <w:tcW w:w="116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Issued</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89" w:type="dxa"/>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Outstanding</w:t>
            </w:r>
          </w:p>
        </w:tc>
      </w:tr>
      <w:tr>
        <w:trPr/>
        <w:tc>
          <w:tcPr>
            <w:tcW w:w="3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Seventh Supplemental Indenture</w:t>
            </w:r>
          </w:p>
        </w:tc>
        <w:tc>
          <w:tcPr>
            <w:tcW w:w="174" w:type="dxa"/>
            <w:tcBorders/>
            <w:shd w:fill="CCEEFF" w:val="clear"/>
            <w:vAlign w:val="bottom"/>
          </w:tcPr>
          <w:p>
            <w:pPr>
              <w:pStyle w:val="TableContents"/>
              <w:bidi w:val="0"/>
              <w:spacing w:before="0" w:after="283"/>
              <w:jc w:val="left"/>
              <w:rPr/>
            </w:pPr>
            <w:r>
              <w:rPr/>
              <w:t>  </w:t>
            </w:r>
          </w:p>
        </w:tc>
        <w:tc>
          <w:tcPr>
            <w:tcW w:w="1857" w:type="dxa"/>
            <w:tcBorders/>
            <w:shd w:fill="CCEEFF" w:val="clear"/>
            <w:vAlign w:val="bottom"/>
          </w:tcPr>
          <w:p>
            <w:pPr>
              <w:pStyle w:val="TableContents"/>
              <w:bidi w:val="0"/>
              <w:spacing w:before="0" w:after="283"/>
              <w:jc w:val="center"/>
              <w:rPr/>
            </w:pPr>
            <w:r>
              <w:rPr/>
              <w:t>December 1, 1951</w:t>
            </w:r>
          </w:p>
        </w:tc>
        <w:tc>
          <w:tcPr>
            <w:tcW w:w="174" w:type="dxa"/>
            <w:tcBorders/>
            <w:shd w:fill="CCEEFF" w:val="clear"/>
            <w:vAlign w:val="bottom"/>
          </w:tcPr>
          <w:p>
            <w:pPr>
              <w:pStyle w:val="TableContents"/>
              <w:bidi w:val="0"/>
              <w:spacing w:before="0" w:after="283"/>
              <w:jc w:val="left"/>
              <w:rPr/>
            </w:pPr>
            <w:r>
              <w:rPr/>
              <w:t>  </w:t>
            </w:r>
          </w:p>
        </w:tc>
        <w:tc>
          <w:tcPr>
            <w:tcW w:w="2121" w:type="dxa"/>
            <w:tcBorders/>
            <w:shd w:fill="CCEEFF" w:val="clear"/>
            <w:vAlign w:val="bottom"/>
          </w:tcPr>
          <w:p>
            <w:pPr>
              <w:pStyle w:val="TableContents"/>
              <w:bidi w:val="0"/>
              <w:spacing w:before="0" w:after="283"/>
              <w:jc w:val="center"/>
              <w:rPr/>
            </w:pPr>
            <w:r>
              <w:rPr/>
              <w:t>3-1/4% Series</w:t>
              <w:br/>
              <w:t>Due 1981</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5,250,000</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center"/>
              <w:rPr/>
            </w:pPr>
            <w:r>
              <w:rPr/>
              <w:t>None</w:t>
            </w:r>
          </w:p>
        </w:tc>
      </w:tr>
      <w:tr>
        <w:trPr/>
        <w:tc>
          <w:tcPr>
            <w:tcW w:w="3018" w:type="dxa"/>
            <w:tcBorders/>
          </w:tcPr>
          <w:p>
            <w:pPr>
              <w:pStyle w:val="TableContents"/>
              <w:bidi w:val="0"/>
              <w:spacing w:before="0" w:after="0"/>
              <w:jc w:val="left"/>
              <w:rPr>
                <w:rFonts w:ascii="Times New Roman" w:hAnsi="Times New Roman"/>
                <w:sz w:val="20"/>
              </w:rPr>
            </w:pPr>
            <w:r>
              <w:rPr>
                <w:rFonts w:ascii="Times New Roman" w:hAnsi="Times New Roman"/>
                <w:sz w:val="20"/>
              </w:rPr>
              <w:t>Eighth Supplemental Indenture</w:t>
            </w:r>
          </w:p>
        </w:tc>
        <w:tc>
          <w:tcPr>
            <w:tcW w:w="174" w:type="dxa"/>
            <w:tcBorders/>
            <w:vAlign w:val="bottom"/>
          </w:tcPr>
          <w:p>
            <w:pPr>
              <w:pStyle w:val="TableContents"/>
              <w:bidi w:val="0"/>
              <w:spacing w:before="0" w:after="283"/>
              <w:jc w:val="left"/>
              <w:rPr/>
            </w:pPr>
            <w:r>
              <w:rPr/>
              <w:t>  </w:t>
            </w:r>
          </w:p>
        </w:tc>
        <w:tc>
          <w:tcPr>
            <w:tcW w:w="1857" w:type="dxa"/>
            <w:tcBorders/>
            <w:vAlign w:val="bottom"/>
          </w:tcPr>
          <w:p>
            <w:pPr>
              <w:pStyle w:val="TableContents"/>
              <w:bidi w:val="0"/>
              <w:spacing w:before="0" w:after="283"/>
              <w:jc w:val="center"/>
              <w:rPr/>
            </w:pPr>
            <w:r>
              <w:rPr/>
              <w:t>May 1, 1952</w:t>
            </w:r>
          </w:p>
        </w:tc>
        <w:tc>
          <w:tcPr>
            <w:tcW w:w="174" w:type="dxa"/>
            <w:tcBorders/>
            <w:vAlign w:val="bottom"/>
          </w:tcPr>
          <w:p>
            <w:pPr>
              <w:pStyle w:val="TableContents"/>
              <w:bidi w:val="0"/>
              <w:spacing w:before="0" w:after="283"/>
              <w:jc w:val="left"/>
              <w:rPr/>
            </w:pPr>
            <w:r>
              <w:rPr/>
              <w:t>  </w:t>
            </w:r>
          </w:p>
        </w:tc>
        <w:tc>
          <w:tcPr>
            <w:tcW w:w="2121" w:type="dxa"/>
            <w:tcBorders/>
            <w:vAlign w:val="bottom"/>
          </w:tcPr>
          <w:p>
            <w:pPr>
              <w:pStyle w:val="TableContents"/>
              <w:bidi w:val="0"/>
              <w:spacing w:before="0" w:after="283"/>
              <w:jc w:val="center"/>
              <w:rPr/>
            </w:pPr>
            <w:r>
              <w:rPr/>
              <w:t>3-1/4% Series</w:t>
              <w:br/>
              <w:t>Due 1982</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4,750,000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center"/>
              <w:rPr/>
            </w:pPr>
            <w:r>
              <w:rPr/>
              <w:t>None</w:t>
            </w:r>
          </w:p>
        </w:tc>
      </w:tr>
      <w:tr>
        <w:trPr/>
        <w:tc>
          <w:tcPr>
            <w:tcW w:w="3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Ninth Supplemental Indenture</w:t>
            </w:r>
          </w:p>
        </w:tc>
        <w:tc>
          <w:tcPr>
            <w:tcW w:w="174" w:type="dxa"/>
            <w:tcBorders/>
            <w:shd w:fill="CCEEFF" w:val="clear"/>
            <w:vAlign w:val="bottom"/>
          </w:tcPr>
          <w:p>
            <w:pPr>
              <w:pStyle w:val="TableContents"/>
              <w:bidi w:val="0"/>
              <w:spacing w:before="0" w:after="283"/>
              <w:jc w:val="left"/>
              <w:rPr/>
            </w:pPr>
            <w:r>
              <w:rPr/>
              <w:t>  </w:t>
            </w:r>
          </w:p>
        </w:tc>
        <w:tc>
          <w:tcPr>
            <w:tcW w:w="1857" w:type="dxa"/>
            <w:tcBorders/>
            <w:shd w:fill="CCEEFF" w:val="clear"/>
            <w:vAlign w:val="bottom"/>
          </w:tcPr>
          <w:p>
            <w:pPr>
              <w:pStyle w:val="TableContents"/>
              <w:bidi w:val="0"/>
              <w:spacing w:before="0" w:after="283"/>
              <w:jc w:val="center"/>
              <w:rPr/>
            </w:pPr>
            <w:r>
              <w:rPr/>
              <w:t>October 1, 1954</w:t>
            </w:r>
          </w:p>
        </w:tc>
        <w:tc>
          <w:tcPr>
            <w:tcW w:w="174" w:type="dxa"/>
            <w:tcBorders/>
            <w:shd w:fill="CCEEFF" w:val="clear"/>
            <w:vAlign w:val="bottom"/>
          </w:tcPr>
          <w:p>
            <w:pPr>
              <w:pStyle w:val="TableContents"/>
              <w:bidi w:val="0"/>
              <w:spacing w:before="0" w:after="283"/>
              <w:jc w:val="left"/>
              <w:rPr/>
            </w:pPr>
            <w:r>
              <w:rPr/>
              <w:t>  </w:t>
            </w:r>
          </w:p>
        </w:tc>
        <w:tc>
          <w:tcPr>
            <w:tcW w:w="2121" w:type="dxa"/>
            <w:tcBorders/>
            <w:shd w:fill="CCEEFF" w:val="clear"/>
            <w:vAlign w:val="bottom"/>
          </w:tcPr>
          <w:p>
            <w:pPr>
              <w:pStyle w:val="TableContents"/>
              <w:bidi w:val="0"/>
              <w:spacing w:before="0" w:after="283"/>
              <w:jc w:val="center"/>
              <w:rPr/>
            </w:pPr>
            <w:r>
              <w:rPr/>
              <w:t>3-1/8% Series</w:t>
              <w:br/>
              <w:t>Due 1984</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8,000,000</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center"/>
              <w:rPr/>
            </w:pPr>
            <w:r>
              <w:rPr/>
              <w:t>None</w:t>
            </w:r>
          </w:p>
        </w:tc>
      </w:tr>
      <w:tr>
        <w:trPr/>
        <w:tc>
          <w:tcPr>
            <w:tcW w:w="3018" w:type="dxa"/>
            <w:tcBorders/>
          </w:tcPr>
          <w:p>
            <w:pPr>
              <w:pStyle w:val="TableContents"/>
              <w:bidi w:val="0"/>
              <w:spacing w:before="0" w:after="0"/>
              <w:jc w:val="left"/>
              <w:rPr>
                <w:rFonts w:ascii="Times New Roman" w:hAnsi="Times New Roman"/>
                <w:sz w:val="20"/>
              </w:rPr>
            </w:pPr>
            <w:r>
              <w:rPr>
                <w:rFonts w:ascii="Times New Roman" w:hAnsi="Times New Roman"/>
                <w:sz w:val="20"/>
              </w:rPr>
              <w:t>Tenth Supplemental Indenture</w:t>
            </w:r>
          </w:p>
        </w:tc>
        <w:tc>
          <w:tcPr>
            <w:tcW w:w="174" w:type="dxa"/>
            <w:tcBorders/>
            <w:vAlign w:val="bottom"/>
          </w:tcPr>
          <w:p>
            <w:pPr>
              <w:pStyle w:val="TableContents"/>
              <w:bidi w:val="0"/>
              <w:spacing w:before="0" w:after="283"/>
              <w:jc w:val="left"/>
              <w:rPr/>
            </w:pPr>
            <w:r>
              <w:rPr/>
              <w:t>  </w:t>
            </w:r>
          </w:p>
        </w:tc>
        <w:tc>
          <w:tcPr>
            <w:tcW w:w="1857" w:type="dxa"/>
            <w:tcBorders/>
            <w:vAlign w:val="bottom"/>
          </w:tcPr>
          <w:p>
            <w:pPr>
              <w:pStyle w:val="TableContents"/>
              <w:bidi w:val="0"/>
              <w:spacing w:before="0" w:after="283"/>
              <w:jc w:val="center"/>
              <w:rPr/>
            </w:pPr>
            <w:r>
              <w:rPr/>
              <w:t>September 1, 1961</w:t>
            </w:r>
          </w:p>
        </w:tc>
        <w:tc>
          <w:tcPr>
            <w:tcW w:w="174" w:type="dxa"/>
            <w:tcBorders/>
            <w:vAlign w:val="bottom"/>
          </w:tcPr>
          <w:p>
            <w:pPr>
              <w:pStyle w:val="TableContents"/>
              <w:bidi w:val="0"/>
              <w:spacing w:before="0" w:after="283"/>
              <w:jc w:val="left"/>
              <w:rPr/>
            </w:pPr>
            <w:r>
              <w:rPr/>
              <w:t>  </w:t>
            </w:r>
          </w:p>
        </w:tc>
        <w:tc>
          <w:tcPr>
            <w:tcW w:w="2121" w:type="dxa"/>
            <w:tcBorders/>
            <w:vAlign w:val="bottom"/>
          </w:tcPr>
          <w:p>
            <w:pPr>
              <w:pStyle w:val="TableContents"/>
              <w:bidi w:val="0"/>
              <w:spacing w:before="0" w:after="283"/>
              <w:jc w:val="center"/>
              <w:rPr/>
            </w:pPr>
            <w:r>
              <w:rPr/>
              <w:t>4-3/4% Series</w:t>
              <w:br/>
              <w:t>Due 1991</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13,000,000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center"/>
              <w:rPr/>
            </w:pPr>
            <w:r>
              <w:rPr/>
              <w:t>None</w:t>
            </w:r>
          </w:p>
        </w:tc>
      </w:tr>
      <w:tr>
        <w:trPr/>
        <w:tc>
          <w:tcPr>
            <w:tcW w:w="3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Eleventh Supplemental Indenture</w:t>
            </w:r>
          </w:p>
        </w:tc>
        <w:tc>
          <w:tcPr>
            <w:tcW w:w="174" w:type="dxa"/>
            <w:tcBorders/>
            <w:shd w:fill="CCEEFF" w:val="clear"/>
            <w:vAlign w:val="bottom"/>
          </w:tcPr>
          <w:p>
            <w:pPr>
              <w:pStyle w:val="TableContents"/>
              <w:bidi w:val="0"/>
              <w:spacing w:before="0" w:after="283"/>
              <w:jc w:val="left"/>
              <w:rPr/>
            </w:pPr>
            <w:r>
              <w:rPr/>
              <w:t>  </w:t>
            </w:r>
          </w:p>
        </w:tc>
        <w:tc>
          <w:tcPr>
            <w:tcW w:w="1857" w:type="dxa"/>
            <w:tcBorders/>
            <w:shd w:fill="CCEEFF" w:val="clear"/>
            <w:vAlign w:val="bottom"/>
          </w:tcPr>
          <w:p>
            <w:pPr>
              <w:pStyle w:val="TableContents"/>
              <w:bidi w:val="0"/>
              <w:spacing w:before="0" w:after="283"/>
              <w:jc w:val="center"/>
              <w:rPr/>
            </w:pPr>
            <w:r>
              <w:rPr/>
              <w:t>April 1, 1969</w:t>
            </w:r>
          </w:p>
        </w:tc>
        <w:tc>
          <w:tcPr>
            <w:tcW w:w="174" w:type="dxa"/>
            <w:tcBorders/>
            <w:shd w:fill="CCEEFF" w:val="clear"/>
            <w:vAlign w:val="bottom"/>
          </w:tcPr>
          <w:p>
            <w:pPr>
              <w:pStyle w:val="TableContents"/>
              <w:bidi w:val="0"/>
              <w:spacing w:before="0" w:after="283"/>
              <w:jc w:val="left"/>
              <w:rPr/>
            </w:pPr>
            <w:r>
              <w:rPr/>
              <w:t>  </w:t>
            </w:r>
          </w:p>
        </w:tc>
        <w:tc>
          <w:tcPr>
            <w:tcW w:w="2121" w:type="dxa"/>
            <w:tcBorders/>
            <w:shd w:fill="CCEEFF" w:val="clear"/>
            <w:vAlign w:val="bottom"/>
          </w:tcPr>
          <w:p>
            <w:pPr>
              <w:pStyle w:val="TableContents"/>
              <w:bidi w:val="0"/>
              <w:spacing w:before="0" w:after="283"/>
              <w:jc w:val="center"/>
              <w:rPr/>
            </w:pPr>
            <w:r>
              <w:rPr/>
              <w:t>7-5/8% Series</w:t>
              <w:br/>
              <w:t>Due 1999</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19,000,000</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center"/>
              <w:rPr/>
            </w:pPr>
            <w:r>
              <w:rPr/>
              <w:t>None</w:t>
            </w:r>
          </w:p>
        </w:tc>
      </w:tr>
      <w:tr>
        <w:trPr/>
        <w:tc>
          <w:tcPr>
            <w:tcW w:w="3018" w:type="dxa"/>
            <w:tcBorders/>
          </w:tcPr>
          <w:p>
            <w:pPr>
              <w:pStyle w:val="TableContents"/>
              <w:bidi w:val="0"/>
              <w:spacing w:before="0" w:after="0"/>
              <w:jc w:val="left"/>
              <w:rPr>
                <w:rFonts w:ascii="Times New Roman" w:hAnsi="Times New Roman"/>
                <w:sz w:val="20"/>
              </w:rPr>
            </w:pPr>
            <w:r>
              <w:rPr>
                <w:rFonts w:ascii="Times New Roman" w:hAnsi="Times New Roman"/>
                <w:sz w:val="20"/>
              </w:rPr>
              <w:t>Twelfth Supplemental Indenture</w:t>
            </w:r>
          </w:p>
        </w:tc>
        <w:tc>
          <w:tcPr>
            <w:tcW w:w="174" w:type="dxa"/>
            <w:tcBorders/>
            <w:vAlign w:val="bottom"/>
          </w:tcPr>
          <w:p>
            <w:pPr>
              <w:pStyle w:val="TableContents"/>
              <w:bidi w:val="0"/>
              <w:spacing w:before="0" w:after="283"/>
              <w:jc w:val="left"/>
              <w:rPr/>
            </w:pPr>
            <w:r>
              <w:rPr/>
              <w:t>  </w:t>
            </w:r>
          </w:p>
        </w:tc>
        <w:tc>
          <w:tcPr>
            <w:tcW w:w="1857" w:type="dxa"/>
            <w:tcBorders/>
            <w:vAlign w:val="bottom"/>
          </w:tcPr>
          <w:p>
            <w:pPr>
              <w:pStyle w:val="TableContents"/>
              <w:bidi w:val="0"/>
              <w:spacing w:before="0" w:after="283"/>
              <w:jc w:val="center"/>
              <w:rPr/>
            </w:pPr>
            <w:r>
              <w:rPr/>
              <w:t>September 1, 1970</w:t>
            </w:r>
          </w:p>
        </w:tc>
        <w:tc>
          <w:tcPr>
            <w:tcW w:w="174" w:type="dxa"/>
            <w:tcBorders/>
            <w:vAlign w:val="bottom"/>
          </w:tcPr>
          <w:p>
            <w:pPr>
              <w:pStyle w:val="TableContents"/>
              <w:bidi w:val="0"/>
              <w:spacing w:before="0" w:after="283"/>
              <w:jc w:val="left"/>
              <w:rPr/>
            </w:pPr>
            <w:r>
              <w:rPr/>
              <w:t>  </w:t>
            </w:r>
          </w:p>
        </w:tc>
        <w:tc>
          <w:tcPr>
            <w:tcW w:w="2121" w:type="dxa"/>
            <w:tcBorders/>
            <w:vAlign w:val="bottom"/>
          </w:tcPr>
          <w:p>
            <w:pPr>
              <w:pStyle w:val="TableContents"/>
              <w:bidi w:val="0"/>
              <w:spacing w:before="0" w:after="283"/>
              <w:jc w:val="center"/>
              <w:rPr/>
            </w:pPr>
            <w:r>
              <w:rPr/>
              <w:t>8-3/4% Series</w:t>
              <w:br/>
              <w:t>Due 2000</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20,000,000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center"/>
              <w:rPr/>
            </w:pPr>
            <w:r>
              <w:rPr/>
              <w:t>None</w:t>
            </w:r>
          </w:p>
        </w:tc>
      </w:tr>
      <w:tr>
        <w:trPr/>
        <w:tc>
          <w:tcPr>
            <w:tcW w:w="3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Thirteenth Supplemental Indenture</w:t>
            </w:r>
          </w:p>
        </w:tc>
        <w:tc>
          <w:tcPr>
            <w:tcW w:w="174" w:type="dxa"/>
            <w:tcBorders/>
            <w:shd w:fill="CCEEFF" w:val="clear"/>
            <w:vAlign w:val="bottom"/>
          </w:tcPr>
          <w:p>
            <w:pPr>
              <w:pStyle w:val="TableContents"/>
              <w:bidi w:val="0"/>
              <w:spacing w:before="0" w:after="283"/>
              <w:jc w:val="left"/>
              <w:rPr/>
            </w:pPr>
            <w:r>
              <w:rPr/>
              <w:t>  </w:t>
            </w:r>
          </w:p>
        </w:tc>
        <w:tc>
          <w:tcPr>
            <w:tcW w:w="1857" w:type="dxa"/>
            <w:tcBorders/>
            <w:shd w:fill="CCEEFF" w:val="clear"/>
            <w:vAlign w:val="bottom"/>
          </w:tcPr>
          <w:p>
            <w:pPr>
              <w:pStyle w:val="TableContents"/>
              <w:bidi w:val="0"/>
              <w:spacing w:before="0" w:after="283"/>
              <w:jc w:val="center"/>
              <w:rPr/>
            </w:pPr>
            <w:r>
              <w:rPr/>
              <w:t>February 1, 1975</w:t>
            </w:r>
          </w:p>
        </w:tc>
        <w:tc>
          <w:tcPr>
            <w:tcW w:w="174" w:type="dxa"/>
            <w:tcBorders/>
            <w:shd w:fill="CCEEFF" w:val="clear"/>
            <w:vAlign w:val="bottom"/>
          </w:tcPr>
          <w:p>
            <w:pPr>
              <w:pStyle w:val="TableContents"/>
              <w:bidi w:val="0"/>
              <w:spacing w:before="0" w:after="283"/>
              <w:jc w:val="left"/>
              <w:rPr/>
            </w:pPr>
            <w:r>
              <w:rPr/>
              <w:t>  </w:t>
            </w:r>
          </w:p>
        </w:tc>
        <w:tc>
          <w:tcPr>
            <w:tcW w:w="2121" w:type="dxa"/>
            <w:tcBorders/>
            <w:shd w:fill="CCEEFF" w:val="clear"/>
            <w:vAlign w:val="bottom"/>
          </w:tcPr>
          <w:p>
            <w:pPr>
              <w:pStyle w:val="TableContents"/>
              <w:bidi w:val="0"/>
              <w:spacing w:before="0" w:after="283"/>
              <w:jc w:val="center"/>
              <w:rPr/>
            </w:pPr>
            <w:r>
              <w:rPr/>
              <w:t>8-5/8% Series</w:t>
              <w:br/>
              <w:t>Due 2005</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35,000,000</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center"/>
              <w:rPr/>
            </w:pPr>
            <w:r>
              <w:rPr/>
              <w:t>None</w:t>
            </w:r>
          </w:p>
        </w:tc>
      </w:tr>
      <w:tr>
        <w:trPr/>
        <w:tc>
          <w:tcPr>
            <w:tcW w:w="3018" w:type="dxa"/>
            <w:tcBorders/>
          </w:tcPr>
          <w:p>
            <w:pPr>
              <w:pStyle w:val="TableContents"/>
              <w:bidi w:val="0"/>
              <w:spacing w:before="0" w:after="0"/>
              <w:jc w:val="left"/>
              <w:rPr>
                <w:rFonts w:ascii="Times New Roman" w:hAnsi="Times New Roman"/>
                <w:sz w:val="20"/>
              </w:rPr>
            </w:pPr>
            <w:r>
              <w:rPr>
                <w:rFonts w:ascii="Times New Roman" w:hAnsi="Times New Roman"/>
                <w:sz w:val="20"/>
              </w:rPr>
              <w:t>Fourteenth Supplemental Indenture</w:t>
            </w:r>
          </w:p>
        </w:tc>
        <w:tc>
          <w:tcPr>
            <w:tcW w:w="174" w:type="dxa"/>
            <w:tcBorders/>
            <w:vAlign w:val="bottom"/>
          </w:tcPr>
          <w:p>
            <w:pPr>
              <w:pStyle w:val="TableContents"/>
              <w:bidi w:val="0"/>
              <w:spacing w:before="0" w:after="283"/>
              <w:jc w:val="left"/>
              <w:rPr/>
            </w:pPr>
            <w:r>
              <w:rPr/>
              <w:t>  </w:t>
            </w:r>
          </w:p>
        </w:tc>
        <w:tc>
          <w:tcPr>
            <w:tcW w:w="1857" w:type="dxa"/>
            <w:tcBorders/>
            <w:vAlign w:val="bottom"/>
          </w:tcPr>
          <w:p>
            <w:pPr>
              <w:pStyle w:val="TableContents"/>
              <w:bidi w:val="0"/>
              <w:spacing w:before="0" w:after="283"/>
              <w:jc w:val="center"/>
              <w:rPr/>
            </w:pPr>
            <w:r>
              <w:rPr/>
              <w:t>May 1, 1976</w:t>
            </w:r>
          </w:p>
        </w:tc>
        <w:tc>
          <w:tcPr>
            <w:tcW w:w="174" w:type="dxa"/>
            <w:tcBorders/>
            <w:vAlign w:val="bottom"/>
          </w:tcPr>
          <w:p>
            <w:pPr>
              <w:pStyle w:val="TableContents"/>
              <w:bidi w:val="0"/>
              <w:spacing w:before="0" w:after="283"/>
              <w:jc w:val="left"/>
              <w:rPr/>
            </w:pPr>
            <w:r>
              <w:rPr/>
              <w:t>  </w:t>
            </w:r>
          </w:p>
        </w:tc>
        <w:tc>
          <w:tcPr>
            <w:tcW w:w="2121" w:type="dxa"/>
            <w:tcBorders/>
            <w:vAlign w:val="bottom"/>
          </w:tcPr>
          <w:p>
            <w:pPr>
              <w:pStyle w:val="TableContents"/>
              <w:bidi w:val="0"/>
              <w:spacing w:before="0" w:after="283"/>
              <w:jc w:val="center"/>
              <w:rPr/>
            </w:pPr>
            <w:r>
              <w:rPr/>
              <w:t>8-5/8% Series</w:t>
              <w:br/>
              <w:t>Due 2006</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45,000,000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center"/>
              <w:rPr/>
            </w:pPr>
            <w:r>
              <w:rPr/>
              <w:t>None</w:t>
            </w:r>
          </w:p>
        </w:tc>
      </w:tr>
      <w:tr>
        <w:trPr/>
        <w:tc>
          <w:tcPr>
            <w:tcW w:w="3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Fifteenth Supplemental Indenture</w:t>
            </w:r>
          </w:p>
        </w:tc>
        <w:tc>
          <w:tcPr>
            <w:tcW w:w="174" w:type="dxa"/>
            <w:tcBorders/>
            <w:shd w:fill="CCEEFF" w:val="clear"/>
            <w:vAlign w:val="bottom"/>
          </w:tcPr>
          <w:p>
            <w:pPr>
              <w:pStyle w:val="TableContents"/>
              <w:bidi w:val="0"/>
              <w:spacing w:before="0" w:after="283"/>
              <w:jc w:val="left"/>
              <w:rPr/>
            </w:pPr>
            <w:r>
              <w:rPr/>
              <w:t>  </w:t>
            </w:r>
          </w:p>
        </w:tc>
        <w:tc>
          <w:tcPr>
            <w:tcW w:w="1857" w:type="dxa"/>
            <w:tcBorders/>
            <w:shd w:fill="CCEEFF" w:val="clear"/>
            <w:vAlign w:val="bottom"/>
          </w:tcPr>
          <w:p>
            <w:pPr>
              <w:pStyle w:val="TableContents"/>
              <w:bidi w:val="0"/>
              <w:spacing w:before="0" w:after="283"/>
              <w:jc w:val="center"/>
              <w:rPr/>
            </w:pPr>
            <w:r>
              <w:rPr/>
              <w:t>April 1, 1977</w:t>
            </w:r>
          </w:p>
        </w:tc>
        <w:tc>
          <w:tcPr>
            <w:tcW w:w="174" w:type="dxa"/>
            <w:tcBorders/>
            <w:shd w:fill="CCEEFF" w:val="clear"/>
            <w:vAlign w:val="bottom"/>
          </w:tcPr>
          <w:p>
            <w:pPr>
              <w:pStyle w:val="TableContents"/>
              <w:bidi w:val="0"/>
              <w:spacing w:before="0" w:after="283"/>
              <w:jc w:val="left"/>
              <w:rPr/>
            </w:pPr>
            <w:r>
              <w:rPr/>
              <w:t>  </w:t>
            </w:r>
          </w:p>
        </w:tc>
        <w:tc>
          <w:tcPr>
            <w:tcW w:w="2121" w:type="dxa"/>
            <w:tcBorders/>
            <w:shd w:fill="CCEEFF" w:val="clear"/>
            <w:vAlign w:val="bottom"/>
          </w:tcPr>
          <w:p>
            <w:pPr>
              <w:pStyle w:val="TableContents"/>
              <w:bidi w:val="0"/>
              <w:spacing w:before="0" w:after="283"/>
              <w:jc w:val="center"/>
              <w:rPr/>
            </w:pPr>
            <w:r>
              <w:rPr/>
              <w:t>5.90% Pollution</w:t>
              <w:br/>
              <w:t>Control Series</w:t>
              <w:br/>
              <w:t>Due 2007</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32,000,000</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center"/>
              <w:rPr/>
            </w:pPr>
            <w:r>
              <w:rPr/>
              <w:t>None</w:t>
            </w:r>
          </w:p>
        </w:tc>
      </w:tr>
      <w:tr>
        <w:trPr/>
        <w:tc>
          <w:tcPr>
            <w:tcW w:w="3018" w:type="dxa"/>
            <w:tcBorders/>
          </w:tcPr>
          <w:p>
            <w:pPr>
              <w:pStyle w:val="TableContents"/>
              <w:bidi w:val="0"/>
              <w:spacing w:before="0" w:after="0"/>
              <w:jc w:val="left"/>
              <w:rPr>
                <w:rFonts w:ascii="Times New Roman" w:hAnsi="Times New Roman"/>
                <w:sz w:val="20"/>
              </w:rPr>
            </w:pPr>
            <w:r>
              <w:rPr>
                <w:rFonts w:ascii="Times New Roman" w:hAnsi="Times New Roman"/>
                <w:sz w:val="20"/>
              </w:rPr>
              <w:t>Sixteenth Supplemental Indenture</w:t>
            </w:r>
          </w:p>
        </w:tc>
        <w:tc>
          <w:tcPr>
            <w:tcW w:w="174" w:type="dxa"/>
            <w:tcBorders/>
            <w:vAlign w:val="bottom"/>
          </w:tcPr>
          <w:p>
            <w:pPr>
              <w:pStyle w:val="TableContents"/>
              <w:bidi w:val="0"/>
              <w:spacing w:before="0" w:after="283"/>
              <w:jc w:val="left"/>
              <w:rPr/>
            </w:pPr>
            <w:r>
              <w:rPr/>
              <w:t>  </w:t>
            </w:r>
          </w:p>
        </w:tc>
        <w:tc>
          <w:tcPr>
            <w:tcW w:w="1857" w:type="dxa"/>
            <w:tcBorders/>
            <w:vAlign w:val="bottom"/>
          </w:tcPr>
          <w:p>
            <w:pPr>
              <w:pStyle w:val="TableContents"/>
              <w:bidi w:val="0"/>
              <w:spacing w:before="0" w:after="283"/>
              <w:jc w:val="center"/>
              <w:rPr/>
            </w:pPr>
            <w:r>
              <w:rPr/>
              <w:t>June 1, 1977</w:t>
            </w:r>
          </w:p>
        </w:tc>
        <w:tc>
          <w:tcPr>
            <w:tcW w:w="174" w:type="dxa"/>
            <w:tcBorders/>
            <w:vAlign w:val="bottom"/>
          </w:tcPr>
          <w:p>
            <w:pPr>
              <w:pStyle w:val="TableContents"/>
              <w:bidi w:val="0"/>
              <w:spacing w:before="0" w:after="283"/>
              <w:jc w:val="left"/>
              <w:rPr/>
            </w:pPr>
            <w:r>
              <w:rPr/>
              <w:t>  </w:t>
            </w:r>
          </w:p>
        </w:tc>
        <w:tc>
          <w:tcPr>
            <w:tcW w:w="2121" w:type="dxa"/>
            <w:tcBorders/>
            <w:vAlign w:val="bottom"/>
          </w:tcPr>
          <w:p>
            <w:pPr>
              <w:pStyle w:val="TableContents"/>
              <w:bidi w:val="0"/>
              <w:spacing w:before="0" w:after="283"/>
              <w:jc w:val="center"/>
              <w:rPr/>
            </w:pPr>
            <w:r>
              <w:rPr/>
              <w:t>8-1/8% Series</w:t>
              <w:br/>
              <w:t>Due 2007</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30,000,000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center"/>
              <w:rPr/>
            </w:pPr>
            <w:r>
              <w:rPr/>
              <w:t>None</w:t>
            </w:r>
          </w:p>
        </w:tc>
      </w:tr>
      <w:tr>
        <w:trPr/>
        <w:tc>
          <w:tcPr>
            <w:tcW w:w="3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Seventeenth Supplemental Indenture</w:t>
            </w:r>
          </w:p>
        </w:tc>
        <w:tc>
          <w:tcPr>
            <w:tcW w:w="174" w:type="dxa"/>
            <w:tcBorders/>
            <w:shd w:fill="CCEEFF" w:val="clear"/>
            <w:vAlign w:val="bottom"/>
          </w:tcPr>
          <w:p>
            <w:pPr>
              <w:pStyle w:val="TableContents"/>
              <w:bidi w:val="0"/>
              <w:spacing w:before="0" w:after="283"/>
              <w:jc w:val="left"/>
              <w:rPr/>
            </w:pPr>
            <w:r>
              <w:rPr/>
              <w:t>  </w:t>
            </w:r>
          </w:p>
        </w:tc>
        <w:tc>
          <w:tcPr>
            <w:tcW w:w="1857" w:type="dxa"/>
            <w:tcBorders/>
            <w:shd w:fill="CCEEFF" w:val="clear"/>
            <w:vAlign w:val="bottom"/>
          </w:tcPr>
          <w:p>
            <w:pPr>
              <w:pStyle w:val="TableContents"/>
              <w:bidi w:val="0"/>
              <w:spacing w:before="0" w:after="283"/>
              <w:jc w:val="center"/>
              <w:rPr/>
            </w:pPr>
            <w:r>
              <w:rPr/>
              <w:t>February 1, 1978</w:t>
            </w:r>
          </w:p>
        </w:tc>
        <w:tc>
          <w:tcPr>
            <w:tcW w:w="174" w:type="dxa"/>
            <w:tcBorders/>
            <w:shd w:fill="CCEEFF" w:val="clear"/>
            <w:vAlign w:val="bottom"/>
          </w:tcPr>
          <w:p>
            <w:pPr>
              <w:pStyle w:val="TableContents"/>
              <w:bidi w:val="0"/>
              <w:spacing w:before="0" w:after="283"/>
              <w:jc w:val="left"/>
              <w:rPr/>
            </w:pPr>
            <w:r>
              <w:rPr/>
              <w:t>  </w:t>
            </w:r>
          </w:p>
        </w:tc>
        <w:tc>
          <w:tcPr>
            <w:tcW w:w="2121" w:type="dxa"/>
            <w:tcBorders/>
            <w:shd w:fill="CCEEFF" w:val="clear"/>
            <w:vAlign w:val="bottom"/>
          </w:tcPr>
          <w:p>
            <w:pPr>
              <w:pStyle w:val="TableContents"/>
              <w:bidi w:val="0"/>
              <w:spacing w:before="0" w:after="283"/>
              <w:jc w:val="center"/>
              <w:rPr/>
            </w:pPr>
            <w:r>
              <w:rPr/>
              <w:t>8-3/4% Series</w:t>
              <w:br/>
              <w:t>Due 2008</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35,000,000</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center"/>
              <w:rPr/>
            </w:pPr>
            <w:r>
              <w:rPr/>
              <w:t>None</w:t>
            </w:r>
          </w:p>
        </w:tc>
      </w:tr>
      <w:tr>
        <w:trPr/>
        <w:tc>
          <w:tcPr>
            <w:tcW w:w="3018" w:type="dxa"/>
            <w:tcBorders/>
          </w:tcPr>
          <w:p>
            <w:pPr>
              <w:pStyle w:val="TableContents"/>
              <w:bidi w:val="0"/>
              <w:spacing w:before="0" w:after="0"/>
              <w:jc w:val="left"/>
              <w:rPr>
                <w:rFonts w:ascii="Times New Roman" w:hAnsi="Times New Roman"/>
                <w:sz w:val="20"/>
              </w:rPr>
            </w:pPr>
            <w:r>
              <w:rPr>
                <w:rFonts w:ascii="Times New Roman" w:hAnsi="Times New Roman"/>
                <w:sz w:val="20"/>
              </w:rPr>
              <w:t>Eighteenth Supplemental Indenture</w:t>
            </w:r>
          </w:p>
        </w:tc>
        <w:tc>
          <w:tcPr>
            <w:tcW w:w="174" w:type="dxa"/>
            <w:tcBorders/>
            <w:vAlign w:val="bottom"/>
          </w:tcPr>
          <w:p>
            <w:pPr>
              <w:pStyle w:val="TableContents"/>
              <w:bidi w:val="0"/>
              <w:spacing w:before="0" w:after="283"/>
              <w:jc w:val="left"/>
              <w:rPr/>
            </w:pPr>
            <w:r>
              <w:rPr/>
              <w:t>  </w:t>
            </w:r>
          </w:p>
        </w:tc>
        <w:tc>
          <w:tcPr>
            <w:tcW w:w="1857" w:type="dxa"/>
            <w:tcBorders/>
            <w:vAlign w:val="bottom"/>
          </w:tcPr>
          <w:p>
            <w:pPr>
              <w:pStyle w:val="TableContents"/>
              <w:bidi w:val="0"/>
              <w:spacing w:before="0" w:after="283"/>
              <w:jc w:val="center"/>
              <w:rPr/>
            </w:pPr>
            <w:r>
              <w:rPr/>
              <w:t>January 1, 1979</w:t>
            </w:r>
          </w:p>
        </w:tc>
        <w:tc>
          <w:tcPr>
            <w:tcW w:w="174" w:type="dxa"/>
            <w:tcBorders/>
            <w:vAlign w:val="bottom"/>
          </w:tcPr>
          <w:p>
            <w:pPr>
              <w:pStyle w:val="TableContents"/>
              <w:bidi w:val="0"/>
              <w:spacing w:before="0" w:after="283"/>
              <w:jc w:val="left"/>
              <w:rPr/>
            </w:pPr>
            <w:r>
              <w:rPr/>
              <w:t>  </w:t>
            </w:r>
          </w:p>
        </w:tc>
        <w:tc>
          <w:tcPr>
            <w:tcW w:w="2121" w:type="dxa"/>
            <w:tcBorders/>
            <w:vAlign w:val="bottom"/>
          </w:tcPr>
          <w:p>
            <w:pPr>
              <w:pStyle w:val="TableContents"/>
              <w:bidi w:val="0"/>
              <w:spacing w:before="0" w:after="283"/>
              <w:jc w:val="center"/>
              <w:rPr/>
            </w:pPr>
            <w:r>
              <w:rPr/>
              <w:t>6-3/4% Pollution</w:t>
              <w:br/>
              <w:t>Control Series</w:t>
              <w:br/>
              <w:t>Due 2009</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45,000,000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center"/>
              <w:rPr/>
            </w:pPr>
            <w:r>
              <w:rPr/>
              <w:t>None</w:t>
            </w:r>
          </w:p>
        </w:tc>
      </w:tr>
      <w:tr>
        <w:trPr/>
        <w:tc>
          <w:tcPr>
            <w:tcW w:w="301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Nineteenth Supplemental Indenture</w:t>
            </w:r>
          </w:p>
        </w:tc>
        <w:tc>
          <w:tcPr>
            <w:tcW w:w="174" w:type="dxa"/>
            <w:tcBorders/>
            <w:shd w:fill="CCEEFF" w:val="clear"/>
            <w:vAlign w:val="bottom"/>
          </w:tcPr>
          <w:p>
            <w:pPr>
              <w:pStyle w:val="TableContents"/>
              <w:bidi w:val="0"/>
              <w:spacing w:before="0" w:after="283"/>
              <w:jc w:val="left"/>
              <w:rPr/>
            </w:pPr>
            <w:r>
              <w:rPr/>
              <w:t>  </w:t>
            </w:r>
          </w:p>
        </w:tc>
        <w:tc>
          <w:tcPr>
            <w:tcW w:w="1857" w:type="dxa"/>
            <w:tcBorders/>
            <w:shd w:fill="CCEEFF" w:val="clear"/>
            <w:vAlign w:val="bottom"/>
          </w:tcPr>
          <w:p>
            <w:pPr>
              <w:pStyle w:val="TableContents"/>
              <w:bidi w:val="0"/>
              <w:spacing w:before="0" w:after="283"/>
              <w:jc w:val="center"/>
              <w:rPr/>
            </w:pPr>
            <w:r>
              <w:rPr/>
              <w:t>May 1, 1980</w:t>
            </w:r>
          </w:p>
        </w:tc>
        <w:tc>
          <w:tcPr>
            <w:tcW w:w="174" w:type="dxa"/>
            <w:tcBorders/>
            <w:shd w:fill="CCEEFF" w:val="clear"/>
            <w:vAlign w:val="bottom"/>
          </w:tcPr>
          <w:p>
            <w:pPr>
              <w:pStyle w:val="TableContents"/>
              <w:bidi w:val="0"/>
              <w:spacing w:before="0" w:after="283"/>
              <w:jc w:val="left"/>
              <w:rPr/>
            </w:pPr>
            <w:r>
              <w:rPr/>
              <w:t>  </w:t>
            </w:r>
          </w:p>
        </w:tc>
        <w:tc>
          <w:tcPr>
            <w:tcW w:w="2121" w:type="dxa"/>
            <w:tcBorders/>
            <w:shd w:fill="CCEEFF" w:val="clear"/>
            <w:vAlign w:val="bottom"/>
          </w:tcPr>
          <w:p>
            <w:pPr>
              <w:pStyle w:val="TableContents"/>
              <w:bidi w:val="0"/>
              <w:spacing w:before="0" w:after="283"/>
              <w:jc w:val="center"/>
              <w:rPr/>
            </w:pPr>
            <w:r>
              <w:rPr/>
              <w:t>8-1/4% Pollution</w:t>
              <w:br/>
              <w:t>Control Series</w:t>
              <w:br/>
              <w:t>Due 1983</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45,000,000</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center"/>
              <w:rPr/>
            </w:pPr>
            <w:r>
              <w:rPr/>
              <w:t>None</w:t>
            </w:r>
          </w:p>
        </w:tc>
      </w:tr>
      <w:tr>
        <w:trPr/>
        <w:tc>
          <w:tcPr>
            <w:tcW w:w="3018" w:type="dxa"/>
            <w:tcBorders/>
          </w:tcPr>
          <w:p>
            <w:pPr>
              <w:pStyle w:val="TableContents"/>
              <w:bidi w:val="0"/>
              <w:spacing w:before="0" w:after="0"/>
              <w:jc w:val="left"/>
              <w:rPr>
                <w:rFonts w:ascii="Times New Roman" w:hAnsi="Times New Roman"/>
                <w:sz w:val="20"/>
              </w:rPr>
            </w:pPr>
            <w:r>
              <w:rPr>
                <w:rFonts w:ascii="Times New Roman" w:hAnsi="Times New Roman"/>
                <w:sz w:val="20"/>
              </w:rPr>
              <w:t>Twentieth Supplemental Indenture</w:t>
            </w:r>
          </w:p>
        </w:tc>
        <w:tc>
          <w:tcPr>
            <w:tcW w:w="174" w:type="dxa"/>
            <w:tcBorders/>
            <w:vAlign w:val="bottom"/>
          </w:tcPr>
          <w:p>
            <w:pPr>
              <w:pStyle w:val="TableContents"/>
              <w:bidi w:val="0"/>
              <w:spacing w:before="0" w:after="283"/>
              <w:jc w:val="left"/>
              <w:rPr/>
            </w:pPr>
            <w:r>
              <w:rPr/>
              <w:t>  </w:t>
            </w:r>
          </w:p>
        </w:tc>
        <w:tc>
          <w:tcPr>
            <w:tcW w:w="1857" w:type="dxa"/>
            <w:tcBorders/>
            <w:vAlign w:val="bottom"/>
          </w:tcPr>
          <w:p>
            <w:pPr>
              <w:pStyle w:val="TableContents"/>
              <w:bidi w:val="0"/>
              <w:spacing w:before="0" w:after="283"/>
              <w:jc w:val="center"/>
              <w:rPr/>
            </w:pPr>
            <w:r>
              <w:rPr/>
              <w:t>November 1, 1981</w:t>
            </w:r>
          </w:p>
        </w:tc>
        <w:tc>
          <w:tcPr>
            <w:tcW w:w="174" w:type="dxa"/>
            <w:tcBorders/>
            <w:vAlign w:val="bottom"/>
          </w:tcPr>
          <w:p>
            <w:pPr>
              <w:pStyle w:val="TableContents"/>
              <w:bidi w:val="0"/>
              <w:spacing w:before="0" w:after="283"/>
              <w:jc w:val="left"/>
              <w:rPr/>
            </w:pPr>
            <w:r>
              <w:rPr/>
              <w:t>  </w:t>
            </w:r>
          </w:p>
        </w:tc>
        <w:tc>
          <w:tcPr>
            <w:tcW w:w="2121" w:type="dxa"/>
            <w:tcBorders/>
            <w:vAlign w:val="bottom"/>
          </w:tcPr>
          <w:p>
            <w:pPr>
              <w:pStyle w:val="TableContents"/>
              <w:bidi w:val="0"/>
              <w:spacing w:before="0" w:after="283"/>
              <w:jc w:val="center"/>
              <w:rPr/>
            </w:pPr>
            <w:r>
              <w:rPr/>
              <w:t>16.95% Series</w:t>
              <w:br/>
              <w:t>Due 1988</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25,000,000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center"/>
              <w:rPr/>
            </w:pPr>
            <w:r>
              <w:rPr/>
              <w:t>None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61"/>
        <w:gridCol w:w="130"/>
        <w:gridCol w:w="1828"/>
        <w:gridCol w:w="130"/>
        <w:gridCol w:w="3560"/>
        <w:gridCol w:w="130"/>
        <w:gridCol w:w="60"/>
        <w:gridCol w:w="1226"/>
        <w:gridCol w:w="60"/>
        <w:gridCol w:w="130"/>
        <w:gridCol w:w="1290"/>
      </w:tblGrid>
      <w:tr>
        <w:trPr/>
        <w:tc>
          <w:tcPr>
            <w:tcW w:w="1661"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356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r>
      <w:tr>
        <w:trPr/>
        <w:tc>
          <w:tcPr>
            <w:tcW w:w="166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Supplemental </w:t>
              <w:br/>
              <w:t>Indenture</w:t>
            </w:r>
          </w:p>
        </w:tc>
        <w:tc>
          <w:tcPr>
            <w:tcW w:w="130" w:type="dxa"/>
            <w:tcBorders/>
            <w:vAlign w:val="bottom"/>
          </w:tcPr>
          <w:p>
            <w:pPr>
              <w:pStyle w:val="TableContents"/>
              <w:bidi w:val="0"/>
              <w:spacing w:before="0" w:after="283"/>
              <w:jc w:val="left"/>
              <w:rPr/>
            </w:pPr>
            <w:r>
              <w:rPr/>
              <w:t>  </w:t>
            </w:r>
          </w:p>
        </w:tc>
        <w:tc>
          <w:tcPr>
            <w:tcW w:w="182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130" w:type="dxa"/>
            <w:tcBorders/>
            <w:vAlign w:val="bottom"/>
          </w:tcPr>
          <w:p>
            <w:pPr>
              <w:pStyle w:val="TableContents"/>
              <w:bidi w:val="0"/>
              <w:spacing w:before="0" w:after="283"/>
              <w:jc w:val="left"/>
              <w:rPr/>
            </w:pPr>
            <w:r>
              <w:rPr/>
              <w:t>  </w:t>
            </w:r>
          </w:p>
        </w:tc>
        <w:tc>
          <w:tcPr>
            <w:tcW w:w="356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Series of</w:t>
              <w:br/>
              <w:t>First Mortgage</w:t>
            </w:r>
          </w:p>
          <w:p>
            <w:pPr>
              <w:pStyle w:val="TableContents"/>
              <w:bidi w:val="0"/>
              <w:spacing w:before="0" w:after="20"/>
              <w:jc w:val="center"/>
              <w:rPr>
                <w:rFonts w:ascii="Times New Roman" w:hAnsi="Times New Roman"/>
                <w:b/>
                <w:sz w:val="16"/>
              </w:rPr>
            </w:pPr>
            <w:r>
              <w:rPr>
                <w:rFonts w:ascii="Times New Roman" w:hAnsi="Times New Roman"/>
                <w:b/>
                <w:sz w:val="16"/>
              </w:rPr>
              <w:t>Bonds</w:t>
              <w:br/>
              <w:t>Provided For</w:t>
            </w:r>
          </w:p>
        </w:tc>
        <w:tc>
          <w:tcPr>
            <w:tcW w:w="130" w:type="dxa"/>
            <w:tcBorders/>
            <w:vAlign w:val="bottom"/>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Issued</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90" w:type="dxa"/>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Outstanding</w:t>
            </w:r>
          </w:p>
        </w:tc>
      </w:tr>
      <w:tr>
        <w:trPr/>
        <w:tc>
          <w:tcPr>
            <w:tcW w:w="1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Twenty-First Supplemental Indenture</w:t>
            </w:r>
          </w:p>
        </w:tc>
        <w:tc>
          <w:tcPr>
            <w:tcW w:w="130"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center"/>
              <w:rPr/>
            </w:pPr>
            <w:r>
              <w:rPr/>
              <w:t>April 1, 1982</w:t>
            </w:r>
          </w:p>
        </w:tc>
        <w:tc>
          <w:tcPr>
            <w:tcW w:w="130" w:type="dxa"/>
            <w:tcBorders/>
            <w:shd w:fill="CCEEFF" w:val="clear"/>
            <w:vAlign w:val="bottom"/>
          </w:tcPr>
          <w:p>
            <w:pPr>
              <w:pStyle w:val="TableContents"/>
              <w:bidi w:val="0"/>
              <w:spacing w:before="0" w:after="283"/>
              <w:jc w:val="left"/>
              <w:rPr/>
            </w:pPr>
            <w:r>
              <w:rPr/>
              <w:t>  </w:t>
            </w:r>
          </w:p>
        </w:tc>
        <w:tc>
          <w:tcPr>
            <w:tcW w:w="3560" w:type="dxa"/>
            <w:tcBorders/>
            <w:shd w:fill="CCEEFF" w:val="clear"/>
            <w:vAlign w:val="bottom"/>
          </w:tcPr>
          <w:p>
            <w:pPr>
              <w:pStyle w:val="TableContents"/>
              <w:bidi w:val="0"/>
              <w:spacing w:before="0" w:after="283"/>
              <w:jc w:val="center"/>
              <w:rPr/>
            </w:pPr>
            <w:r>
              <w:rPr/>
              <w:t>15% Series</w:t>
              <w:br/>
              <w:t>Due 1992</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60,000,000</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283"/>
              <w:jc w:val="center"/>
              <w:rPr/>
            </w:pPr>
            <w:r>
              <w:rPr/>
              <w:t>None</w:t>
            </w:r>
          </w:p>
        </w:tc>
      </w:tr>
      <w:tr>
        <w:trPr/>
        <w:tc>
          <w:tcPr>
            <w:tcW w:w="1661" w:type="dxa"/>
            <w:tcBorders/>
          </w:tcPr>
          <w:p>
            <w:pPr>
              <w:pStyle w:val="TableContents"/>
              <w:bidi w:val="0"/>
              <w:spacing w:before="0" w:after="0"/>
              <w:jc w:val="left"/>
              <w:rPr>
                <w:rFonts w:ascii="Times New Roman" w:hAnsi="Times New Roman"/>
                <w:sz w:val="20"/>
              </w:rPr>
            </w:pPr>
            <w:r>
              <w:rPr>
                <w:rFonts w:ascii="Times New Roman" w:hAnsi="Times New Roman"/>
                <w:sz w:val="20"/>
              </w:rPr>
              <w:t>Twenty-Second Supplemental Indenture</w:t>
            </w:r>
          </w:p>
        </w:tc>
        <w:tc>
          <w:tcPr>
            <w:tcW w:w="130"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center"/>
              <w:rPr/>
            </w:pPr>
            <w:r>
              <w:rPr/>
              <w:t>February 1, 1983</w:t>
            </w:r>
          </w:p>
        </w:tc>
        <w:tc>
          <w:tcPr>
            <w:tcW w:w="130" w:type="dxa"/>
            <w:tcBorders/>
            <w:vAlign w:val="bottom"/>
          </w:tcPr>
          <w:p>
            <w:pPr>
              <w:pStyle w:val="TableContents"/>
              <w:bidi w:val="0"/>
              <w:spacing w:before="0" w:after="283"/>
              <w:jc w:val="left"/>
              <w:rPr/>
            </w:pPr>
            <w:r>
              <w:rPr/>
              <w:t>  </w:t>
            </w:r>
          </w:p>
        </w:tc>
        <w:tc>
          <w:tcPr>
            <w:tcW w:w="3560" w:type="dxa"/>
            <w:tcBorders/>
            <w:vAlign w:val="bottom"/>
          </w:tcPr>
          <w:p>
            <w:pPr>
              <w:pStyle w:val="TableContents"/>
              <w:bidi w:val="0"/>
              <w:spacing w:before="0" w:after="283"/>
              <w:jc w:val="center"/>
              <w:rPr/>
            </w:pPr>
            <w:r>
              <w:rPr/>
              <w:t>9-5/8% Pollution</w:t>
              <w:br/>
              <w:t>Control Series</w:t>
              <w:br/>
              <w:t>Due 2013</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58,500,000</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283"/>
              <w:jc w:val="center"/>
              <w:rPr/>
            </w:pPr>
            <w:r>
              <w:rPr/>
              <w:t>None</w:t>
            </w:r>
          </w:p>
        </w:tc>
      </w:tr>
      <w:tr>
        <w:trPr/>
        <w:tc>
          <w:tcPr>
            <w:tcW w:w="1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Twenty-Third Supplemental Indenture</w:t>
            </w:r>
          </w:p>
        </w:tc>
        <w:tc>
          <w:tcPr>
            <w:tcW w:w="130"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center"/>
              <w:rPr/>
            </w:pPr>
            <w:r>
              <w:rPr/>
              <w:t>July 1, 1986</w:t>
            </w:r>
          </w:p>
        </w:tc>
        <w:tc>
          <w:tcPr>
            <w:tcW w:w="130" w:type="dxa"/>
            <w:tcBorders/>
            <w:shd w:fill="CCEEFF" w:val="clear"/>
            <w:vAlign w:val="bottom"/>
          </w:tcPr>
          <w:p>
            <w:pPr>
              <w:pStyle w:val="TableContents"/>
              <w:bidi w:val="0"/>
              <w:spacing w:before="0" w:after="283"/>
              <w:jc w:val="left"/>
              <w:rPr/>
            </w:pPr>
            <w:r>
              <w:rPr/>
              <w:t>  </w:t>
            </w:r>
          </w:p>
        </w:tc>
        <w:tc>
          <w:tcPr>
            <w:tcW w:w="3560" w:type="dxa"/>
            <w:tcBorders/>
            <w:shd w:fill="CCEEFF" w:val="clear"/>
            <w:vAlign w:val="bottom"/>
          </w:tcPr>
          <w:p>
            <w:pPr>
              <w:pStyle w:val="TableContents"/>
              <w:bidi w:val="0"/>
              <w:spacing w:before="0" w:after="283"/>
              <w:jc w:val="center"/>
              <w:rPr/>
            </w:pPr>
            <w:r>
              <w:rPr/>
              <w:t>8-1/4% Series</w:t>
              <w:br/>
              <w:t>Due 1996</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60,000,000</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283"/>
              <w:jc w:val="center"/>
              <w:rPr/>
            </w:pPr>
            <w:r>
              <w:rPr/>
              <w:t>None</w:t>
            </w:r>
          </w:p>
        </w:tc>
      </w:tr>
      <w:tr>
        <w:trPr/>
        <w:tc>
          <w:tcPr>
            <w:tcW w:w="1661" w:type="dxa"/>
            <w:tcBorders/>
          </w:tcPr>
          <w:p>
            <w:pPr>
              <w:pStyle w:val="TableContents"/>
              <w:bidi w:val="0"/>
              <w:spacing w:before="0" w:after="0"/>
              <w:jc w:val="left"/>
              <w:rPr>
                <w:rFonts w:ascii="Times New Roman" w:hAnsi="Times New Roman"/>
                <w:sz w:val="20"/>
              </w:rPr>
            </w:pPr>
            <w:r>
              <w:rPr>
                <w:rFonts w:ascii="Times New Roman" w:hAnsi="Times New Roman"/>
                <w:sz w:val="20"/>
              </w:rPr>
              <w:t>Twenty-Fourth Supplemental Indenture</w:t>
            </w:r>
          </w:p>
        </w:tc>
        <w:tc>
          <w:tcPr>
            <w:tcW w:w="130"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center"/>
              <w:rPr/>
            </w:pPr>
            <w:r>
              <w:rPr/>
              <w:t>March 1, 1987</w:t>
            </w:r>
          </w:p>
        </w:tc>
        <w:tc>
          <w:tcPr>
            <w:tcW w:w="130" w:type="dxa"/>
            <w:tcBorders/>
            <w:vAlign w:val="bottom"/>
          </w:tcPr>
          <w:p>
            <w:pPr>
              <w:pStyle w:val="TableContents"/>
              <w:bidi w:val="0"/>
              <w:spacing w:before="0" w:after="283"/>
              <w:jc w:val="left"/>
              <w:rPr/>
            </w:pPr>
            <w:r>
              <w:rPr/>
              <w:t>  </w:t>
            </w:r>
          </w:p>
        </w:tc>
        <w:tc>
          <w:tcPr>
            <w:tcW w:w="3560" w:type="dxa"/>
            <w:tcBorders/>
            <w:vAlign w:val="bottom"/>
          </w:tcPr>
          <w:p>
            <w:pPr>
              <w:pStyle w:val="TableContents"/>
              <w:bidi w:val="0"/>
              <w:spacing w:before="0" w:after="283"/>
              <w:jc w:val="center"/>
              <w:rPr/>
            </w:pPr>
            <w:r>
              <w:rPr/>
              <w:t>8-5/8% Series</w:t>
              <w:br/>
              <w:t>Due 2020</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50,000,000</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283"/>
              <w:jc w:val="center"/>
              <w:rPr/>
            </w:pPr>
            <w:r>
              <w:rPr/>
              <w:t>None</w:t>
            </w:r>
          </w:p>
        </w:tc>
      </w:tr>
      <w:tr>
        <w:trPr/>
        <w:tc>
          <w:tcPr>
            <w:tcW w:w="1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Twenty-Fifth Supplemental Indenture</w:t>
            </w:r>
          </w:p>
        </w:tc>
        <w:tc>
          <w:tcPr>
            <w:tcW w:w="130"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center"/>
              <w:rPr/>
            </w:pPr>
            <w:r>
              <w:rPr/>
              <w:t>October 15, 1988</w:t>
            </w:r>
          </w:p>
        </w:tc>
        <w:tc>
          <w:tcPr>
            <w:tcW w:w="130" w:type="dxa"/>
            <w:tcBorders/>
            <w:shd w:fill="CCEEFF" w:val="clear"/>
            <w:vAlign w:val="bottom"/>
          </w:tcPr>
          <w:p>
            <w:pPr>
              <w:pStyle w:val="TableContents"/>
              <w:bidi w:val="0"/>
              <w:spacing w:before="0" w:after="283"/>
              <w:jc w:val="left"/>
              <w:rPr/>
            </w:pPr>
            <w:r>
              <w:rPr/>
              <w:t>  </w:t>
            </w:r>
          </w:p>
        </w:tc>
        <w:tc>
          <w:tcPr>
            <w:tcW w:w="3560" w:type="dxa"/>
            <w:tcBorders/>
            <w:shd w:fill="CCEEFF" w:val="clear"/>
            <w:vAlign w:val="bottom"/>
          </w:tcPr>
          <w:p>
            <w:pPr>
              <w:pStyle w:val="TableContents"/>
              <w:bidi w:val="0"/>
              <w:spacing w:before="0" w:after="283"/>
              <w:jc w:val="center"/>
              <w:rPr/>
            </w:pPr>
            <w:r>
              <w:rPr/>
              <w:t>9.35% Series</w:t>
              <w:br/>
              <w:t>Due 1998</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75,000,000</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283"/>
              <w:jc w:val="center"/>
              <w:rPr/>
            </w:pPr>
            <w:r>
              <w:rPr/>
              <w:t>None</w:t>
            </w:r>
          </w:p>
        </w:tc>
      </w:tr>
      <w:tr>
        <w:trPr/>
        <w:tc>
          <w:tcPr>
            <w:tcW w:w="1661" w:type="dxa"/>
            <w:tcBorders/>
          </w:tcPr>
          <w:p>
            <w:pPr>
              <w:pStyle w:val="TableContents"/>
              <w:bidi w:val="0"/>
              <w:spacing w:before="0" w:after="0"/>
              <w:jc w:val="left"/>
              <w:rPr>
                <w:rFonts w:ascii="Times New Roman" w:hAnsi="Times New Roman"/>
                <w:sz w:val="20"/>
              </w:rPr>
            </w:pPr>
            <w:r>
              <w:rPr>
                <w:rFonts w:ascii="Times New Roman" w:hAnsi="Times New Roman"/>
                <w:sz w:val="20"/>
              </w:rPr>
              <w:t>Twenty-Sixth Supplemental Indenture</w:t>
            </w:r>
          </w:p>
        </w:tc>
        <w:tc>
          <w:tcPr>
            <w:tcW w:w="130"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center"/>
              <w:rPr/>
            </w:pPr>
            <w:r>
              <w:rPr/>
              <w:t>February 15, 1990</w:t>
            </w:r>
          </w:p>
        </w:tc>
        <w:tc>
          <w:tcPr>
            <w:tcW w:w="130" w:type="dxa"/>
            <w:tcBorders/>
            <w:vAlign w:val="bottom"/>
          </w:tcPr>
          <w:p>
            <w:pPr>
              <w:pStyle w:val="TableContents"/>
              <w:bidi w:val="0"/>
              <w:spacing w:before="0" w:after="283"/>
              <w:jc w:val="left"/>
              <w:rPr/>
            </w:pPr>
            <w:r>
              <w:rPr/>
              <w:t>  </w:t>
            </w:r>
          </w:p>
        </w:tc>
        <w:tc>
          <w:tcPr>
            <w:tcW w:w="3560" w:type="dxa"/>
            <w:tcBorders/>
            <w:vAlign w:val="bottom"/>
          </w:tcPr>
          <w:p>
            <w:pPr>
              <w:pStyle w:val="TableContents"/>
              <w:bidi w:val="0"/>
              <w:spacing w:before="0" w:after="283"/>
              <w:jc w:val="center"/>
              <w:rPr/>
            </w:pPr>
            <w:r>
              <w:rPr/>
              <w:t>8-7/8% Series</w:t>
              <w:br/>
              <w:t>Due 2000</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75,000,000</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283"/>
              <w:jc w:val="center"/>
              <w:rPr/>
            </w:pPr>
            <w:r>
              <w:rPr/>
              <w:t>None</w:t>
            </w:r>
          </w:p>
        </w:tc>
      </w:tr>
      <w:tr>
        <w:trPr/>
        <w:tc>
          <w:tcPr>
            <w:tcW w:w="1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Twenty-Seventh Supplemental Indenture</w:t>
            </w:r>
          </w:p>
        </w:tc>
        <w:tc>
          <w:tcPr>
            <w:tcW w:w="130"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center"/>
              <w:rPr/>
            </w:pPr>
            <w:r>
              <w:rPr/>
              <w:t>March 12, 1992</w:t>
            </w:r>
          </w:p>
        </w:tc>
        <w:tc>
          <w:tcPr>
            <w:tcW w:w="130" w:type="dxa"/>
            <w:tcBorders/>
            <w:shd w:fill="CCEEFF" w:val="clear"/>
            <w:vAlign w:val="bottom"/>
          </w:tcPr>
          <w:p>
            <w:pPr>
              <w:pStyle w:val="TableContents"/>
              <w:bidi w:val="0"/>
              <w:spacing w:before="0" w:after="283"/>
              <w:jc w:val="left"/>
              <w:rPr/>
            </w:pPr>
            <w:r>
              <w:rPr/>
              <w:t>  </w:t>
            </w:r>
          </w:p>
        </w:tc>
        <w:tc>
          <w:tcPr>
            <w:tcW w:w="3560" w:type="dxa"/>
            <w:tcBorders/>
            <w:shd w:fill="CCEEFF" w:val="clear"/>
            <w:vAlign w:val="bottom"/>
          </w:tcPr>
          <w:p>
            <w:pPr>
              <w:pStyle w:val="TableContents"/>
              <w:bidi w:val="0"/>
              <w:spacing w:before="0" w:after="283"/>
              <w:jc w:val="center"/>
              <w:rPr/>
            </w:pPr>
            <w:r>
              <w:rPr/>
              <w:t>7.46% Demand Series</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370,000,000</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283"/>
              <w:jc w:val="center"/>
              <w:rPr/>
            </w:pPr>
            <w:r>
              <w:rPr/>
              <w:t>None</w:t>
            </w:r>
          </w:p>
        </w:tc>
      </w:tr>
      <w:tr>
        <w:trPr/>
        <w:tc>
          <w:tcPr>
            <w:tcW w:w="1661" w:type="dxa"/>
            <w:tcBorders/>
          </w:tcPr>
          <w:p>
            <w:pPr>
              <w:pStyle w:val="TableContents"/>
              <w:bidi w:val="0"/>
              <w:spacing w:before="0" w:after="0"/>
              <w:jc w:val="left"/>
              <w:rPr>
                <w:rFonts w:ascii="Times New Roman" w:hAnsi="Times New Roman"/>
                <w:sz w:val="20"/>
              </w:rPr>
            </w:pPr>
            <w:r>
              <w:rPr>
                <w:rFonts w:ascii="Times New Roman" w:hAnsi="Times New Roman"/>
                <w:sz w:val="20"/>
              </w:rPr>
              <w:t>Twenty-Eighth Supplemental Indenture</w:t>
            </w:r>
          </w:p>
        </w:tc>
        <w:tc>
          <w:tcPr>
            <w:tcW w:w="130"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center"/>
              <w:rPr/>
            </w:pPr>
            <w:r>
              <w:rPr/>
              <w:t>July 1, 1992</w:t>
            </w:r>
          </w:p>
        </w:tc>
        <w:tc>
          <w:tcPr>
            <w:tcW w:w="130" w:type="dxa"/>
            <w:tcBorders/>
            <w:vAlign w:val="bottom"/>
          </w:tcPr>
          <w:p>
            <w:pPr>
              <w:pStyle w:val="TableContents"/>
              <w:bidi w:val="0"/>
              <w:spacing w:before="0" w:after="283"/>
              <w:jc w:val="left"/>
              <w:rPr/>
            </w:pPr>
            <w:r>
              <w:rPr/>
              <w:t>  </w:t>
            </w:r>
          </w:p>
        </w:tc>
        <w:tc>
          <w:tcPr>
            <w:tcW w:w="3560" w:type="dxa"/>
            <w:tcBorders/>
            <w:vAlign w:val="bottom"/>
          </w:tcPr>
          <w:p>
            <w:pPr>
              <w:pStyle w:val="TableContents"/>
              <w:bidi w:val="0"/>
              <w:spacing w:before="0" w:after="283"/>
              <w:jc w:val="center"/>
              <w:rPr/>
            </w:pPr>
            <w:r>
              <w:rPr/>
              <w:t>7-1/4% Series</w:t>
              <w:br/>
              <w:t>Due 1999</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283"/>
              <w:jc w:val="center"/>
              <w:rPr/>
            </w:pPr>
            <w:r>
              <w:rPr/>
              <w:t>None</w:t>
            </w:r>
          </w:p>
        </w:tc>
      </w:tr>
      <w:tr>
        <w:trPr/>
        <w:tc>
          <w:tcPr>
            <w:tcW w:w="1661" w:type="dxa"/>
            <w:tcBorders/>
            <w:shd w:fill="CCEEFF" w:val="clear"/>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3560" w:type="dxa"/>
            <w:tcBorders/>
            <w:shd w:fill="CCEEFF" w:val="clear"/>
            <w:vAlign w:val="bottom"/>
          </w:tcPr>
          <w:p>
            <w:pPr>
              <w:pStyle w:val="TableContents"/>
              <w:bidi w:val="0"/>
              <w:spacing w:before="0" w:after="283"/>
              <w:jc w:val="center"/>
              <w:rPr/>
            </w:pPr>
            <w:r>
              <w:rPr/>
              <w:t>8-1/2% Series</w:t>
              <w:br/>
              <w:t>Due 2022</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283"/>
              <w:jc w:val="center"/>
              <w:rPr/>
            </w:pPr>
            <w:r>
              <w:rPr/>
              <w:t>None</w:t>
            </w:r>
          </w:p>
        </w:tc>
      </w:tr>
      <w:tr>
        <w:trPr/>
        <w:tc>
          <w:tcPr>
            <w:tcW w:w="1661" w:type="dxa"/>
            <w:tcBorders/>
          </w:tcPr>
          <w:p>
            <w:pPr>
              <w:pStyle w:val="TableContents"/>
              <w:bidi w:val="0"/>
              <w:spacing w:before="0" w:after="0"/>
              <w:jc w:val="left"/>
              <w:rPr>
                <w:rFonts w:ascii="Times New Roman" w:hAnsi="Times New Roman"/>
                <w:sz w:val="20"/>
              </w:rPr>
            </w:pPr>
            <w:r>
              <w:rPr>
                <w:rFonts w:ascii="Times New Roman" w:hAnsi="Times New Roman"/>
                <w:sz w:val="20"/>
              </w:rPr>
              <w:t>Twenty-Ninth Supplemental Indenture</w:t>
            </w:r>
          </w:p>
        </w:tc>
        <w:tc>
          <w:tcPr>
            <w:tcW w:w="130"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center"/>
              <w:rPr/>
            </w:pPr>
            <w:r>
              <w:rPr/>
              <w:t>August 20, 1992</w:t>
            </w:r>
          </w:p>
        </w:tc>
        <w:tc>
          <w:tcPr>
            <w:tcW w:w="130" w:type="dxa"/>
            <w:tcBorders/>
            <w:vAlign w:val="bottom"/>
          </w:tcPr>
          <w:p>
            <w:pPr>
              <w:pStyle w:val="TableContents"/>
              <w:bidi w:val="0"/>
              <w:spacing w:before="0" w:after="283"/>
              <w:jc w:val="left"/>
              <w:rPr/>
            </w:pPr>
            <w:r>
              <w:rPr/>
              <w:t>  </w:t>
            </w:r>
          </w:p>
        </w:tc>
        <w:tc>
          <w:tcPr>
            <w:tcW w:w="3560" w:type="dxa"/>
            <w:tcBorders/>
            <w:vAlign w:val="bottom"/>
          </w:tcPr>
          <w:p>
            <w:pPr>
              <w:pStyle w:val="TableContents"/>
              <w:bidi w:val="0"/>
              <w:spacing w:before="0" w:after="283"/>
              <w:jc w:val="center"/>
              <w:rPr/>
            </w:pPr>
            <w:r>
              <w:rPr/>
              <w:t>7-1/4% Series</w:t>
              <w:br/>
              <w:t>Due 2002</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100,000,000</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283"/>
              <w:jc w:val="center"/>
              <w:rPr/>
            </w:pPr>
            <w:r>
              <w:rPr/>
              <w:t>None</w:t>
            </w:r>
          </w:p>
        </w:tc>
      </w:tr>
      <w:tr>
        <w:trPr/>
        <w:tc>
          <w:tcPr>
            <w:tcW w:w="1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Thirtieth Supplemental Indenture</w:t>
            </w:r>
          </w:p>
        </w:tc>
        <w:tc>
          <w:tcPr>
            <w:tcW w:w="130"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center"/>
              <w:rPr/>
            </w:pPr>
            <w:r>
              <w:rPr/>
              <w:t>February 1, 1993</w:t>
            </w:r>
          </w:p>
        </w:tc>
        <w:tc>
          <w:tcPr>
            <w:tcW w:w="130" w:type="dxa"/>
            <w:tcBorders/>
            <w:shd w:fill="CCEEFF" w:val="clear"/>
            <w:vAlign w:val="bottom"/>
          </w:tcPr>
          <w:p>
            <w:pPr>
              <w:pStyle w:val="TableContents"/>
              <w:bidi w:val="0"/>
              <w:spacing w:before="0" w:after="283"/>
              <w:jc w:val="left"/>
              <w:rPr/>
            </w:pPr>
            <w:r>
              <w:rPr/>
              <w:t>  </w:t>
            </w:r>
          </w:p>
        </w:tc>
        <w:tc>
          <w:tcPr>
            <w:tcW w:w="3560" w:type="dxa"/>
            <w:tcBorders/>
            <w:shd w:fill="CCEEFF" w:val="clear"/>
            <w:vAlign w:val="bottom"/>
          </w:tcPr>
          <w:p>
            <w:pPr>
              <w:pStyle w:val="TableContents"/>
              <w:bidi w:val="0"/>
              <w:spacing w:before="0" w:after="283"/>
              <w:jc w:val="center"/>
              <w:rPr/>
            </w:pPr>
            <w:r>
              <w:rPr/>
              <w:t>6% Pollution Control</w:t>
              <w:br/>
              <w:t>Revenue Refunding Series Due 2033</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58,500,000</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283"/>
              <w:jc w:val="center"/>
              <w:rPr/>
            </w:pPr>
            <w:r>
              <w:rPr/>
              <w:t>None</w:t>
            </w:r>
          </w:p>
        </w:tc>
      </w:tr>
      <w:tr>
        <w:trPr/>
        <w:tc>
          <w:tcPr>
            <w:tcW w:w="1661" w:type="dxa"/>
            <w:tcBorders/>
          </w:tcPr>
          <w:p>
            <w:pPr>
              <w:pStyle w:val="TableContents"/>
              <w:bidi w:val="0"/>
              <w:spacing w:before="0" w:after="0"/>
              <w:jc w:val="left"/>
              <w:rPr>
                <w:rFonts w:ascii="Times New Roman" w:hAnsi="Times New Roman"/>
                <w:sz w:val="20"/>
              </w:rPr>
            </w:pPr>
            <w:r>
              <w:rPr>
                <w:rFonts w:ascii="Times New Roman" w:hAnsi="Times New Roman"/>
                <w:sz w:val="20"/>
              </w:rPr>
              <w:t>Thirty-First Supplemental Indenture</w:t>
            </w:r>
          </w:p>
        </w:tc>
        <w:tc>
          <w:tcPr>
            <w:tcW w:w="130" w:type="dxa"/>
            <w:tcBorders/>
            <w:vAlign w:val="bottom"/>
          </w:tcPr>
          <w:p>
            <w:pPr>
              <w:pStyle w:val="TableContents"/>
              <w:bidi w:val="0"/>
              <w:spacing w:before="0" w:after="283"/>
              <w:jc w:val="left"/>
              <w:rPr/>
            </w:pPr>
            <w:r>
              <w:rPr/>
              <w:t>  </w:t>
            </w:r>
          </w:p>
        </w:tc>
        <w:tc>
          <w:tcPr>
            <w:tcW w:w="1828" w:type="dxa"/>
            <w:tcBorders/>
            <w:vAlign w:val="bottom"/>
          </w:tcPr>
          <w:p>
            <w:pPr>
              <w:pStyle w:val="TableContents"/>
              <w:bidi w:val="0"/>
              <w:spacing w:before="0" w:after="283"/>
              <w:jc w:val="center"/>
              <w:rPr/>
            </w:pPr>
            <w:r>
              <w:rPr/>
              <w:t>April 15, 1993</w:t>
            </w:r>
          </w:p>
        </w:tc>
        <w:tc>
          <w:tcPr>
            <w:tcW w:w="130" w:type="dxa"/>
            <w:tcBorders/>
            <w:vAlign w:val="bottom"/>
          </w:tcPr>
          <w:p>
            <w:pPr>
              <w:pStyle w:val="TableContents"/>
              <w:bidi w:val="0"/>
              <w:spacing w:before="0" w:after="283"/>
              <w:jc w:val="left"/>
              <w:rPr/>
            </w:pPr>
            <w:r>
              <w:rPr/>
              <w:t>  </w:t>
            </w:r>
          </w:p>
        </w:tc>
        <w:tc>
          <w:tcPr>
            <w:tcW w:w="3560" w:type="dxa"/>
            <w:tcBorders/>
            <w:vAlign w:val="bottom"/>
          </w:tcPr>
          <w:p>
            <w:pPr>
              <w:pStyle w:val="TableContents"/>
              <w:bidi w:val="0"/>
              <w:spacing w:before="0" w:after="283"/>
              <w:jc w:val="center"/>
              <w:rPr/>
            </w:pPr>
            <w:r>
              <w:rPr/>
              <w:t>7.65% Series</w:t>
              <w:br/>
              <w:t>Due 2023</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100,000,000</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283"/>
              <w:jc w:val="center"/>
              <w:rPr/>
            </w:pPr>
            <w:r>
              <w:rPr/>
              <w:t>None</w:t>
            </w:r>
          </w:p>
        </w:tc>
      </w:tr>
      <w:tr>
        <w:trPr/>
        <w:tc>
          <w:tcPr>
            <w:tcW w:w="1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Thirty-Second Supplemental Indenture</w:t>
            </w:r>
          </w:p>
        </w:tc>
        <w:tc>
          <w:tcPr>
            <w:tcW w:w="130" w:type="dxa"/>
            <w:tcBorders/>
            <w:shd w:fill="CCEEFF" w:val="clear"/>
            <w:vAlign w:val="bottom"/>
          </w:tcPr>
          <w:p>
            <w:pPr>
              <w:pStyle w:val="TableContents"/>
              <w:bidi w:val="0"/>
              <w:spacing w:before="0" w:after="283"/>
              <w:jc w:val="left"/>
              <w:rPr/>
            </w:pPr>
            <w:r>
              <w:rPr/>
              <w:t>  </w:t>
            </w:r>
          </w:p>
        </w:tc>
        <w:tc>
          <w:tcPr>
            <w:tcW w:w="1828" w:type="dxa"/>
            <w:tcBorders/>
            <w:shd w:fill="CCEEFF" w:val="clear"/>
            <w:vAlign w:val="bottom"/>
          </w:tcPr>
          <w:p>
            <w:pPr>
              <w:pStyle w:val="TableContents"/>
              <w:bidi w:val="0"/>
              <w:spacing w:before="0" w:after="283"/>
              <w:jc w:val="center"/>
              <w:rPr/>
            </w:pPr>
            <w:r>
              <w:rPr/>
              <w:t>April 15, 1994</w:t>
            </w:r>
          </w:p>
        </w:tc>
        <w:tc>
          <w:tcPr>
            <w:tcW w:w="130" w:type="dxa"/>
            <w:tcBorders/>
            <w:shd w:fill="CCEEFF" w:val="clear"/>
            <w:vAlign w:val="bottom"/>
          </w:tcPr>
          <w:p>
            <w:pPr>
              <w:pStyle w:val="TableContents"/>
              <w:bidi w:val="0"/>
              <w:spacing w:before="0" w:after="283"/>
              <w:jc w:val="left"/>
              <w:rPr/>
            </w:pPr>
            <w:r>
              <w:rPr/>
              <w:t>  </w:t>
            </w:r>
          </w:p>
        </w:tc>
        <w:tc>
          <w:tcPr>
            <w:tcW w:w="3560"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7-1/2% Pollution Control</w:t>
              <w:br/>
              <w:t>Revenue Refunding</w:t>
            </w:r>
          </w:p>
          <w:p>
            <w:pPr>
              <w:pStyle w:val="TableContents"/>
              <w:bidi w:val="0"/>
              <w:spacing w:before="0" w:after="20"/>
              <w:jc w:val="center"/>
              <w:rPr>
                <w:rFonts w:ascii="Times New Roman" w:hAnsi="Times New Roman"/>
                <w:sz w:val="20"/>
              </w:rPr>
            </w:pPr>
            <w:r>
              <w:rPr>
                <w:rFonts w:ascii="Times New Roman" w:hAnsi="Times New Roman"/>
                <w:sz w:val="20"/>
              </w:rPr>
              <w:t>City of St. Marys Series Due 2032</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45,000,000</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283"/>
              <w:jc w:val="center"/>
              <w:rPr/>
            </w:pPr>
            <w:r>
              <w:rPr/>
              <w:t>None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59"/>
        <w:gridCol w:w="130"/>
        <w:gridCol w:w="1974"/>
        <w:gridCol w:w="130"/>
        <w:gridCol w:w="3516"/>
        <w:gridCol w:w="130"/>
        <w:gridCol w:w="60"/>
        <w:gridCol w:w="1226"/>
        <w:gridCol w:w="60"/>
        <w:gridCol w:w="130"/>
        <w:gridCol w:w="1290"/>
      </w:tblGrid>
      <w:tr>
        <w:trPr/>
        <w:tc>
          <w:tcPr>
            <w:tcW w:w="1559"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3516"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r>
      <w:tr>
        <w:trPr/>
        <w:tc>
          <w:tcPr>
            <w:tcW w:w="155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Supplemental </w:t>
              <w:br/>
              <w:t>Indenture</w:t>
            </w:r>
          </w:p>
        </w:tc>
        <w:tc>
          <w:tcPr>
            <w:tcW w:w="130" w:type="dxa"/>
            <w:tcBorders/>
            <w:vAlign w:val="bottom"/>
          </w:tcPr>
          <w:p>
            <w:pPr>
              <w:pStyle w:val="TableContents"/>
              <w:bidi w:val="0"/>
              <w:spacing w:before="0" w:after="283"/>
              <w:jc w:val="left"/>
              <w:rPr/>
            </w:pPr>
            <w:r>
              <w:rPr/>
              <w:t>  </w:t>
            </w:r>
          </w:p>
        </w:tc>
        <w:tc>
          <w:tcPr>
            <w:tcW w:w="19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130" w:type="dxa"/>
            <w:tcBorders/>
            <w:vAlign w:val="bottom"/>
          </w:tcPr>
          <w:p>
            <w:pPr>
              <w:pStyle w:val="TableContents"/>
              <w:bidi w:val="0"/>
              <w:spacing w:before="0" w:after="283"/>
              <w:jc w:val="left"/>
              <w:rPr/>
            </w:pPr>
            <w:r>
              <w:rPr/>
              <w:t>  </w:t>
            </w:r>
          </w:p>
        </w:tc>
        <w:tc>
          <w:tcPr>
            <w:tcW w:w="351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Series of</w:t>
              <w:br/>
              <w:t>First Mortgage</w:t>
            </w:r>
          </w:p>
          <w:p>
            <w:pPr>
              <w:pStyle w:val="TableContents"/>
              <w:bidi w:val="0"/>
              <w:spacing w:before="0" w:after="20"/>
              <w:jc w:val="center"/>
              <w:rPr>
                <w:rFonts w:ascii="Times New Roman" w:hAnsi="Times New Roman"/>
                <w:b/>
                <w:sz w:val="16"/>
              </w:rPr>
            </w:pPr>
            <w:r>
              <w:rPr>
                <w:rFonts w:ascii="Times New Roman" w:hAnsi="Times New Roman"/>
                <w:b/>
                <w:sz w:val="16"/>
              </w:rPr>
              <w:t>Bonds Provided For</w:t>
            </w:r>
          </w:p>
        </w:tc>
        <w:tc>
          <w:tcPr>
            <w:tcW w:w="130" w:type="dxa"/>
            <w:tcBorders/>
            <w:vAlign w:val="bottom"/>
          </w:tcPr>
          <w:p>
            <w:pPr>
              <w:pStyle w:val="TableContents"/>
              <w:bidi w:val="0"/>
              <w:spacing w:before="0" w:after="283"/>
              <w:jc w:val="left"/>
              <w:rPr/>
            </w:pPr>
            <w:r>
              <w:rPr/>
              <w:t>  </w:t>
            </w:r>
          </w:p>
        </w:tc>
        <w:tc>
          <w:tcPr>
            <w:tcW w:w="12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Issued</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90" w:type="dxa"/>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Outstanding</w:t>
            </w:r>
          </w:p>
        </w:tc>
      </w:tr>
      <w:tr>
        <w:trPr/>
        <w:tc>
          <w:tcPr>
            <w:tcW w:w="1559" w:type="dxa"/>
            <w:tcBorders/>
            <w:shd w:fill="CCEEFF" w:val="clear"/>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974"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3516"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7-1/2% Pollution Control</w:t>
              <w:br/>
              <w:t>Revenue Refunding</w:t>
            </w:r>
          </w:p>
          <w:p>
            <w:pPr>
              <w:pStyle w:val="TableContents"/>
              <w:bidi w:val="0"/>
              <w:spacing w:before="0" w:after="20"/>
              <w:jc w:val="center"/>
              <w:rPr>
                <w:rFonts w:ascii="Times New Roman" w:hAnsi="Times New Roman"/>
                <w:sz w:val="20"/>
              </w:rPr>
            </w:pPr>
            <w:r>
              <w:rPr>
                <w:rFonts w:ascii="Times New Roman" w:hAnsi="Times New Roman"/>
                <w:sz w:val="20"/>
              </w:rPr>
              <w:t>City of Wamego Series Due 2032</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30,500,000</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283"/>
              <w:jc w:val="center"/>
              <w:rPr/>
            </w:pPr>
            <w:r>
              <w:rPr/>
              <w:t>None</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Thirty-Third Supplemental Indenture</w:t>
            </w:r>
          </w:p>
        </w:tc>
        <w:tc>
          <w:tcPr>
            <w:tcW w:w="130" w:type="dxa"/>
            <w:tcBorders/>
            <w:vAlign w:val="bottom"/>
          </w:tcPr>
          <w:p>
            <w:pPr>
              <w:pStyle w:val="TableContents"/>
              <w:bidi w:val="0"/>
              <w:spacing w:before="0" w:after="283"/>
              <w:jc w:val="left"/>
              <w:rPr/>
            </w:pPr>
            <w:r>
              <w:rPr/>
              <w:t>  </w:t>
            </w:r>
          </w:p>
        </w:tc>
        <w:tc>
          <w:tcPr>
            <w:tcW w:w="1974" w:type="dxa"/>
            <w:tcBorders/>
            <w:vAlign w:val="bottom"/>
          </w:tcPr>
          <w:p>
            <w:pPr>
              <w:pStyle w:val="TableContents"/>
              <w:bidi w:val="0"/>
              <w:spacing w:before="0" w:after="283"/>
              <w:jc w:val="center"/>
              <w:rPr/>
            </w:pPr>
            <w:r>
              <w:rPr/>
              <w:t>August 11, 1997</w:t>
            </w:r>
          </w:p>
        </w:tc>
        <w:tc>
          <w:tcPr>
            <w:tcW w:w="130" w:type="dxa"/>
            <w:tcBorders/>
            <w:vAlign w:val="bottom"/>
          </w:tcPr>
          <w:p>
            <w:pPr>
              <w:pStyle w:val="TableContents"/>
              <w:bidi w:val="0"/>
              <w:spacing w:before="0" w:after="283"/>
              <w:jc w:val="left"/>
              <w:rPr/>
            </w:pPr>
            <w:r>
              <w:rPr/>
              <w:t>  </w:t>
            </w:r>
          </w:p>
        </w:tc>
        <w:tc>
          <w:tcPr>
            <w:tcW w:w="3516" w:type="dxa"/>
            <w:tcBorders/>
            <w:vAlign w:val="bottom"/>
          </w:tcPr>
          <w:p>
            <w:pPr>
              <w:pStyle w:val="TableContents"/>
              <w:bidi w:val="0"/>
              <w:spacing w:before="0" w:after="283"/>
              <w:jc w:val="center"/>
              <w:rPr/>
            </w:pPr>
            <w:r>
              <w:rPr/>
              <w:t>6-7/8% Convertible Series</w:t>
              <w:br/>
              <w:t>Due 2004</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370,000,000</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283"/>
              <w:jc w:val="center"/>
              <w:rPr/>
            </w:pPr>
            <w:r>
              <w:rPr/>
              <w:t>None</w:t>
            </w:r>
          </w:p>
        </w:tc>
      </w:tr>
      <w:tr>
        <w:trPr/>
        <w:tc>
          <w:tcPr>
            <w:tcW w:w="1559" w:type="dxa"/>
            <w:tcBorders/>
            <w:shd w:fill="CCEEFF" w:val="clear"/>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974"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3516" w:type="dxa"/>
            <w:tcBorders/>
            <w:shd w:fill="CCEEFF" w:val="clear"/>
            <w:vAlign w:val="bottom"/>
          </w:tcPr>
          <w:p>
            <w:pPr>
              <w:pStyle w:val="TableContents"/>
              <w:bidi w:val="0"/>
              <w:spacing w:before="0" w:after="283"/>
              <w:jc w:val="center"/>
              <w:rPr/>
            </w:pPr>
            <w:r>
              <w:rPr/>
              <w:t>7-1/8% Convertible Series Due 2009</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150,000,000</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283"/>
              <w:jc w:val="center"/>
              <w:rPr/>
            </w:pPr>
            <w:r>
              <w:rPr/>
              <w:t>None</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Thirty-Fourth Supplemental Indenture</w:t>
            </w:r>
          </w:p>
        </w:tc>
        <w:tc>
          <w:tcPr>
            <w:tcW w:w="130" w:type="dxa"/>
            <w:tcBorders/>
            <w:vAlign w:val="bottom"/>
          </w:tcPr>
          <w:p>
            <w:pPr>
              <w:pStyle w:val="TableContents"/>
              <w:bidi w:val="0"/>
              <w:spacing w:before="0" w:after="283"/>
              <w:jc w:val="left"/>
              <w:rPr/>
            </w:pPr>
            <w:r>
              <w:rPr/>
              <w:t>  </w:t>
            </w:r>
          </w:p>
        </w:tc>
        <w:tc>
          <w:tcPr>
            <w:tcW w:w="1974" w:type="dxa"/>
            <w:tcBorders/>
            <w:vAlign w:val="bottom"/>
          </w:tcPr>
          <w:p>
            <w:pPr>
              <w:pStyle w:val="TableContents"/>
              <w:bidi w:val="0"/>
              <w:spacing w:before="0" w:after="283"/>
              <w:jc w:val="center"/>
              <w:rPr/>
            </w:pPr>
            <w:r>
              <w:rPr/>
              <w:t>June 28, 2000</w:t>
            </w:r>
          </w:p>
        </w:tc>
        <w:tc>
          <w:tcPr>
            <w:tcW w:w="130" w:type="dxa"/>
            <w:tcBorders/>
            <w:vAlign w:val="bottom"/>
          </w:tcPr>
          <w:p>
            <w:pPr>
              <w:pStyle w:val="TableContents"/>
              <w:bidi w:val="0"/>
              <w:spacing w:before="0" w:after="283"/>
              <w:jc w:val="left"/>
              <w:rPr/>
            </w:pPr>
            <w:r>
              <w:rPr/>
              <w:t>  </w:t>
            </w:r>
          </w:p>
        </w:tc>
        <w:tc>
          <w:tcPr>
            <w:tcW w:w="3516" w:type="dxa"/>
            <w:tcBorders/>
            <w:vAlign w:val="bottom"/>
          </w:tcPr>
          <w:p>
            <w:pPr>
              <w:pStyle w:val="TableContents"/>
              <w:bidi w:val="0"/>
              <w:spacing w:before="0" w:after="283"/>
              <w:jc w:val="center"/>
              <w:rPr/>
            </w:pPr>
            <w:r>
              <w:rPr/>
              <w:t>9-1/2% Series</w:t>
              <w:br/>
              <w:t>Due 2003</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397,800,000</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283"/>
              <w:jc w:val="center"/>
              <w:rPr/>
            </w:pPr>
            <w:r>
              <w:rPr/>
              <w:t>None</w:t>
            </w:r>
          </w:p>
        </w:tc>
      </w:tr>
      <w:tr>
        <w:trPr/>
        <w:tc>
          <w:tcPr>
            <w:tcW w:w="1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Thirty-Fifth Supplemental Indenture</w:t>
            </w:r>
          </w:p>
        </w:tc>
        <w:tc>
          <w:tcPr>
            <w:tcW w:w="130" w:type="dxa"/>
            <w:tcBorders/>
            <w:shd w:fill="CCEEFF" w:val="clear"/>
            <w:vAlign w:val="bottom"/>
          </w:tcPr>
          <w:p>
            <w:pPr>
              <w:pStyle w:val="TableContents"/>
              <w:bidi w:val="0"/>
              <w:spacing w:before="0" w:after="283"/>
              <w:jc w:val="left"/>
              <w:rPr/>
            </w:pPr>
            <w:r>
              <w:rPr/>
              <w:t>  </w:t>
            </w:r>
          </w:p>
        </w:tc>
        <w:tc>
          <w:tcPr>
            <w:tcW w:w="1974" w:type="dxa"/>
            <w:tcBorders/>
            <w:shd w:fill="CCEEFF" w:val="clear"/>
            <w:vAlign w:val="bottom"/>
          </w:tcPr>
          <w:p>
            <w:pPr>
              <w:pStyle w:val="TableContents"/>
              <w:bidi w:val="0"/>
              <w:spacing w:before="0" w:after="283"/>
              <w:jc w:val="center"/>
              <w:rPr/>
            </w:pPr>
            <w:r>
              <w:rPr/>
              <w:t>May 10, 2002</w:t>
            </w:r>
          </w:p>
        </w:tc>
        <w:tc>
          <w:tcPr>
            <w:tcW w:w="130" w:type="dxa"/>
            <w:tcBorders/>
            <w:shd w:fill="CCEEFF" w:val="clear"/>
            <w:vAlign w:val="bottom"/>
          </w:tcPr>
          <w:p>
            <w:pPr>
              <w:pStyle w:val="TableContents"/>
              <w:bidi w:val="0"/>
              <w:spacing w:before="0" w:after="283"/>
              <w:jc w:val="left"/>
              <w:rPr/>
            </w:pPr>
            <w:r>
              <w:rPr/>
              <w:t>  </w:t>
            </w:r>
          </w:p>
        </w:tc>
        <w:tc>
          <w:tcPr>
            <w:tcW w:w="3516" w:type="dxa"/>
            <w:tcBorders/>
            <w:shd w:fill="CCEEFF" w:val="clear"/>
            <w:vAlign w:val="bottom"/>
          </w:tcPr>
          <w:p>
            <w:pPr>
              <w:pStyle w:val="TableContents"/>
              <w:bidi w:val="0"/>
              <w:spacing w:before="0" w:after="283"/>
              <w:jc w:val="center"/>
              <w:rPr/>
            </w:pPr>
            <w:r>
              <w:rPr/>
              <w:t>7-7/8% Series</w:t>
              <w:br/>
              <w:t>Due 2007</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365,000,000</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283"/>
              <w:jc w:val="center"/>
              <w:rPr/>
            </w:pPr>
            <w:r>
              <w:rPr/>
              <w:t>None</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Thirty-Sixth Supplemental Indenture</w:t>
            </w:r>
          </w:p>
        </w:tc>
        <w:tc>
          <w:tcPr>
            <w:tcW w:w="130" w:type="dxa"/>
            <w:tcBorders/>
            <w:vAlign w:val="bottom"/>
          </w:tcPr>
          <w:p>
            <w:pPr>
              <w:pStyle w:val="TableContents"/>
              <w:bidi w:val="0"/>
              <w:spacing w:before="0" w:after="283"/>
              <w:jc w:val="left"/>
              <w:rPr/>
            </w:pPr>
            <w:r>
              <w:rPr/>
              <w:t>  </w:t>
            </w:r>
          </w:p>
        </w:tc>
        <w:tc>
          <w:tcPr>
            <w:tcW w:w="1974" w:type="dxa"/>
            <w:tcBorders/>
            <w:vAlign w:val="bottom"/>
          </w:tcPr>
          <w:p>
            <w:pPr>
              <w:pStyle w:val="TableContents"/>
              <w:bidi w:val="0"/>
              <w:spacing w:before="0" w:after="283"/>
              <w:jc w:val="center"/>
              <w:rPr/>
            </w:pPr>
            <w:r>
              <w:rPr/>
              <w:t>June 1, 2004</w:t>
            </w:r>
          </w:p>
        </w:tc>
        <w:tc>
          <w:tcPr>
            <w:tcW w:w="130" w:type="dxa"/>
            <w:tcBorders/>
            <w:vAlign w:val="bottom"/>
          </w:tcPr>
          <w:p>
            <w:pPr>
              <w:pStyle w:val="TableContents"/>
              <w:bidi w:val="0"/>
              <w:spacing w:before="0" w:after="283"/>
              <w:jc w:val="left"/>
              <w:rPr/>
            </w:pPr>
            <w:r>
              <w:rPr/>
              <w:t>  </w:t>
            </w:r>
          </w:p>
        </w:tc>
        <w:tc>
          <w:tcPr>
            <w:tcW w:w="3516" w:type="dxa"/>
            <w:tcBorders/>
            <w:vAlign w:val="bottom"/>
          </w:tcPr>
          <w:p>
            <w:pPr>
              <w:pStyle w:val="TableContents"/>
              <w:bidi w:val="0"/>
              <w:spacing w:before="0" w:after="283"/>
              <w:jc w:val="center"/>
              <w:rPr/>
            </w:pPr>
            <w:r>
              <w:rPr/>
              <w:t>5.00% Series</w:t>
              <w:br/>
              <w:t>Pollution Control</w:t>
              <w:br/>
              <w:t>Refunding Revenue Due 2033</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58,340,000</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283"/>
              <w:jc w:val="center"/>
              <w:rPr/>
            </w:pPr>
            <w:r>
              <w:rPr/>
              <w:t>None</w:t>
            </w:r>
          </w:p>
        </w:tc>
      </w:tr>
      <w:tr>
        <w:trPr/>
        <w:tc>
          <w:tcPr>
            <w:tcW w:w="1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Thirty-Seventh Supplemental Indenture</w:t>
            </w:r>
          </w:p>
        </w:tc>
        <w:tc>
          <w:tcPr>
            <w:tcW w:w="130" w:type="dxa"/>
            <w:tcBorders/>
            <w:shd w:fill="CCEEFF" w:val="clear"/>
            <w:vAlign w:val="bottom"/>
          </w:tcPr>
          <w:p>
            <w:pPr>
              <w:pStyle w:val="TableContents"/>
              <w:bidi w:val="0"/>
              <w:spacing w:before="0" w:after="283"/>
              <w:jc w:val="left"/>
              <w:rPr/>
            </w:pPr>
            <w:r>
              <w:rPr/>
              <w:t>  </w:t>
            </w:r>
          </w:p>
        </w:tc>
        <w:tc>
          <w:tcPr>
            <w:tcW w:w="1974" w:type="dxa"/>
            <w:tcBorders/>
            <w:shd w:fill="CCEEFF" w:val="clear"/>
            <w:vAlign w:val="bottom"/>
          </w:tcPr>
          <w:p>
            <w:pPr>
              <w:pStyle w:val="TableContents"/>
              <w:bidi w:val="0"/>
              <w:spacing w:before="0" w:after="283"/>
              <w:jc w:val="center"/>
              <w:rPr/>
            </w:pPr>
            <w:r>
              <w:rPr/>
              <w:t>June 17, 2004</w:t>
            </w:r>
          </w:p>
        </w:tc>
        <w:tc>
          <w:tcPr>
            <w:tcW w:w="130" w:type="dxa"/>
            <w:tcBorders/>
            <w:shd w:fill="CCEEFF" w:val="clear"/>
            <w:vAlign w:val="bottom"/>
          </w:tcPr>
          <w:p>
            <w:pPr>
              <w:pStyle w:val="TableContents"/>
              <w:bidi w:val="0"/>
              <w:spacing w:before="0" w:after="283"/>
              <w:jc w:val="left"/>
              <w:rPr/>
            </w:pPr>
            <w:r>
              <w:rPr/>
              <w:t>  </w:t>
            </w:r>
          </w:p>
        </w:tc>
        <w:tc>
          <w:tcPr>
            <w:tcW w:w="3516" w:type="dxa"/>
            <w:tcBorders/>
            <w:shd w:fill="CCEEFF" w:val="clear"/>
            <w:vAlign w:val="bottom"/>
          </w:tcPr>
          <w:p>
            <w:pPr>
              <w:pStyle w:val="TableContents"/>
              <w:bidi w:val="0"/>
              <w:spacing w:before="0" w:after="283"/>
              <w:jc w:val="center"/>
              <w:rPr/>
            </w:pPr>
            <w:r>
              <w:rPr/>
              <w:t>6.00% Series</w:t>
              <w:br/>
              <w:t>Due 2014</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250,000,000</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283"/>
              <w:jc w:val="center"/>
              <w:rPr/>
            </w:pPr>
            <w:r>
              <w:rPr/>
              <w:t>None</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Thirty-Eighth Supplemental Indenture</w:t>
            </w:r>
          </w:p>
        </w:tc>
        <w:tc>
          <w:tcPr>
            <w:tcW w:w="130" w:type="dxa"/>
            <w:tcBorders/>
            <w:vAlign w:val="bottom"/>
          </w:tcPr>
          <w:p>
            <w:pPr>
              <w:pStyle w:val="TableContents"/>
              <w:bidi w:val="0"/>
              <w:spacing w:before="0" w:after="283"/>
              <w:jc w:val="left"/>
              <w:rPr/>
            </w:pPr>
            <w:r>
              <w:rPr/>
              <w:t>  </w:t>
            </w:r>
          </w:p>
        </w:tc>
        <w:tc>
          <w:tcPr>
            <w:tcW w:w="1974" w:type="dxa"/>
            <w:tcBorders/>
            <w:vAlign w:val="bottom"/>
          </w:tcPr>
          <w:p>
            <w:pPr>
              <w:pStyle w:val="TableContents"/>
              <w:bidi w:val="0"/>
              <w:spacing w:before="0" w:after="283"/>
              <w:jc w:val="center"/>
              <w:rPr/>
            </w:pPr>
            <w:r>
              <w:rPr/>
              <w:t>January 18, 2005</w:t>
            </w:r>
          </w:p>
        </w:tc>
        <w:tc>
          <w:tcPr>
            <w:tcW w:w="130" w:type="dxa"/>
            <w:tcBorders/>
            <w:vAlign w:val="bottom"/>
          </w:tcPr>
          <w:p>
            <w:pPr>
              <w:pStyle w:val="TableContents"/>
              <w:bidi w:val="0"/>
              <w:spacing w:before="0" w:after="283"/>
              <w:jc w:val="left"/>
              <w:rPr/>
            </w:pPr>
            <w:r>
              <w:rPr/>
              <w:t>  </w:t>
            </w:r>
          </w:p>
        </w:tc>
        <w:tc>
          <w:tcPr>
            <w:tcW w:w="3516" w:type="dxa"/>
            <w:tcBorders/>
            <w:vAlign w:val="bottom"/>
          </w:tcPr>
          <w:p>
            <w:pPr>
              <w:pStyle w:val="TableContents"/>
              <w:bidi w:val="0"/>
              <w:spacing w:before="0" w:after="283"/>
              <w:jc w:val="center"/>
              <w:rPr/>
            </w:pPr>
            <w:r>
              <w:rPr/>
              <w:t>5.15% Series</w:t>
              <w:br/>
              <w:t>Due 2017</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125,000,000</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283"/>
              <w:jc w:val="center"/>
              <w:rPr/>
            </w:pPr>
            <w:r>
              <w:rPr/>
              <w:t>None</w:t>
            </w:r>
          </w:p>
        </w:tc>
      </w:tr>
      <w:tr>
        <w:trPr/>
        <w:tc>
          <w:tcPr>
            <w:tcW w:w="1559" w:type="dxa"/>
            <w:tcBorders/>
            <w:shd w:fill="CCEEFF" w:val="clear"/>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974"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3516" w:type="dxa"/>
            <w:tcBorders/>
            <w:shd w:fill="CCEEFF" w:val="clear"/>
            <w:vAlign w:val="bottom"/>
          </w:tcPr>
          <w:p>
            <w:pPr>
              <w:pStyle w:val="TableContents"/>
              <w:bidi w:val="0"/>
              <w:spacing w:before="0" w:after="283"/>
              <w:jc w:val="center"/>
              <w:rPr/>
            </w:pPr>
            <w:r>
              <w:rPr/>
              <w:t>5.95% Series</w:t>
              <w:br/>
              <w:t>Due 2035</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125,000,000</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283"/>
              <w:jc w:val="center"/>
              <w:rPr/>
            </w:pPr>
            <w:r>
              <w:rPr/>
              <w:t>None</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Thirty-Ninth Supplemental Indenture</w:t>
            </w:r>
          </w:p>
        </w:tc>
        <w:tc>
          <w:tcPr>
            <w:tcW w:w="130" w:type="dxa"/>
            <w:tcBorders/>
            <w:vAlign w:val="bottom"/>
          </w:tcPr>
          <w:p>
            <w:pPr>
              <w:pStyle w:val="TableContents"/>
              <w:bidi w:val="0"/>
              <w:spacing w:before="0" w:after="283"/>
              <w:jc w:val="left"/>
              <w:rPr/>
            </w:pPr>
            <w:r>
              <w:rPr/>
              <w:t>  </w:t>
            </w:r>
          </w:p>
        </w:tc>
        <w:tc>
          <w:tcPr>
            <w:tcW w:w="1974" w:type="dxa"/>
            <w:tcBorders/>
            <w:vAlign w:val="bottom"/>
          </w:tcPr>
          <w:p>
            <w:pPr>
              <w:pStyle w:val="TableContents"/>
              <w:bidi w:val="0"/>
              <w:spacing w:before="0" w:after="283"/>
              <w:jc w:val="center"/>
              <w:rPr/>
            </w:pPr>
            <w:r>
              <w:rPr/>
              <w:t>June 30, 2005</w:t>
            </w:r>
          </w:p>
        </w:tc>
        <w:tc>
          <w:tcPr>
            <w:tcW w:w="130" w:type="dxa"/>
            <w:tcBorders/>
            <w:vAlign w:val="bottom"/>
          </w:tcPr>
          <w:p>
            <w:pPr>
              <w:pStyle w:val="TableContents"/>
              <w:bidi w:val="0"/>
              <w:spacing w:before="0" w:after="283"/>
              <w:jc w:val="left"/>
              <w:rPr/>
            </w:pPr>
            <w:r>
              <w:rPr/>
              <w:t>  </w:t>
            </w:r>
          </w:p>
        </w:tc>
        <w:tc>
          <w:tcPr>
            <w:tcW w:w="3516" w:type="dxa"/>
            <w:tcBorders/>
            <w:vAlign w:val="bottom"/>
          </w:tcPr>
          <w:p>
            <w:pPr>
              <w:pStyle w:val="TableContents"/>
              <w:bidi w:val="0"/>
              <w:spacing w:before="0" w:after="283"/>
              <w:jc w:val="center"/>
              <w:rPr/>
            </w:pPr>
            <w:r>
              <w:rPr/>
              <w:t>5.10% Series</w:t>
              <w:br/>
              <w:t>Due 2020</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250,000,000</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283"/>
              <w:jc w:val="center"/>
              <w:rPr/>
            </w:pPr>
            <w:r>
              <w:rPr/>
              <w:t>None</w:t>
            </w:r>
          </w:p>
        </w:tc>
      </w:tr>
      <w:tr>
        <w:trPr/>
        <w:tc>
          <w:tcPr>
            <w:tcW w:w="1559" w:type="dxa"/>
            <w:tcBorders/>
            <w:shd w:fill="CCEEFF" w:val="clear"/>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1974" w:type="dxa"/>
            <w:tcBorders/>
            <w:shd w:fill="CCEEFF" w:val="clear"/>
            <w:vAlign w:val="bottom"/>
          </w:tcPr>
          <w:p>
            <w:pPr>
              <w:pStyle w:val="TableContents"/>
              <w:bidi w:val="0"/>
              <w:spacing w:before="0" w:after="283"/>
              <w:jc w:val="left"/>
              <w:rPr>
                <w:sz w:val="4"/>
                <w:szCs w:val="4"/>
              </w:rPr>
            </w:pPr>
            <w:r>
              <w:rPr>
                <w:sz w:val="4"/>
                <w:szCs w:val="4"/>
              </w:rPr>
            </w:r>
          </w:p>
        </w:tc>
        <w:tc>
          <w:tcPr>
            <w:tcW w:w="130" w:type="dxa"/>
            <w:tcBorders/>
            <w:shd w:fill="CCEEFF" w:val="clear"/>
            <w:vAlign w:val="bottom"/>
          </w:tcPr>
          <w:p>
            <w:pPr>
              <w:pStyle w:val="TableContents"/>
              <w:bidi w:val="0"/>
              <w:spacing w:before="0" w:after="283"/>
              <w:jc w:val="left"/>
              <w:rPr/>
            </w:pPr>
            <w:r>
              <w:rPr/>
              <w:t>  </w:t>
            </w:r>
          </w:p>
        </w:tc>
        <w:tc>
          <w:tcPr>
            <w:tcW w:w="3516" w:type="dxa"/>
            <w:tcBorders/>
            <w:shd w:fill="CCEEFF" w:val="clear"/>
            <w:vAlign w:val="bottom"/>
          </w:tcPr>
          <w:p>
            <w:pPr>
              <w:pStyle w:val="TableContents"/>
              <w:bidi w:val="0"/>
              <w:spacing w:before="0" w:after="283"/>
              <w:jc w:val="center"/>
              <w:rPr/>
            </w:pPr>
            <w:r>
              <w:rPr/>
              <w:t>5.875% Series</w:t>
              <w:br/>
              <w:t>Due 2036</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150,000,000</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283"/>
              <w:jc w:val="center"/>
              <w:rPr/>
            </w:pPr>
            <w:r>
              <w:rPr/>
              <w:t>None</w:t>
            </w:r>
          </w:p>
        </w:tc>
      </w:tr>
      <w:tr>
        <w:trPr/>
        <w:tc>
          <w:tcPr>
            <w:tcW w:w="1559" w:type="dxa"/>
            <w:tcBorders/>
          </w:tcPr>
          <w:p>
            <w:pPr>
              <w:pStyle w:val="TableContents"/>
              <w:bidi w:val="0"/>
              <w:spacing w:before="0" w:after="0"/>
              <w:jc w:val="left"/>
              <w:rPr>
                <w:rFonts w:ascii="Times New Roman" w:hAnsi="Times New Roman"/>
                <w:sz w:val="20"/>
              </w:rPr>
            </w:pPr>
            <w:r>
              <w:rPr>
                <w:rFonts w:ascii="Times New Roman" w:hAnsi="Times New Roman"/>
                <w:sz w:val="20"/>
              </w:rPr>
              <w:t>Fortieth Supplemental Indenture</w:t>
            </w:r>
          </w:p>
        </w:tc>
        <w:tc>
          <w:tcPr>
            <w:tcW w:w="130" w:type="dxa"/>
            <w:tcBorders/>
            <w:vAlign w:val="bottom"/>
          </w:tcPr>
          <w:p>
            <w:pPr>
              <w:pStyle w:val="TableContents"/>
              <w:bidi w:val="0"/>
              <w:spacing w:before="0" w:after="283"/>
              <w:jc w:val="left"/>
              <w:rPr/>
            </w:pPr>
            <w:r>
              <w:rPr/>
              <w:t>  </w:t>
            </w:r>
          </w:p>
        </w:tc>
        <w:tc>
          <w:tcPr>
            <w:tcW w:w="1974" w:type="dxa"/>
            <w:tcBorders/>
            <w:vAlign w:val="bottom"/>
          </w:tcPr>
          <w:p>
            <w:pPr>
              <w:pStyle w:val="TableContents"/>
              <w:bidi w:val="0"/>
              <w:spacing w:before="0" w:after="283"/>
              <w:jc w:val="center"/>
              <w:rPr/>
            </w:pPr>
            <w:r>
              <w:rPr/>
              <w:t>May 15, 2007</w:t>
            </w:r>
          </w:p>
        </w:tc>
        <w:tc>
          <w:tcPr>
            <w:tcW w:w="130" w:type="dxa"/>
            <w:tcBorders/>
            <w:vAlign w:val="bottom"/>
          </w:tcPr>
          <w:p>
            <w:pPr>
              <w:pStyle w:val="TableContents"/>
              <w:bidi w:val="0"/>
              <w:spacing w:before="0" w:after="283"/>
              <w:jc w:val="left"/>
              <w:rPr/>
            </w:pPr>
            <w:r>
              <w:rPr/>
              <w:t>  </w:t>
            </w:r>
          </w:p>
        </w:tc>
        <w:tc>
          <w:tcPr>
            <w:tcW w:w="3516" w:type="dxa"/>
            <w:tcBorders/>
            <w:vAlign w:val="bottom"/>
          </w:tcPr>
          <w:p>
            <w:pPr>
              <w:pStyle w:val="TableContents"/>
              <w:bidi w:val="0"/>
              <w:spacing w:before="0" w:after="283"/>
              <w:jc w:val="center"/>
              <w:rPr/>
            </w:pPr>
            <w:r>
              <w:rPr/>
              <w:t>6.10% Series</w:t>
              <w:br/>
              <w:t>Due 2047</w:t>
            </w:r>
          </w:p>
        </w:tc>
        <w:tc>
          <w:tcPr>
            <w:tcW w:w="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right"/>
              <w:rPr/>
            </w:pPr>
            <w:r>
              <w:rPr/>
              <w:t>150,000,000</w:t>
            </w:r>
          </w:p>
        </w:tc>
        <w:tc>
          <w:tcPr>
            <w:tcW w:w="60"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290" w:type="dxa"/>
            <w:tcBorders/>
            <w:vAlign w:val="bottom"/>
          </w:tcPr>
          <w:p>
            <w:pPr>
              <w:pStyle w:val="TableContents"/>
              <w:bidi w:val="0"/>
              <w:spacing w:before="0" w:after="283"/>
              <w:jc w:val="center"/>
              <w:rPr/>
            </w:pPr>
            <w:r>
              <w:rPr/>
              <w:t>None</w:t>
            </w:r>
          </w:p>
        </w:tc>
      </w:tr>
      <w:tr>
        <w:trPr/>
        <w:tc>
          <w:tcPr>
            <w:tcW w:w="1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Forty-First Supplemental Indenture</w:t>
            </w:r>
          </w:p>
        </w:tc>
        <w:tc>
          <w:tcPr>
            <w:tcW w:w="130" w:type="dxa"/>
            <w:tcBorders/>
            <w:shd w:fill="CCEEFF" w:val="clear"/>
            <w:vAlign w:val="bottom"/>
          </w:tcPr>
          <w:p>
            <w:pPr>
              <w:pStyle w:val="TableContents"/>
              <w:bidi w:val="0"/>
              <w:spacing w:before="0" w:after="283"/>
              <w:jc w:val="left"/>
              <w:rPr/>
            </w:pPr>
            <w:r>
              <w:rPr/>
              <w:t>  </w:t>
            </w:r>
          </w:p>
        </w:tc>
        <w:tc>
          <w:tcPr>
            <w:tcW w:w="1974" w:type="dxa"/>
            <w:tcBorders/>
            <w:shd w:fill="CCEEFF" w:val="clear"/>
            <w:vAlign w:val="bottom"/>
          </w:tcPr>
          <w:p>
            <w:pPr>
              <w:pStyle w:val="TableContents"/>
              <w:bidi w:val="0"/>
              <w:spacing w:before="0" w:after="283"/>
              <w:jc w:val="center"/>
              <w:rPr/>
            </w:pPr>
            <w:r>
              <w:rPr/>
              <w:t>November 25, 2008</w:t>
            </w:r>
          </w:p>
        </w:tc>
        <w:tc>
          <w:tcPr>
            <w:tcW w:w="130" w:type="dxa"/>
            <w:tcBorders/>
            <w:shd w:fill="CCEEFF" w:val="clear"/>
            <w:vAlign w:val="bottom"/>
          </w:tcPr>
          <w:p>
            <w:pPr>
              <w:pStyle w:val="TableContents"/>
              <w:bidi w:val="0"/>
              <w:spacing w:before="0" w:after="283"/>
              <w:jc w:val="left"/>
              <w:rPr/>
            </w:pPr>
            <w:r>
              <w:rPr/>
              <w:t>  </w:t>
            </w:r>
          </w:p>
        </w:tc>
        <w:tc>
          <w:tcPr>
            <w:tcW w:w="3516"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8.625% Series</w:t>
            </w:r>
          </w:p>
          <w:p>
            <w:pPr>
              <w:pStyle w:val="TableContents"/>
              <w:bidi w:val="0"/>
              <w:spacing w:before="0" w:after="20"/>
              <w:jc w:val="center"/>
              <w:rPr>
                <w:rFonts w:ascii="Times New Roman" w:hAnsi="Times New Roman"/>
                <w:sz w:val="20"/>
              </w:rPr>
            </w:pPr>
            <w:r>
              <w:rPr>
                <w:rFonts w:ascii="Times New Roman" w:hAnsi="Times New Roman"/>
                <w:sz w:val="20"/>
              </w:rPr>
              <w:t>Due 2018</w:t>
            </w:r>
          </w:p>
        </w:tc>
        <w:tc>
          <w:tcPr>
            <w:tcW w:w="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26" w:type="dxa"/>
            <w:tcBorders/>
            <w:shd w:fill="CCEEFF" w:val="clear"/>
            <w:vAlign w:val="bottom"/>
          </w:tcPr>
          <w:p>
            <w:pPr>
              <w:pStyle w:val="TableContents"/>
              <w:bidi w:val="0"/>
              <w:spacing w:before="0" w:after="283"/>
              <w:jc w:val="right"/>
              <w:rPr/>
            </w:pPr>
            <w:r>
              <w:rPr/>
              <w:t>300,000,000</w:t>
            </w:r>
          </w:p>
        </w:tc>
        <w:tc>
          <w:tcPr>
            <w:tcW w:w="60"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1290" w:type="dxa"/>
            <w:tcBorders/>
            <w:shd w:fill="CCEEFF" w:val="clear"/>
            <w:vAlign w:val="bottom"/>
          </w:tcPr>
          <w:p>
            <w:pPr>
              <w:pStyle w:val="TableContents"/>
              <w:bidi w:val="0"/>
              <w:spacing w:before="0" w:after="283"/>
              <w:jc w:val="center"/>
              <w:rPr/>
            </w:pPr>
            <w:r>
              <w:rPr/>
              <w:t>None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688"/>
        <w:gridCol w:w="129"/>
        <w:gridCol w:w="2043"/>
        <w:gridCol w:w="129"/>
        <w:gridCol w:w="2309"/>
        <w:gridCol w:w="129"/>
        <w:gridCol w:w="60"/>
        <w:gridCol w:w="1238"/>
        <w:gridCol w:w="60"/>
        <w:gridCol w:w="129"/>
        <w:gridCol w:w="1291"/>
      </w:tblGrid>
      <w:tr>
        <w:trPr/>
        <w:tc>
          <w:tcPr>
            <w:tcW w:w="2688"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68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 xml:space="preserve">Supplemental </w:t>
              <w:br/>
              <w:t>Indenture</w:t>
            </w:r>
          </w:p>
        </w:tc>
        <w:tc>
          <w:tcPr>
            <w:tcW w:w="129" w:type="dxa"/>
            <w:tcBorders/>
            <w:vAlign w:val="bottom"/>
          </w:tcPr>
          <w:p>
            <w:pPr>
              <w:pStyle w:val="TableContents"/>
              <w:bidi w:val="0"/>
              <w:spacing w:before="0" w:after="283"/>
              <w:jc w:val="left"/>
              <w:rPr/>
            </w:pPr>
            <w:r>
              <w:rPr/>
              <w:t>  </w:t>
            </w:r>
          </w:p>
        </w:tc>
        <w:tc>
          <w:tcPr>
            <w:tcW w:w="204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c>
          <w:tcPr>
            <w:tcW w:w="129" w:type="dxa"/>
            <w:tcBorders/>
            <w:vAlign w:val="bottom"/>
          </w:tcPr>
          <w:p>
            <w:pPr>
              <w:pStyle w:val="TableContents"/>
              <w:bidi w:val="0"/>
              <w:spacing w:before="0" w:after="283"/>
              <w:jc w:val="left"/>
              <w:rPr/>
            </w:pPr>
            <w:r>
              <w:rPr/>
              <w:t>  </w:t>
            </w:r>
          </w:p>
        </w:tc>
        <w:tc>
          <w:tcPr>
            <w:tcW w:w="230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Series of</w:t>
              <w:br/>
              <w:t>First Mortgage</w:t>
            </w:r>
          </w:p>
          <w:p>
            <w:pPr>
              <w:pStyle w:val="TableContents"/>
              <w:bidi w:val="0"/>
              <w:spacing w:before="0" w:after="20"/>
              <w:jc w:val="center"/>
              <w:rPr>
                <w:rFonts w:ascii="Times New Roman" w:hAnsi="Times New Roman"/>
                <w:b/>
                <w:sz w:val="16"/>
              </w:rPr>
            </w:pPr>
            <w:r>
              <w:rPr>
                <w:rFonts w:ascii="Times New Roman" w:hAnsi="Times New Roman"/>
                <w:b/>
                <w:sz w:val="16"/>
              </w:rPr>
              <w:t>Bonds Provided For</w:t>
            </w:r>
          </w:p>
        </w:tc>
        <w:tc>
          <w:tcPr>
            <w:tcW w:w="129" w:type="dxa"/>
            <w:tcBorders/>
            <w:vAlign w:val="bottom"/>
          </w:tcPr>
          <w:p>
            <w:pPr>
              <w:pStyle w:val="TableContents"/>
              <w:bidi w:val="0"/>
              <w:spacing w:before="0" w:after="283"/>
              <w:jc w:val="left"/>
              <w:rPr/>
            </w:pPr>
            <w:r>
              <w:rPr/>
              <w:t>  </w:t>
            </w:r>
          </w:p>
        </w:tc>
        <w:tc>
          <w:tcPr>
            <w:tcW w:w="129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Issued</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91" w:type="dxa"/>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Outstanding</w:t>
            </w:r>
          </w:p>
        </w:tc>
      </w:tr>
      <w:tr>
        <w:trPr/>
        <w:tc>
          <w:tcPr>
            <w:tcW w:w="2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Forty-Second Supplemental Indenture</w:t>
            </w:r>
          </w:p>
        </w:tc>
        <w:tc>
          <w:tcPr>
            <w:tcW w:w="129" w:type="dxa"/>
            <w:tcBorders/>
            <w:shd w:fill="CCEEFF" w:val="clear"/>
            <w:vAlign w:val="bottom"/>
          </w:tcPr>
          <w:p>
            <w:pPr>
              <w:pStyle w:val="TableContents"/>
              <w:bidi w:val="0"/>
              <w:spacing w:before="0" w:after="283"/>
              <w:jc w:val="left"/>
              <w:rPr/>
            </w:pPr>
            <w:r>
              <w:rPr/>
              <w:t>  </w:t>
            </w:r>
          </w:p>
        </w:tc>
        <w:tc>
          <w:tcPr>
            <w:tcW w:w="2043" w:type="dxa"/>
            <w:tcBorders/>
            <w:shd w:fill="CCEEFF" w:val="clear"/>
            <w:vAlign w:val="bottom"/>
          </w:tcPr>
          <w:p>
            <w:pPr>
              <w:pStyle w:val="TableContents"/>
              <w:bidi w:val="0"/>
              <w:spacing w:before="0" w:after="283"/>
              <w:jc w:val="center"/>
              <w:rPr/>
            </w:pPr>
            <w:r>
              <w:rPr/>
              <w:t>March 1, 2012</w:t>
            </w:r>
          </w:p>
        </w:tc>
        <w:tc>
          <w:tcPr>
            <w:tcW w:w="129" w:type="dxa"/>
            <w:tcBorders/>
            <w:shd w:fill="CCEEFF" w:val="clear"/>
            <w:vAlign w:val="bottom"/>
          </w:tcPr>
          <w:p>
            <w:pPr>
              <w:pStyle w:val="TableContents"/>
              <w:bidi w:val="0"/>
              <w:spacing w:before="0" w:after="283"/>
              <w:jc w:val="left"/>
              <w:rPr/>
            </w:pPr>
            <w:r>
              <w:rPr/>
              <w:t>  </w:t>
            </w:r>
          </w:p>
        </w:tc>
        <w:tc>
          <w:tcPr>
            <w:tcW w:w="2309"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4.125% Series</w:t>
            </w:r>
          </w:p>
          <w:p>
            <w:pPr>
              <w:pStyle w:val="TableContents"/>
              <w:bidi w:val="0"/>
              <w:spacing w:before="0" w:after="20"/>
              <w:jc w:val="center"/>
              <w:rPr>
                <w:rFonts w:ascii="Times New Roman" w:hAnsi="Times New Roman"/>
                <w:sz w:val="20"/>
              </w:rPr>
            </w:pPr>
            <w:r>
              <w:rPr>
                <w:rFonts w:ascii="Times New Roman" w:hAnsi="Times New Roman"/>
                <w:sz w:val="20"/>
              </w:rPr>
              <w:t>Due 2042</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250,000,000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center"/>
              <w:rPr/>
            </w:pPr>
            <w:r>
              <w:rPr/>
              <w:t>250,000,000</w:t>
            </w:r>
          </w:p>
        </w:tc>
      </w:tr>
      <w:tr>
        <w:trPr/>
        <w:tc>
          <w:tcPr>
            <w:tcW w:w="2688" w:type="dxa"/>
            <w:tcBorders/>
          </w:tcPr>
          <w:p>
            <w:pPr>
              <w:pStyle w:val="TableContents"/>
              <w:bidi w:val="0"/>
              <w:spacing w:before="0" w:after="0"/>
              <w:jc w:val="left"/>
              <w:rPr>
                <w:rFonts w:ascii="Times New Roman" w:hAnsi="Times New Roman"/>
                <w:sz w:val="20"/>
              </w:rPr>
            </w:pPr>
            <w:r>
              <w:rPr>
                <w:rFonts w:ascii="Times New Roman" w:hAnsi="Times New Roman"/>
                <w:sz w:val="20"/>
              </w:rPr>
              <w:t>Forty-Second Supplemental (Reopening) Indenture</w:t>
            </w:r>
          </w:p>
        </w:tc>
        <w:tc>
          <w:tcPr>
            <w:tcW w:w="129" w:type="dxa"/>
            <w:tcBorders/>
            <w:vAlign w:val="bottom"/>
          </w:tcPr>
          <w:p>
            <w:pPr>
              <w:pStyle w:val="TableContents"/>
              <w:bidi w:val="0"/>
              <w:spacing w:before="0" w:after="283"/>
              <w:jc w:val="left"/>
              <w:rPr/>
            </w:pPr>
            <w:r>
              <w:rPr/>
              <w:t>  </w:t>
            </w:r>
          </w:p>
        </w:tc>
        <w:tc>
          <w:tcPr>
            <w:tcW w:w="2043" w:type="dxa"/>
            <w:tcBorders/>
            <w:vAlign w:val="bottom"/>
          </w:tcPr>
          <w:p>
            <w:pPr>
              <w:pStyle w:val="TableContents"/>
              <w:bidi w:val="0"/>
              <w:spacing w:before="0" w:after="283"/>
              <w:jc w:val="center"/>
              <w:rPr/>
            </w:pPr>
            <w:r>
              <w:rPr/>
              <w:t>May 17, 2012</w:t>
            </w:r>
          </w:p>
        </w:tc>
        <w:tc>
          <w:tcPr>
            <w:tcW w:w="129" w:type="dxa"/>
            <w:tcBorders/>
            <w:vAlign w:val="bottom"/>
          </w:tcPr>
          <w:p>
            <w:pPr>
              <w:pStyle w:val="TableContents"/>
              <w:bidi w:val="0"/>
              <w:spacing w:before="0" w:after="283"/>
              <w:jc w:val="left"/>
              <w:rPr/>
            </w:pPr>
            <w:r>
              <w:rPr/>
              <w:t>  </w:t>
            </w:r>
          </w:p>
        </w:tc>
        <w:tc>
          <w:tcPr>
            <w:tcW w:w="2309"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4.125% Series</w:t>
            </w:r>
          </w:p>
          <w:p>
            <w:pPr>
              <w:pStyle w:val="TableContents"/>
              <w:bidi w:val="0"/>
              <w:spacing w:before="0" w:after="20"/>
              <w:jc w:val="center"/>
              <w:rPr>
                <w:rFonts w:ascii="Times New Roman" w:hAnsi="Times New Roman"/>
                <w:sz w:val="20"/>
              </w:rPr>
            </w:pPr>
            <w:r>
              <w:rPr>
                <w:rFonts w:ascii="Times New Roman" w:hAnsi="Times New Roman"/>
                <w:sz w:val="20"/>
              </w:rPr>
              <w:t>Due 2042</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300,000,000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center"/>
              <w:rPr/>
            </w:pPr>
            <w:r>
              <w:rPr/>
              <w:t>300,000,000</w:t>
            </w:r>
          </w:p>
        </w:tc>
      </w:tr>
      <w:tr>
        <w:trPr/>
        <w:tc>
          <w:tcPr>
            <w:tcW w:w="2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Forty-Third Supplemental Indenture</w:t>
            </w:r>
          </w:p>
        </w:tc>
        <w:tc>
          <w:tcPr>
            <w:tcW w:w="129" w:type="dxa"/>
            <w:tcBorders/>
            <w:shd w:fill="CCEEFF" w:val="clear"/>
            <w:vAlign w:val="bottom"/>
          </w:tcPr>
          <w:p>
            <w:pPr>
              <w:pStyle w:val="TableContents"/>
              <w:bidi w:val="0"/>
              <w:spacing w:before="0" w:after="283"/>
              <w:jc w:val="left"/>
              <w:rPr/>
            </w:pPr>
            <w:r>
              <w:rPr/>
              <w:t>  </w:t>
            </w:r>
          </w:p>
        </w:tc>
        <w:tc>
          <w:tcPr>
            <w:tcW w:w="2043" w:type="dxa"/>
            <w:tcBorders/>
            <w:shd w:fill="CCEEFF" w:val="clear"/>
            <w:vAlign w:val="bottom"/>
          </w:tcPr>
          <w:p>
            <w:pPr>
              <w:pStyle w:val="TableContents"/>
              <w:bidi w:val="0"/>
              <w:spacing w:before="0" w:after="283"/>
              <w:jc w:val="center"/>
              <w:rPr/>
            </w:pPr>
            <w:r>
              <w:rPr/>
              <w:t>March 28, 2013</w:t>
            </w:r>
          </w:p>
        </w:tc>
        <w:tc>
          <w:tcPr>
            <w:tcW w:w="129" w:type="dxa"/>
            <w:tcBorders/>
            <w:shd w:fill="CCEEFF" w:val="clear"/>
            <w:vAlign w:val="bottom"/>
          </w:tcPr>
          <w:p>
            <w:pPr>
              <w:pStyle w:val="TableContents"/>
              <w:bidi w:val="0"/>
              <w:spacing w:before="0" w:after="283"/>
              <w:jc w:val="left"/>
              <w:rPr/>
            </w:pPr>
            <w:r>
              <w:rPr/>
              <w:t>  </w:t>
            </w:r>
          </w:p>
        </w:tc>
        <w:tc>
          <w:tcPr>
            <w:tcW w:w="2309"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4.10% Series</w:t>
            </w:r>
          </w:p>
          <w:p>
            <w:pPr>
              <w:pStyle w:val="TableContents"/>
              <w:bidi w:val="0"/>
              <w:spacing w:before="0" w:after="20"/>
              <w:jc w:val="center"/>
              <w:rPr>
                <w:rFonts w:ascii="Times New Roman" w:hAnsi="Times New Roman"/>
                <w:sz w:val="20"/>
              </w:rPr>
            </w:pPr>
            <w:r>
              <w:rPr>
                <w:rFonts w:ascii="Times New Roman" w:hAnsi="Times New Roman"/>
                <w:sz w:val="20"/>
              </w:rPr>
              <w:t>Due 2043</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430,000,000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center"/>
              <w:rPr/>
            </w:pPr>
            <w:r>
              <w:rPr/>
              <w:t>430,000,000</w:t>
            </w:r>
          </w:p>
        </w:tc>
      </w:tr>
      <w:tr>
        <w:trPr/>
        <w:tc>
          <w:tcPr>
            <w:tcW w:w="2688" w:type="dxa"/>
            <w:tcBorders/>
          </w:tcPr>
          <w:p>
            <w:pPr>
              <w:pStyle w:val="TableContents"/>
              <w:bidi w:val="0"/>
              <w:spacing w:before="0" w:after="0"/>
              <w:jc w:val="left"/>
              <w:rPr>
                <w:rFonts w:ascii="Times New Roman" w:hAnsi="Times New Roman"/>
                <w:sz w:val="20"/>
              </w:rPr>
            </w:pPr>
            <w:r>
              <w:rPr>
                <w:rFonts w:ascii="Times New Roman" w:hAnsi="Times New Roman"/>
                <w:sz w:val="20"/>
              </w:rPr>
              <w:t>Forty-Fourth Supplemental Indenture</w:t>
            </w:r>
          </w:p>
        </w:tc>
        <w:tc>
          <w:tcPr>
            <w:tcW w:w="129" w:type="dxa"/>
            <w:tcBorders/>
            <w:vAlign w:val="bottom"/>
          </w:tcPr>
          <w:p>
            <w:pPr>
              <w:pStyle w:val="TableContents"/>
              <w:bidi w:val="0"/>
              <w:spacing w:before="0" w:after="283"/>
              <w:jc w:val="left"/>
              <w:rPr/>
            </w:pPr>
            <w:r>
              <w:rPr/>
              <w:t>  </w:t>
            </w:r>
          </w:p>
        </w:tc>
        <w:tc>
          <w:tcPr>
            <w:tcW w:w="2043" w:type="dxa"/>
            <w:tcBorders/>
            <w:vAlign w:val="bottom"/>
          </w:tcPr>
          <w:p>
            <w:pPr>
              <w:pStyle w:val="TableContents"/>
              <w:bidi w:val="0"/>
              <w:spacing w:before="0" w:after="283"/>
              <w:jc w:val="center"/>
              <w:rPr/>
            </w:pPr>
            <w:r>
              <w:rPr/>
              <w:t>August 19, 2013</w:t>
            </w:r>
          </w:p>
        </w:tc>
        <w:tc>
          <w:tcPr>
            <w:tcW w:w="129" w:type="dxa"/>
            <w:tcBorders/>
            <w:vAlign w:val="bottom"/>
          </w:tcPr>
          <w:p>
            <w:pPr>
              <w:pStyle w:val="TableContents"/>
              <w:bidi w:val="0"/>
              <w:spacing w:before="0" w:after="283"/>
              <w:jc w:val="left"/>
              <w:rPr/>
            </w:pPr>
            <w:r>
              <w:rPr/>
              <w:t>  </w:t>
            </w:r>
          </w:p>
        </w:tc>
        <w:tc>
          <w:tcPr>
            <w:tcW w:w="2309"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4.625% Series</w:t>
            </w:r>
          </w:p>
          <w:p>
            <w:pPr>
              <w:pStyle w:val="TableContents"/>
              <w:bidi w:val="0"/>
              <w:spacing w:before="0" w:after="20"/>
              <w:jc w:val="center"/>
              <w:rPr>
                <w:rFonts w:ascii="Times New Roman" w:hAnsi="Times New Roman"/>
                <w:sz w:val="20"/>
              </w:rPr>
            </w:pPr>
            <w:r>
              <w:rPr>
                <w:rFonts w:ascii="Times New Roman" w:hAnsi="Times New Roman"/>
                <w:sz w:val="20"/>
              </w:rPr>
              <w:t>Due 2043</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250,000,000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center"/>
              <w:rPr/>
            </w:pPr>
            <w:r>
              <w:rPr/>
              <w:t>250,000,000</w:t>
            </w:r>
          </w:p>
        </w:tc>
      </w:tr>
      <w:tr>
        <w:trPr/>
        <w:tc>
          <w:tcPr>
            <w:tcW w:w="2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Forty-Fifth Supplemental Indenture</w:t>
            </w:r>
          </w:p>
        </w:tc>
        <w:tc>
          <w:tcPr>
            <w:tcW w:w="129" w:type="dxa"/>
            <w:tcBorders/>
            <w:shd w:fill="CCEEFF" w:val="clear"/>
            <w:vAlign w:val="bottom"/>
          </w:tcPr>
          <w:p>
            <w:pPr>
              <w:pStyle w:val="TableContents"/>
              <w:bidi w:val="0"/>
              <w:spacing w:before="0" w:after="283"/>
              <w:jc w:val="left"/>
              <w:rPr/>
            </w:pPr>
            <w:r>
              <w:rPr/>
              <w:t>  </w:t>
            </w:r>
          </w:p>
        </w:tc>
        <w:tc>
          <w:tcPr>
            <w:tcW w:w="2043" w:type="dxa"/>
            <w:tcBorders/>
            <w:shd w:fill="CCEEFF" w:val="clear"/>
            <w:vAlign w:val="bottom"/>
          </w:tcPr>
          <w:p>
            <w:pPr>
              <w:pStyle w:val="TableContents"/>
              <w:bidi w:val="0"/>
              <w:spacing w:before="0" w:after="283"/>
              <w:jc w:val="center"/>
              <w:rPr/>
            </w:pPr>
            <w:r>
              <w:rPr/>
              <w:t>November 13, 2015</w:t>
            </w:r>
          </w:p>
        </w:tc>
        <w:tc>
          <w:tcPr>
            <w:tcW w:w="129" w:type="dxa"/>
            <w:tcBorders/>
            <w:shd w:fill="CCEEFF" w:val="clear"/>
            <w:vAlign w:val="bottom"/>
          </w:tcPr>
          <w:p>
            <w:pPr>
              <w:pStyle w:val="TableContents"/>
              <w:bidi w:val="0"/>
              <w:spacing w:before="0" w:after="283"/>
              <w:jc w:val="left"/>
              <w:rPr/>
            </w:pPr>
            <w:r>
              <w:rPr/>
              <w:t>  </w:t>
            </w:r>
          </w:p>
        </w:tc>
        <w:tc>
          <w:tcPr>
            <w:tcW w:w="2309"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3.25% Series</w:t>
            </w:r>
          </w:p>
          <w:p>
            <w:pPr>
              <w:pStyle w:val="TableContents"/>
              <w:bidi w:val="0"/>
              <w:spacing w:before="0" w:after="0"/>
              <w:jc w:val="center"/>
              <w:rPr>
                <w:rFonts w:ascii="Times New Roman" w:hAnsi="Times New Roman"/>
                <w:sz w:val="20"/>
              </w:rPr>
            </w:pPr>
            <w:r>
              <w:rPr>
                <w:rFonts w:ascii="Times New Roman" w:hAnsi="Times New Roman"/>
                <w:sz w:val="20"/>
              </w:rPr>
              <w:t>Due 2025 4.25%</w:t>
            </w:r>
          </w:p>
          <w:p>
            <w:pPr>
              <w:pStyle w:val="TableContents"/>
              <w:bidi w:val="0"/>
              <w:spacing w:before="0" w:after="20"/>
              <w:jc w:val="center"/>
              <w:rPr>
                <w:rFonts w:ascii="Times New Roman" w:hAnsi="Times New Roman"/>
                <w:sz w:val="20"/>
              </w:rPr>
            </w:pPr>
            <w:r>
              <w:rPr>
                <w:rFonts w:ascii="Times New Roman" w:hAnsi="Times New Roman"/>
                <w:sz w:val="20"/>
              </w:rPr>
              <w:t>Series Due 2045</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250,000,000</w:t>
              <w:br/>
              <w:t>300,000,000</w:t>
            </w:r>
          </w:p>
        </w:tc>
        <w:tc>
          <w:tcPr>
            <w:tcW w:w="60" w:type="dxa"/>
            <w:tcBorders/>
            <w:shd w:fill="CCEEFF" w:val="clear"/>
            <w:vAlign w:val="bottom"/>
          </w:tcPr>
          <w:p>
            <w:pPr>
              <w:pStyle w:val="TableContents"/>
              <w:bidi w:val="0"/>
              <w:spacing w:before="0" w:after="283"/>
              <w:jc w:val="left"/>
              <w:rPr/>
            </w:pPr>
            <w:r>
              <w:rPr/>
              <w:t> </w:t>
            </w:r>
            <w:r>
              <w:rPr/>
              <w:br/>
              <w:t> </w:t>
            </w:r>
          </w:p>
        </w:tc>
        <w:tc>
          <w:tcPr>
            <w:tcW w:w="12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center"/>
              <w:rPr/>
            </w:pPr>
            <w:r>
              <w:rPr/>
              <w:t>None</w:t>
              <w:br/>
              <w:t>300,000,000</w:t>
            </w:r>
          </w:p>
        </w:tc>
      </w:tr>
      <w:tr>
        <w:trPr/>
        <w:tc>
          <w:tcPr>
            <w:tcW w:w="2688" w:type="dxa"/>
            <w:tcBorders/>
          </w:tcPr>
          <w:p>
            <w:pPr>
              <w:pStyle w:val="TableContents"/>
              <w:bidi w:val="0"/>
              <w:spacing w:before="0" w:after="0"/>
              <w:jc w:val="left"/>
              <w:rPr>
                <w:rFonts w:ascii="Times New Roman" w:hAnsi="Times New Roman"/>
                <w:sz w:val="20"/>
              </w:rPr>
            </w:pPr>
            <w:r>
              <w:rPr>
                <w:rFonts w:ascii="Times New Roman" w:hAnsi="Times New Roman"/>
                <w:sz w:val="20"/>
              </w:rPr>
              <w:t>Forty-Sixth Supplemental Indenture</w:t>
            </w:r>
          </w:p>
        </w:tc>
        <w:tc>
          <w:tcPr>
            <w:tcW w:w="129" w:type="dxa"/>
            <w:tcBorders/>
            <w:vAlign w:val="bottom"/>
          </w:tcPr>
          <w:p>
            <w:pPr>
              <w:pStyle w:val="TableContents"/>
              <w:bidi w:val="0"/>
              <w:spacing w:before="0" w:after="283"/>
              <w:jc w:val="left"/>
              <w:rPr/>
            </w:pPr>
            <w:r>
              <w:rPr/>
              <w:t>  </w:t>
            </w:r>
          </w:p>
        </w:tc>
        <w:tc>
          <w:tcPr>
            <w:tcW w:w="2043" w:type="dxa"/>
            <w:tcBorders/>
            <w:vAlign w:val="bottom"/>
          </w:tcPr>
          <w:p>
            <w:pPr>
              <w:pStyle w:val="TableContents"/>
              <w:bidi w:val="0"/>
              <w:spacing w:before="0" w:after="283"/>
              <w:jc w:val="center"/>
              <w:rPr/>
            </w:pPr>
            <w:r>
              <w:rPr/>
              <w:t>June 20, 2016</w:t>
            </w:r>
          </w:p>
        </w:tc>
        <w:tc>
          <w:tcPr>
            <w:tcW w:w="129" w:type="dxa"/>
            <w:tcBorders/>
            <w:vAlign w:val="bottom"/>
          </w:tcPr>
          <w:p>
            <w:pPr>
              <w:pStyle w:val="TableContents"/>
              <w:bidi w:val="0"/>
              <w:spacing w:before="0" w:after="283"/>
              <w:jc w:val="left"/>
              <w:rPr/>
            </w:pPr>
            <w:r>
              <w:rPr/>
              <w:t>  </w:t>
            </w:r>
          </w:p>
        </w:tc>
        <w:tc>
          <w:tcPr>
            <w:tcW w:w="2309" w:type="dxa"/>
            <w:tcBorders/>
            <w:vAlign w:val="bottom"/>
          </w:tcPr>
          <w:p>
            <w:pPr>
              <w:pStyle w:val="TableContents"/>
              <w:bidi w:val="0"/>
              <w:spacing w:before="0" w:after="283"/>
              <w:jc w:val="center"/>
              <w:rPr/>
            </w:pPr>
            <w:r>
              <w:rPr/>
              <w:t>2.55% Series Due 2026</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350,000,000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center"/>
              <w:rPr/>
            </w:pPr>
            <w:r>
              <w:rPr/>
              <w:t>None</w:t>
            </w:r>
          </w:p>
        </w:tc>
      </w:tr>
      <w:tr>
        <w:trPr/>
        <w:tc>
          <w:tcPr>
            <w:tcW w:w="2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Forty-Seventh Supplemental Indenture</w:t>
            </w:r>
          </w:p>
        </w:tc>
        <w:tc>
          <w:tcPr>
            <w:tcW w:w="129" w:type="dxa"/>
            <w:tcBorders/>
            <w:shd w:fill="CCEEFF" w:val="clear"/>
            <w:vAlign w:val="bottom"/>
          </w:tcPr>
          <w:p>
            <w:pPr>
              <w:pStyle w:val="TableContents"/>
              <w:bidi w:val="0"/>
              <w:spacing w:before="0" w:after="283"/>
              <w:jc w:val="left"/>
              <w:rPr/>
            </w:pPr>
            <w:r>
              <w:rPr/>
              <w:t>  </w:t>
            </w:r>
          </w:p>
        </w:tc>
        <w:tc>
          <w:tcPr>
            <w:tcW w:w="2043" w:type="dxa"/>
            <w:tcBorders/>
            <w:shd w:fill="CCEEFF" w:val="clear"/>
            <w:vAlign w:val="bottom"/>
          </w:tcPr>
          <w:p>
            <w:pPr>
              <w:pStyle w:val="TableContents"/>
              <w:bidi w:val="0"/>
              <w:spacing w:before="0" w:after="283"/>
              <w:jc w:val="center"/>
              <w:rPr/>
            </w:pPr>
            <w:r>
              <w:rPr/>
              <w:t>March 6, 2017</w:t>
            </w:r>
          </w:p>
        </w:tc>
        <w:tc>
          <w:tcPr>
            <w:tcW w:w="129" w:type="dxa"/>
            <w:tcBorders/>
            <w:shd w:fill="CCEEFF" w:val="clear"/>
            <w:vAlign w:val="bottom"/>
          </w:tcPr>
          <w:p>
            <w:pPr>
              <w:pStyle w:val="TableContents"/>
              <w:bidi w:val="0"/>
              <w:spacing w:before="0" w:after="283"/>
              <w:jc w:val="left"/>
              <w:rPr/>
            </w:pPr>
            <w:r>
              <w:rPr/>
              <w:t>  </w:t>
            </w:r>
          </w:p>
        </w:tc>
        <w:tc>
          <w:tcPr>
            <w:tcW w:w="2309" w:type="dxa"/>
            <w:tcBorders/>
            <w:shd w:fill="CCEEFF" w:val="clear"/>
            <w:vAlign w:val="bottom"/>
          </w:tcPr>
          <w:p>
            <w:pPr>
              <w:pStyle w:val="TableContents"/>
              <w:bidi w:val="0"/>
              <w:spacing w:before="0" w:after="283"/>
              <w:jc w:val="center"/>
              <w:rPr/>
            </w:pPr>
            <w:r>
              <w:rPr/>
              <w:t>3.10% Series Due 2027</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300,000,000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center"/>
              <w:rPr/>
            </w:pPr>
            <w:r>
              <w:rPr/>
              <w:t>300,000,000</w:t>
            </w:r>
          </w:p>
        </w:tc>
      </w:tr>
      <w:tr>
        <w:trPr/>
        <w:tc>
          <w:tcPr>
            <w:tcW w:w="2688" w:type="dxa"/>
            <w:tcBorders/>
          </w:tcPr>
          <w:p>
            <w:pPr>
              <w:pStyle w:val="TableContents"/>
              <w:bidi w:val="0"/>
              <w:spacing w:before="0" w:after="0"/>
              <w:jc w:val="left"/>
              <w:rPr>
                <w:rFonts w:ascii="Times New Roman" w:hAnsi="Times New Roman"/>
                <w:sz w:val="20"/>
              </w:rPr>
            </w:pPr>
            <w:r>
              <w:rPr>
                <w:rFonts w:ascii="Times New Roman" w:hAnsi="Times New Roman"/>
                <w:sz w:val="20"/>
              </w:rPr>
              <w:t>Forty-Ninth Supplemental Indenture</w:t>
            </w:r>
          </w:p>
        </w:tc>
        <w:tc>
          <w:tcPr>
            <w:tcW w:w="129" w:type="dxa"/>
            <w:tcBorders/>
            <w:vAlign w:val="bottom"/>
          </w:tcPr>
          <w:p>
            <w:pPr>
              <w:pStyle w:val="TableContents"/>
              <w:bidi w:val="0"/>
              <w:spacing w:before="0" w:after="283"/>
              <w:jc w:val="left"/>
              <w:rPr/>
            </w:pPr>
            <w:r>
              <w:rPr/>
              <w:t>  </w:t>
            </w:r>
          </w:p>
        </w:tc>
        <w:tc>
          <w:tcPr>
            <w:tcW w:w="2043" w:type="dxa"/>
            <w:tcBorders/>
            <w:vAlign w:val="bottom"/>
          </w:tcPr>
          <w:p>
            <w:pPr>
              <w:pStyle w:val="TableContents"/>
              <w:bidi w:val="0"/>
              <w:spacing w:before="0" w:after="283"/>
              <w:jc w:val="center"/>
              <w:rPr/>
            </w:pPr>
            <w:r>
              <w:rPr/>
              <w:t>August 19, 2019</w:t>
            </w:r>
          </w:p>
        </w:tc>
        <w:tc>
          <w:tcPr>
            <w:tcW w:w="129" w:type="dxa"/>
            <w:tcBorders/>
            <w:vAlign w:val="bottom"/>
          </w:tcPr>
          <w:p>
            <w:pPr>
              <w:pStyle w:val="TableContents"/>
              <w:bidi w:val="0"/>
              <w:spacing w:before="0" w:after="283"/>
              <w:jc w:val="left"/>
              <w:rPr/>
            </w:pPr>
            <w:r>
              <w:rPr/>
              <w:t>  </w:t>
            </w:r>
          </w:p>
        </w:tc>
        <w:tc>
          <w:tcPr>
            <w:tcW w:w="2309" w:type="dxa"/>
            <w:tcBorders/>
            <w:vAlign w:val="bottom"/>
          </w:tcPr>
          <w:p>
            <w:pPr>
              <w:pStyle w:val="TableContents"/>
              <w:bidi w:val="0"/>
              <w:spacing w:before="0" w:after="283"/>
              <w:jc w:val="center"/>
              <w:rPr/>
            </w:pPr>
            <w:r>
              <w:rPr/>
              <w:t>3.25% Series Due 2049</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300,000,000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center"/>
              <w:rPr/>
            </w:pPr>
            <w:r>
              <w:rPr/>
              <w:t>300,000,000</w:t>
            </w:r>
          </w:p>
        </w:tc>
      </w:tr>
      <w:tr>
        <w:trPr/>
        <w:tc>
          <w:tcPr>
            <w:tcW w:w="2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Fiftieth Supplemental Indenture</w:t>
            </w:r>
          </w:p>
        </w:tc>
        <w:tc>
          <w:tcPr>
            <w:tcW w:w="129" w:type="dxa"/>
            <w:tcBorders/>
            <w:shd w:fill="CCEEFF" w:val="clear"/>
            <w:vAlign w:val="bottom"/>
          </w:tcPr>
          <w:p>
            <w:pPr>
              <w:pStyle w:val="TableContents"/>
              <w:bidi w:val="0"/>
              <w:spacing w:before="0" w:after="283"/>
              <w:jc w:val="left"/>
              <w:rPr/>
            </w:pPr>
            <w:r>
              <w:rPr/>
              <w:t>  </w:t>
            </w:r>
          </w:p>
        </w:tc>
        <w:tc>
          <w:tcPr>
            <w:tcW w:w="2043" w:type="dxa"/>
            <w:tcBorders/>
            <w:shd w:fill="CCEEFF" w:val="clear"/>
            <w:vAlign w:val="bottom"/>
          </w:tcPr>
          <w:p>
            <w:pPr>
              <w:pStyle w:val="TableContents"/>
              <w:bidi w:val="0"/>
              <w:spacing w:before="0" w:after="283"/>
              <w:jc w:val="center"/>
              <w:rPr/>
            </w:pPr>
            <w:r>
              <w:rPr/>
              <w:t>April 9, 2020</w:t>
            </w:r>
          </w:p>
        </w:tc>
        <w:tc>
          <w:tcPr>
            <w:tcW w:w="129" w:type="dxa"/>
            <w:tcBorders/>
            <w:shd w:fill="CCEEFF" w:val="clear"/>
            <w:vAlign w:val="bottom"/>
          </w:tcPr>
          <w:p>
            <w:pPr>
              <w:pStyle w:val="TableContents"/>
              <w:bidi w:val="0"/>
              <w:spacing w:before="0" w:after="283"/>
              <w:jc w:val="left"/>
              <w:rPr/>
            </w:pPr>
            <w:r>
              <w:rPr/>
              <w:t>  </w:t>
            </w:r>
          </w:p>
        </w:tc>
        <w:tc>
          <w:tcPr>
            <w:tcW w:w="2309" w:type="dxa"/>
            <w:tcBorders/>
            <w:shd w:fill="CCEEFF" w:val="clear"/>
            <w:vAlign w:val="bottom"/>
          </w:tcPr>
          <w:p>
            <w:pPr>
              <w:pStyle w:val="TableContents"/>
              <w:bidi w:val="0"/>
              <w:spacing w:before="0" w:after="283"/>
              <w:jc w:val="center"/>
              <w:rPr/>
            </w:pPr>
            <w:r>
              <w:rPr/>
              <w:t>3.45% Series Due 2050</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500,000,000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center"/>
              <w:rPr/>
            </w:pPr>
            <w:r>
              <w:rPr/>
              <w:t>500,000,000</w:t>
            </w:r>
          </w:p>
        </w:tc>
      </w:tr>
      <w:tr>
        <w:trPr/>
        <w:tc>
          <w:tcPr>
            <w:tcW w:w="2688" w:type="dxa"/>
            <w:tcBorders/>
          </w:tcPr>
          <w:p>
            <w:pPr>
              <w:pStyle w:val="TableContents"/>
              <w:bidi w:val="0"/>
              <w:spacing w:before="0" w:after="0"/>
              <w:jc w:val="left"/>
              <w:rPr>
                <w:rFonts w:ascii="Times New Roman" w:hAnsi="Times New Roman"/>
                <w:sz w:val="20"/>
              </w:rPr>
            </w:pPr>
            <w:r>
              <w:rPr>
                <w:rFonts w:ascii="Times New Roman" w:hAnsi="Times New Roman"/>
                <w:sz w:val="20"/>
              </w:rPr>
              <w:t>Fifty-First Supplemental Indenture</w:t>
            </w:r>
          </w:p>
        </w:tc>
        <w:tc>
          <w:tcPr>
            <w:tcW w:w="129" w:type="dxa"/>
            <w:tcBorders/>
            <w:vAlign w:val="bottom"/>
          </w:tcPr>
          <w:p>
            <w:pPr>
              <w:pStyle w:val="TableContents"/>
              <w:bidi w:val="0"/>
              <w:spacing w:before="0" w:after="283"/>
              <w:jc w:val="left"/>
              <w:rPr/>
            </w:pPr>
            <w:r>
              <w:rPr/>
              <w:t>  </w:t>
            </w:r>
          </w:p>
        </w:tc>
        <w:tc>
          <w:tcPr>
            <w:tcW w:w="2043" w:type="dxa"/>
            <w:tcBorders/>
            <w:vAlign w:val="bottom"/>
          </w:tcPr>
          <w:p>
            <w:pPr>
              <w:pStyle w:val="TableContents"/>
              <w:bidi w:val="0"/>
              <w:spacing w:before="0" w:after="283"/>
              <w:jc w:val="center"/>
              <w:rPr/>
            </w:pPr>
            <w:r>
              <w:rPr/>
              <w:t>March 14, 2023</w:t>
            </w:r>
          </w:p>
        </w:tc>
        <w:tc>
          <w:tcPr>
            <w:tcW w:w="129" w:type="dxa"/>
            <w:tcBorders/>
            <w:vAlign w:val="bottom"/>
          </w:tcPr>
          <w:p>
            <w:pPr>
              <w:pStyle w:val="TableContents"/>
              <w:bidi w:val="0"/>
              <w:spacing w:before="0" w:after="283"/>
              <w:jc w:val="left"/>
              <w:rPr/>
            </w:pPr>
            <w:r>
              <w:rPr/>
              <w:t>  </w:t>
            </w:r>
          </w:p>
        </w:tc>
        <w:tc>
          <w:tcPr>
            <w:tcW w:w="2309" w:type="dxa"/>
            <w:tcBorders/>
            <w:vAlign w:val="bottom"/>
          </w:tcPr>
          <w:p>
            <w:pPr>
              <w:pStyle w:val="TableContents"/>
              <w:bidi w:val="0"/>
              <w:spacing w:before="0" w:after="283"/>
              <w:jc w:val="center"/>
              <w:rPr/>
            </w:pPr>
            <w:r>
              <w:rPr/>
              <w:t>5.70% Series Due 2053</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400,000,000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center"/>
              <w:rPr/>
            </w:pPr>
            <w:r>
              <w:rPr/>
              <w:t>400,000,000</w:t>
            </w:r>
          </w:p>
        </w:tc>
      </w:tr>
      <w:tr>
        <w:trPr/>
        <w:tc>
          <w:tcPr>
            <w:tcW w:w="2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Fifty-Second Supplemental Indenture</w:t>
            </w:r>
          </w:p>
        </w:tc>
        <w:tc>
          <w:tcPr>
            <w:tcW w:w="129" w:type="dxa"/>
            <w:tcBorders/>
            <w:shd w:fill="CCEEFF" w:val="clear"/>
            <w:vAlign w:val="bottom"/>
          </w:tcPr>
          <w:p>
            <w:pPr>
              <w:pStyle w:val="TableContents"/>
              <w:bidi w:val="0"/>
              <w:spacing w:before="0" w:after="283"/>
              <w:jc w:val="left"/>
              <w:rPr/>
            </w:pPr>
            <w:r>
              <w:rPr/>
              <w:t>  </w:t>
            </w:r>
          </w:p>
        </w:tc>
        <w:tc>
          <w:tcPr>
            <w:tcW w:w="2043" w:type="dxa"/>
            <w:tcBorders/>
            <w:shd w:fill="CCEEFF" w:val="clear"/>
            <w:vAlign w:val="bottom"/>
          </w:tcPr>
          <w:p>
            <w:pPr>
              <w:pStyle w:val="TableContents"/>
              <w:bidi w:val="0"/>
              <w:spacing w:before="0" w:after="283"/>
              <w:jc w:val="center"/>
              <w:rPr/>
            </w:pPr>
            <w:r>
              <w:rPr/>
              <w:t>November 15, 2023</w:t>
            </w:r>
          </w:p>
        </w:tc>
        <w:tc>
          <w:tcPr>
            <w:tcW w:w="129" w:type="dxa"/>
            <w:tcBorders/>
            <w:shd w:fill="CCEEFF" w:val="clear"/>
            <w:vAlign w:val="bottom"/>
          </w:tcPr>
          <w:p>
            <w:pPr>
              <w:pStyle w:val="TableContents"/>
              <w:bidi w:val="0"/>
              <w:spacing w:before="0" w:after="283"/>
              <w:jc w:val="left"/>
              <w:rPr/>
            </w:pPr>
            <w:r>
              <w:rPr/>
              <w:t>  </w:t>
            </w:r>
          </w:p>
        </w:tc>
        <w:tc>
          <w:tcPr>
            <w:tcW w:w="2309"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5.90% Series</w:t>
            </w:r>
          </w:p>
          <w:p>
            <w:pPr>
              <w:pStyle w:val="TableContents"/>
              <w:bidi w:val="0"/>
              <w:spacing w:before="0" w:after="20"/>
              <w:jc w:val="center"/>
              <w:rPr>
                <w:rFonts w:ascii="Times New Roman" w:hAnsi="Times New Roman"/>
                <w:sz w:val="20"/>
              </w:rPr>
            </w:pPr>
            <w:r>
              <w:rPr>
                <w:rFonts w:ascii="Times New Roman" w:hAnsi="Times New Roman"/>
                <w:sz w:val="20"/>
              </w:rPr>
              <w:t>Due 2033</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300,000,000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center"/>
              <w:rPr/>
            </w:pPr>
            <w:r>
              <w:rPr/>
              <w:t>300,000,000</w:t>
            </w:r>
          </w:p>
        </w:tc>
      </w:tr>
      <w:tr>
        <w:trPr/>
        <w:tc>
          <w:tcPr>
            <w:tcW w:w="2688" w:type="dxa"/>
            <w:tcBorders/>
          </w:tcPr>
          <w:p>
            <w:pPr>
              <w:pStyle w:val="TableContents"/>
              <w:bidi w:val="0"/>
              <w:spacing w:before="0" w:after="0"/>
              <w:jc w:val="left"/>
              <w:rPr>
                <w:rFonts w:ascii="Times New Roman" w:hAnsi="Times New Roman"/>
                <w:sz w:val="20"/>
              </w:rPr>
            </w:pPr>
            <w:r>
              <w:rPr>
                <w:rFonts w:ascii="Times New Roman" w:hAnsi="Times New Roman"/>
                <w:sz w:val="20"/>
              </w:rPr>
              <w:t>Fifty-Third Supplemental Indenture</w:t>
            </w:r>
          </w:p>
        </w:tc>
        <w:tc>
          <w:tcPr>
            <w:tcW w:w="129" w:type="dxa"/>
            <w:tcBorders/>
            <w:vAlign w:val="bottom"/>
          </w:tcPr>
          <w:p>
            <w:pPr>
              <w:pStyle w:val="TableContents"/>
              <w:bidi w:val="0"/>
              <w:spacing w:before="0" w:after="283"/>
              <w:jc w:val="left"/>
              <w:rPr/>
            </w:pPr>
            <w:r>
              <w:rPr/>
              <w:t>  </w:t>
            </w:r>
          </w:p>
        </w:tc>
        <w:tc>
          <w:tcPr>
            <w:tcW w:w="2043" w:type="dxa"/>
            <w:tcBorders/>
            <w:vAlign w:val="bottom"/>
          </w:tcPr>
          <w:p>
            <w:pPr>
              <w:pStyle w:val="TableContents"/>
              <w:bidi w:val="0"/>
              <w:spacing w:before="0" w:after="283"/>
              <w:jc w:val="center"/>
              <w:rPr/>
            </w:pPr>
            <w:r>
              <w:rPr/>
              <w:t>March 13, 2025</w:t>
            </w:r>
          </w:p>
        </w:tc>
        <w:tc>
          <w:tcPr>
            <w:tcW w:w="129" w:type="dxa"/>
            <w:tcBorders/>
            <w:vAlign w:val="bottom"/>
          </w:tcPr>
          <w:p>
            <w:pPr>
              <w:pStyle w:val="TableContents"/>
              <w:bidi w:val="0"/>
              <w:spacing w:before="0" w:after="283"/>
              <w:jc w:val="left"/>
              <w:rPr/>
            </w:pPr>
            <w:r>
              <w:rPr/>
              <w:t>  </w:t>
            </w:r>
          </w:p>
        </w:tc>
        <w:tc>
          <w:tcPr>
            <w:tcW w:w="2309"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5.25% Series</w:t>
            </w:r>
          </w:p>
          <w:p>
            <w:pPr>
              <w:pStyle w:val="TableContents"/>
              <w:bidi w:val="0"/>
              <w:spacing w:before="0" w:after="20"/>
              <w:jc w:val="center"/>
              <w:rPr>
                <w:rFonts w:ascii="Times New Roman" w:hAnsi="Times New Roman"/>
                <w:sz w:val="20"/>
              </w:rPr>
            </w:pPr>
            <w:r>
              <w:rPr>
                <w:rFonts w:ascii="Times New Roman" w:hAnsi="Times New Roman"/>
                <w:sz w:val="20"/>
              </w:rPr>
              <w:t>Due 2035</w:t>
            </w:r>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300,000,000</w:t>
            </w:r>
          </w:p>
        </w:tc>
        <w:tc>
          <w:tcPr>
            <w:tcW w:w="60"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center"/>
              <w:rPr/>
            </w:pPr>
            <w:r>
              <w:rPr/>
              <w:t>300,000,000</w:t>
            </w:r>
          </w:p>
        </w:tc>
      </w:tr>
      <w:tr>
        <w:trPr/>
        <w:tc>
          <w:tcPr>
            <w:tcW w:w="26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Fifty-Third Supplemental (Reopening) Indenture</w:t>
            </w:r>
          </w:p>
        </w:tc>
        <w:tc>
          <w:tcPr>
            <w:tcW w:w="129" w:type="dxa"/>
            <w:tcBorders/>
            <w:shd w:fill="CCEEFF" w:val="clear"/>
            <w:vAlign w:val="bottom"/>
          </w:tcPr>
          <w:p>
            <w:pPr>
              <w:pStyle w:val="TableContents"/>
              <w:bidi w:val="0"/>
              <w:spacing w:before="0" w:after="283"/>
              <w:jc w:val="left"/>
              <w:rPr/>
            </w:pPr>
            <w:r>
              <w:rPr/>
              <w:t>  </w:t>
            </w:r>
          </w:p>
        </w:tc>
        <w:tc>
          <w:tcPr>
            <w:tcW w:w="2043" w:type="dxa"/>
            <w:tcBorders/>
            <w:shd w:fill="CCEEFF" w:val="clear"/>
            <w:vAlign w:val="bottom"/>
          </w:tcPr>
          <w:p>
            <w:pPr>
              <w:pStyle w:val="TableContents"/>
              <w:bidi w:val="0"/>
              <w:spacing w:before="0" w:after="283"/>
              <w:jc w:val="center"/>
              <w:rPr/>
            </w:pPr>
            <w:r>
              <w:rPr/>
              <w:t>December 5, 2025</w:t>
            </w:r>
          </w:p>
        </w:tc>
        <w:tc>
          <w:tcPr>
            <w:tcW w:w="129" w:type="dxa"/>
            <w:tcBorders/>
            <w:shd w:fill="CCEEFF" w:val="clear"/>
            <w:vAlign w:val="bottom"/>
          </w:tcPr>
          <w:p>
            <w:pPr>
              <w:pStyle w:val="TableContents"/>
              <w:bidi w:val="0"/>
              <w:spacing w:before="0" w:after="283"/>
              <w:jc w:val="left"/>
              <w:rPr/>
            </w:pPr>
            <w:r>
              <w:rPr/>
              <w:t>  </w:t>
            </w:r>
          </w:p>
        </w:tc>
        <w:tc>
          <w:tcPr>
            <w:tcW w:w="2309"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5.25% Series</w:t>
            </w:r>
          </w:p>
          <w:p>
            <w:pPr>
              <w:pStyle w:val="TableContents"/>
              <w:bidi w:val="0"/>
              <w:spacing w:before="0" w:after="20"/>
              <w:jc w:val="center"/>
              <w:rPr>
                <w:rFonts w:ascii="Times New Roman" w:hAnsi="Times New Roman"/>
                <w:sz w:val="20"/>
              </w:rPr>
            </w:pPr>
            <w:r>
              <w:rPr>
                <w:rFonts w:ascii="Times New Roman" w:hAnsi="Times New Roman"/>
                <w:sz w:val="20"/>
              </w:rPr>
              <w:t>Due 2035</w:t>
            </w:r>
          </w:p>
        </w:tc>
        <w:tc>
          <w:tcPr>
            <w:tcW w:w="12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300,000,000</w:t>
            </w:r>
          </w:p>
        </w:tc>
        <w:tc>
          <w:tcPr>
            <w:tcW w:w="60"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center"/>
              <w:rPr/>
            </w:pPr>
            <w:r>
              <w:rPr/>
              <w:t>300,000,000</w:t>
            </w:r>
          </w:p>
        </w:tc>
      </w:tr>
    </w:tbl>
    <w:p>
      <w:pPr>
        <w:pStyle w:val="TextBody"/>
        <w:bidi w:val="0"/>
        <w:spacing w:before="0" w:after="0"/>
        <w:jc w:val="left"/>
        <w:rPr>
          <w:rFonts w:ascii="Times New Roman" w:hAnsi="Times New Roman"/>
          <w:sz w:val="20"/>
        </w:rPr>
      </w:pP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WHEREAS, pursuant to that Amended and Restated Agreement and Plan of Merger, dated as of July 9, 2017, by and among the Company-Predecessor, Great Plains Energy Incorporated, a corporation organized and existing under the laws of the State of Missouri, Monarch Energy Holding, Inc., a corporation organized and existing under the laws of the State of Missouri (“</w:t>
      </w:r>
      <w:r>
        <w:rPr>
          <w:rFonts w:ascii="Times New Roman" w:hAnsi="Times New Roman"/>
          <w:b/>
          <w:sz w:val="20"/>
        </w:rPr>
        <w:t>Monarch Energy</w:t>
      </w:r>
      <w:r>
        <w:rPr>
          <w:rFonts w:ascii="Times New Roman" w:hAnsi="Times New Roman"/>
          <w:sz w:val="20"/>
        </w:rPr>
        <w:t>”), and King Energy, Inc., a corporation organized and existing under the laws of the State of Kansas and a wholly owned subsidiary of Monarch Energy (“</w:t>
      </w:r>
      <w:r>
        <w:rPr>
          <w:rFonts w:ascii="Times New Roman" w:hAnsi="Times New Roman"/>
          <w:b/>
          <w:sz w:val="20"/>
        </w:rPr>
        <w:t>Merger Sub</w:t>
      </w:r>
      <w:r>
        <w:rPr>
          <w:rFonts w:ascii="Times New Roman" w:hAnsi="Times New Roman"/>
          <w:sz w:val="20"/>
        </w:rPr>
        <w:t>”), on June 4, 2018 Merger Sub merged with and into the Company-Predecessor, with the Company surviving the merger (the “</w:t>
      </w:r>
      <w:r>
        <w:rPr>
          <w:rFonts w:ascii="Times New Roman" w:hAnsi="Times New Roman"/>
          <w:b/>
          <w:sz w:val="20"/>
        </w:rPr>
        <w:t>Merger</w:t>
      </w:r>
      <w:r>
        <w:rPr>
          <w:rFonts w:ascii="Times New Roman" w:hAnsi="Times New Roman"/>
          <w:sz w:val="20"/>
        </w:rPr>
        <w:t>”), on such terms as fully to preserve and in no respect impair the lien on the mortgaged property under the Original Indenture as amended by all indentures supplemental thereto (hereinafter sometimes collectively called the “</w:t>
      </w:r>
      <w:r>
        <w:rPr>
          <w:rFonts w:ascii="Times New Roman" w:hAnsi="Times New Roman"/>
          <w:b/>
          <w:sz w:val="20"/>
        </w:rPr>
        <w:t>Indenture</w:t>
      </w:r>
      <w:r>
        <w:rPr>
          <w:rFonts w:ascii="Times New Roman" w:hAnsi="Times New Roman"/>
          <w:sz w:val="20"/>
        </w:rPr>
        <w:t xml:space="preserve">”) or any of the rights or powers of the Trustee or of the holders of the Bonds thereunder; and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Forty-Eighth Supplemental Indenture to supplement the Original Indenture, the Company, as a successor corporation resulting from the Merger, assumed the due and punctual performance and observance of all the covenants and conditions to be kept or performed by the Company-Predecessor under the Indenture and the due and punctual payment of the principal of and interest on all Bonds now outstanding under the Indenture according to their tenor and to enable the Company to have and exercise powers and rights of the Company-Predecessor under the Indenture in accordance with the terms thereof; and </w:t>
      </w:r>
    </w:p>
    <w:p>
      <w:pPr>
        <w:pStyle w:val="TextBody"/>
        <w:bidi w:val="0"/>
        <w:spacing w:before="240" w:after="0"/>
        <w:jc w:val="left"/>
        <w:rPr>
          <w:rFonts w:ascii="Times New Roman" w:hAnsi="Times New Roman"/>
          <w:sz w:val="20"/>
        </w:rPr>
      </w:pPr>
      <w:r>
        <w:rPr>
          <w:rFonts w:ascii="Times New Roman" w:hAnsi="Times New Roman"/>
          <w:sz w:val="20"/>
        </w:rPr>
        <w:t xml:space="preserve">WHEREAS, on September 16, 2019, the Company formally changed its name from Westar Energy, Inc. to Evergy Kansas Central, Inc.;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is entitled at this time to have authenticated and delivered additional bonds, upon compliance with the provisions of Article III of the Original Indenture, as amended; and </w:t>
      </w:r>
    </w:p>
    <w:p>
      <w:pPr>
        <w:pStyle w:val="TextBody"/>
        <w:bidi w:val="0"/>
        <w:spacing w:before="240" w:after="0"/>
        <w:jc w:val="left"/>
        <w:rPr>
          <w:rFonts w:ascii="Times New Roman" w:hAnsi="Times New Roman"/>
          <w:sz w:val="20"/>
        </w:rPr>
      </w:pPr>
      <w:r>
        <w:rPr>
          <w:rFonts w:ascii="Times New Roman" w:hAnsi="Times New Roman"/>
          <w:sz w:val="20"/>
        </w:rPr>
        <w:t>WHEREAS, the Company desires by this Fifty-Fifth Supplemental Indenture (hereinafter referred to as this “</w:t>
      </w:r>
      <w:r>
        <w:rPr>
          <w:rFonts w:ascii="Times New Roman" w:hAnsi="Times New Roman"/>
          <w:b/>
          <w:sz w:val="20"/>
        </w:rPr>
        <w:t>Supplemental Indenture</w:t>
      </w:r>
      <w:r>
        <w:rPr>
          <w:rFonts w:ascii="Times New Roman" w:hAnsi="Times New Roman"/>
          <w:sz w:val="20"/>
        </w:rPr>
        <w:t>”) to supplement the Original Indenture and to provide for the creation of a new series of bonds under the Original Indenture to be designated “First Mortgage Bonds, 5.300% Series due 2036” (hereinafter called “</w:t>
      </w:r>
      <w:r>
        <w:rPr>
          <w:rFonts w:ascii="Times New Roman" w:hAnsi="Times New Roman"/>
          <w:b/>
          <w:sz w:val="20"/>
        </w:rPr>
        <w:t>Bonds of the 5.300% Series due 2036</w:t>
      </w:r>
      <w:r>
        <w:rPr>
          <w:rFonts w:ascii="Times New Roman" w:hAnsi="Times New Roman"/>
          <w:sz w:val="20"/>
        </w:rPr>
        <w:t xml:space="preserve">”); and the Original Indenture provides that certain terms and provisions, as determined by the Board of Directors of the Company, of the Bonds of any particular series may be expressed in and provided by the execution of an appropriate supplemental indenture;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in the exercise of the powers and authority conferred upon and reserved to it under the provisions of the Original Indenture and indentures supplemental thereto, and pursuant to appropriate resolutions of its Board of Directors, has duly resolved and determined to make, execute and deliver to the Trustee a supplemental indenture in the form hereof for the purposes herein provided;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all conditions and requirements necessary to make this Supplemental Indenture a valid, binding and legal instrument have been done, performed and fulfilled, and the execution and delivery hereof have been in all respects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THIS INDENTURE WITNESSETH: That, in consideration of the premises and of the mutual covenants herein contained and of the sum of One Dollar duly paid by the Company to the Trustee at or before the time of the execution of these presents, and of other valuable considerations, the receipt whereof is hereby acknowledged, and in order further to secure the payment of the principal of and interest and premium, if any, on all Bonds at any time issued and outstanding under the Indenture according to their tenor, purpose and effect, and to declare certain terms and conditions upon and subject to which Bonds are to be issued and secured, the Company has executed and delivered this Supplemental Indenture, and by these presents grants, bargains, sells, warrants, aliens, releases, conveys, assigns, transfers, mortgages, pledges, sets over and ratifies and confirms unto The Bank of New York Mellon Trust Company, N.A., as Trustee, and to its successors in trust under the Indenture forever, all and singular the following described properties (in addition to all other properties heretofore specifically subjected to the lien of the Indenture and not heretofore released from the lien thereof), that is to say: </w:t>
      </w:r>
    </w:p>
    <w:p>
      <w:pPr>
        <w:pStyle w:val="TextBody"/>
        <w:bidi w:val="0"/>
        <w:spacing w:before="480" w:after="0"/>
        <w:jc w:val="center"/>
        <w:rPr>
          <w:rFonts w:ascii="Times New Roman" w:hAnsi="Times New Roman"/>
          <w:b/>
          <w:sz w:val="20"/>
        </w:rPr>
      </w:pPr>
      <w:r>
        <w:rPr>
          <w:rFonts w:ascii="Times New Roman" w:hAnsi="Times New Roman"/>
          <w:b/>
          <w:sz w:val="20"/>
        </w:rPr>
        <w:t xml:space="preserve">FIRST. </w:t>
      </w:r>
    </w:p>
    <w:p>
      <w:pPr>
        <w:pStyle w:val="TextBody"/>
        <w:bidi w:val="0"/>
        <w:spacing w:before="240" w:after="0"/>
        <w:jc w:val="left"/>
        <w:rPr>
          <w:rFonts w:ascii="Times New Roman" w:hAnsi="Times New Roman"/>
          <w:sz w:val="20"/>
        </w:rPr>
      </w:pPr>
      <w:r>
        <w:rPr>
          <w:rFonts w:ascii="Times New Roman" w:hAnsi="Times New Roman"/>
          <w:sz w:val="20"/>
        </w:rPr>
        <w:t xml:space="preserve">All and singular the lands, real estate, chattels real, easements, servitudes, and leaseholds of the Company, or which, subject to the provisions of Article XII of the Original Indenture, the Company may hereafter acquire, together with all improvements of any type located thereon. </w:t>
      </w:r>
    </w:p>
    <w:p>
      <w:pPr>
        <w:pStyle w:val="TextBody"/>
        <w:bidi w:val="0"/>
        <w:spacing w:before="240" w:after="0"/>
        <w:jc w:val="left"/>
        <w:rPr>
          <w:rFonts w:ascii="Times New Roman" w:hAnsi="Times New Roman"/>
          <w:sz w:val="20"/>
        </w:rPr>
      </w:pPr>
      <w:r>
        <w:rPr>
          <w:rFonts w:ascii="Times New Roman" w:hAnsi="Times New Roman"/>
          <w:sz w:val="20"/>
        </w:rPr>
        <w:t xml:space="preserve">Also all power houses, plants, buildings and other structures, dams, dam sites, substations, heating plants, gas works, holders and tanks, compressor stations, gasoline extraction plants, together with all and singular the electric heating, gas and mechanical appliances appurtenant thereto of every nature whatsoever, now owned by the Company or which it may hereafter acquire, including all and singular the machinery, engines, boilers, furnaces, generators, dynamos, turbines and motors, and all and every character of mechanical appliance for generating or producing electricity, steam, water, gas and other agencies for light, heat, cold or power or any other purpose whatsoever. </w:t>
      </w:r>
    </w:p>
    <w:p>
      <w:pPr>
        <w:pStyle w:val="TextBody"/>
        <w:bidi w:val="0"/>
        <w:spacing w:before="480" w:after="0"/>
        <w:jc w:val="center"/>
        <w:rPr>
          <w:rFonts w:ascii="Times New Roman" w:hAnsi="Times New Roman"/>
          <w:b/>
          <w:sz w:val="20"/>
        </w:rPr>
      </w:pPr>
      <w:r>
        <w:rPr>
          <w:rFonts w:ascii="Times New Roman" w:hAnsi="Times New Roman"/>
          <w:b/>
          <w:sz w:val="20"/>
        </w:rPr>
        <w:t xml:space="preserve">SECOND. </w:t>
      </w:r>
    </w:p>
    <w:p>
      <w:pPr>
        <w:pStyle w:val="TextBody"/>
        <w:bidi w:val="0"/>
        <w:spacing w:before="240" w:after="0"/>
        <w:jc w:val="left"/>
        <w:rPr>
          <w:rFonts w:ascii="Times New Roman" w:hAnsi="Times New Roman"/>
          <w:sz w:val="20"/>
        </w:rPr>
      </w:pPr>
      <w:r>
        <w:rPr>
          <w:rFonts w:ascii="Times New Roman" w:hAnsi="Times New Roman"/>
          <w:sz w:val="20"/>
        </w:rPr>
        <w:t xml:space="preserve">Also all transmission and distribution systems used for the transmission and distribution of electricity, steam, water, gas and other agencies for light, heat, cold or power, or any other purpose whatsoever, whether underground or overhead or on the surface or otherwise of the Company, or which, subject to the provisions of Article XII of the Original Indenture, the Company may hereafter acquire, including all poles, posts, wires, cables, conduits, mains, pipes, tubes, drains, furnaces, switchboards, transformers, insulators, meters, lamps, fuses, junction boxes, water pumping stations, regulator stations, town border metering stations and other electric, steam, water and gas fixtures and apparatus.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THIRD. </w:t>
      </w:r>
    </w:p>
    <w:p>
      <w:pPr>
        <w:pStyle w:val="TextBody"/>
        <w:bidi w:val="0"/>
        <w:spacing w:before="240" w:after="0"/>
        <w:jc w:val="left"/>
        <w:rPr>
          <w:rFonts w:ascii="Times New Roman" w:hAnsi="Times New Roman"/>
          <w:sz w:val="20"/>
        </w:rPr>
      </w:pPr>
      <w:r>
        <w:rPr>
          <w:rFonts w:ascii="Times New Roman" w:hAnsi="Times New Roman"/>
          <w:sz w:val="20"/>
        </w:rPr>
        <w:t xml:space="preserve">Also all franchises and all permits, ordinances, easements, privileges and immunities and licenses, all rights to construct, maintain and operate overhead, surface and underground systems for the distribution and transmission of electricity, gas, water or steam for the supply to itself or others of light, heat, cold or power or any other purpose whatsoever, all rights-of-way, all waters, water rights and flowage rights and all grants and consents, now owned by the Company or, subject to the provisions of Article XII of the Original Indenture, which it may hereafter acquire. </w:t>
      </w:r>
    </w:p>
    <w:p>
      <w:pPr>
        <w:pStyle w:val="TextBody"/>
        <w:bidi w:val="0"/>
        <w:spacing w:before="240" w:after="0"/>
        <w:jc w:val="left"/>
        <w:rPr>
          <w:rFonts w:ascii="Times New Roman" w:hAnsi="Times New Roman"/>
          <w:sz w:val="20"/>
        </w:rPr>
      </w:pPr>
      <w:r>
        <w:rPr>
          <w:rFonts w:ascii="Times New Roman" w:hAnsi="Times New Roman"/>
          <w:sz w:val="20"/>
        </w:rPr>
        <w:t xml:space="preserve">Also all inventions, patent rights and licenses of every kind now owned by the Company or, subject to the provisions of Article XII of the Original Indenture, which it may hereafter acquire. </w:t>
      </w:r>
    </w:p>
    <w:p>
      <w:pPr>
        <w:pStyle w:val="TextBody"/>
        <w:bidi w:val="0"/>
        <w:spacing w:before="480" w:after="0"/>
        <w:jc w:val="center"/>
        <w:rPr>
          <w:rFonts w:ascii="Times New Roman" w:hAnsi="Times New Roman"/>
          <w:b/>
          <w:sz w:val="20"/>
        </w:rPr>
      </w:pPr>
      <w:r>
        <w:rPr>
          <w:rFonts w:ascii="Times New Roman" w:hAnsi="Times New Roman"/>
          <w:b/>
          <w:sz w:val="20"/>
        </w:rPr>
        <w:t xml:space="preserve">FOURTH. </w:t>
      </w:r>
    </w:p>
    <w:p>
      <w:pPr>
        <w:pStyle w:val="TextBody"/>
        <w:bidi w:val="0"/>
        <w:spacing w:before="240" w:after="0"/>
        <w:jc w:val="left"/>
        <w:rPr>
          <w:rFonts w:ascii="Times New Roman" w:hAnsi="Times New Roman"/>
          <w:sz w:val="20"/>
        </w:rPr>
      </w:pPr>
      <w:r>
        <w:rPr>
          <w:rFonts w:ascii="Times New Roman" w:hAnsi="Times New Roman"/>
          <w:sz w:val="20"/>
        </w:rPr>
        <w:t xml:space="preserve">Also, subject to the provisions of Article XII of the Original Indenture, all other property, real, personal and mixed (except as therein or herein expressly excepted) of every nature and kind and wheresoever situated now or hereafter possessed by or belonging to the Company, or to which it is now, or may at any time hereafter be, in any manner entitled at law or in equity. </w:t>
      </w:r>
    </w:p>
    <w:p>
      <w:pPr>
        <w:pStyle w:val="TextBody"/>
        <w:bidi w:val="0"/>
        <w:spacing w:before="480" w:after="0"/>
        <w:jc w:val="center"/>
        <w:rPr>
          <w:rFonts w:ascii="Times New Roman" w:hAnsi="Times New Roman"/>
          <w:b/>
          <w:sz w:val="20"/>
        </w:rPr>
      </w:pPr>
      <w:r>
        <w:rPr>
          <w:rFonts w:ascii="Times New Roman" w:hAnsi="Times New Roman"/>
          <w:b/>
          <w:sz w:val="20"/>
        </w:rPr>
        <w:t xml:space="preserve">FIFTH. </w:t>
      </w:r>
    </w:p>
    <w:p>
      <w:pPr>
        <w:pStyle w:val="TextBody"/>
        <w:bidi w:val="0"/>
        <w:spacing w:before="240" w:after="0"/>
        <w:jc w:val="left"/>
        <w:rPr>
          <w:rFonts w:ascii="Times New Roman" w:hAnsi="Times New Roman"/>
          <w:sz w:val="20"/>
        </w:rPr>
      </w:pPr>
      <w:r>
        <w:rPr>
          <w:rFonts w:ascii="Times New Roman" w:hAnsi="Times New Roman"/>
          <w:sz w:val="20"/>
        </w:rPr>
        <w:t xml:space="preserve">Also any and all property of any kind or description which may from time to time after the date of the Original Indenture by delivery or by writing of any kind be conveyed, mortgaged, pledged, assigned or transferred to the Trustee by the Company or by any person, copartnership or corporation, with the consent of the Company or otherwise, and accepted by the Trustee, to be held as part of the mortgaged property; and the Trustee is hereby authorized to accept and receive any such property and any such conveyance, mortgage, pledge, assignment and transfer, as and for additional security hereunder, and to hold and apply any and all such property subject to and in accordance with the terms and provisions upon which such conveyance, mortgage, pledge, assignment or transfer shall be made. </w:t>
      </w:r>
    </w:p>
    <w:p>
      <w:pPr>
        <w:pStyle w:val="TextBody"/>
        <w:bidi w:val="0"/>
        <w:spacing w:before="480" w:after="0"/>
        <w:jc w:val="center"/>
        <w:rPr>
          <w:rFonts w:ascii="Times New Roman" w:hAnsi="Times New Roman"/>
          <w:b/>
          <w:sz w:val="20"/>
        </w:rPr>
      </w:pPr>
      <w:r>
        <w:rPr>
          <w:rFonts w:ascii="Times New Roman" w:hAnsi="Times New Roman"/>
          <w:b/>
          <w:sz w:val="20"/>
        </w:rPr>
        <w:t xml:space="preserve">SIXTH. </w:t>
      </w:r>
    </w:p>
    <w:p>
      <w:pPr>
        <w:pStyle w:val="TextBody"/>
        <w:bidi w:val="0"/>
        <w:spacing w:before="240" w:after="0"/>
        <w:jc w:val="left"/>
        <w:rPr>
          <w:rFonts w:ascii="Times New Roman" w:hAnsi="Times New Roman"/>
          <w:sz w:val="20"/>
        </w:rPr>
      </w:pPr>
      <w:r>
        <w:rPr>
          <w:rFonts w:ascii="Times New Roman" w:hAnsi="Times New Roman"/>
          <w:sz w:val="20"/>
        </w:rPr>
        <w:t xml:space="preserve">Together with all and singular, the tenements, hereditaments and appurtenances belonging or in anywise appertaining to the aforesaid property or any part thereof, with the reversion and reversions, remainder and remainders, tolls, rents, revenues, issues, income, products and profits thereof, and all the estate, right, title, interest and claim whatsoever, at law and in equity, which the Company now has or may hereafter acquire in and to the aforesaid property and franchises and every part and parcel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EXPRESSLY EXCEPTING AND EXCLUDING, HOWEVER, all properties of the character excepted from the lien of the Original Indenture. </w:t>
      </w:r>
    </w:p>
    <w:p>
      <w:pPr>
        <w:pStyle w:val="TextBody"/>
        <w:bidi w:val="0"/>
        <w:spacing w:before="240" w:after="0"/>
        <w:jc w:val="left"/>
        <w:rPr>
          <w:rFonts w:ascii="Times New Roman" w:hAnsi="Times New Roman"/>
          <w:sz w:val="20"/>
        </w:rPr>
      </w:pPr>
      <w:r>
        <w:rPr>
          <w:rFonts w:ascii="Times New Roman" w:hAnsi="Times New Roman"/>
          <w:sz w:val="20"/>
        </w:rPr>
        <w:t xml:space="preserve">TO HAVE AND TO HOLD all said properties, real, personal and mixed, mortgaged, pledged and conveyed by the Company as aforesaid, or intended so to be, unto the Trustee and its successors and assigns forever; </w:t>
      </w:r>
    </w:p>
    <w:p>
      <w:pPr>
        <w:pStyle w:val="TextBody"/>
        <w:bidi w:val="0"/>
        <w:spacing w:before="240" w:after="0"/>
        <w:jc w:val="left"/>
        <w:rPr>
          <w:rFonts w:ascii="Times New Roman" w:hAnsi="Times New Roman"/>
          <w:sz w:val="20"/>
        </w:rPr>
      </w:pPr>
      <w:r>
        <w:rPr>
          <w:rFonts w:ascii="Times New Roman" w:hAnsi="Times New Roman"/>
          <w:sz w:val="20"/>
        </w:rPr>
        <w:t xml:space="preserve">SUBJECT, HOWEVER, to the exceptions and reservations hereinabove referred to, to existing leases other than leases which by their terms are subordinate to the lien of the Indenture, to existing liens upon rights-of-way for transmission or distribution line purposes, as defined in Article I of the Original Indenture; and any extensions thereof, and subject to existing easements for streets, alleys, highways, rights-of-way and railroad purposes over, upon and across certain of the property herein before described and subject also to all the terms, conditions, agreements, covenants, exceptions and reservations expressed or provided in the deeds or other instruments respectively under and by virtue of which the Company acquired the properties hereinabove described and to undetermined liens and charges, if any, incidental to construction or other existing permitted liens as defined in Article I of the Original Indenture; </w:t>
      </w:r>
    </w:p>
    <w:p>
      <w:pPr>
        <w:pStyle w:val="TextBody"/>
        <w:bidi w:val="0"/>
        <w:spacing w:before="240" w:after="0"/>
        <w:jc w:val="left"/>
        <w:rPr>
          <w:rFonts w:ascii="Times New Roman" w:hAnsi="Times New Roman"/>
          <w:sz w:val="20"/>
        </w:rPr>
      </w:pPr>
      <w:r>
        <w:rPr>
          <w:rFonts w:ascii="Times New Roman" w:hAnsi="Times New Roman"/>
          <w:sz w:val="20"/>
        </w:rPr>
        <w:t xml:space="preserve">IN TRUST, NEVERTHELESS, upon the terms and trusts in the Original Indenture, and the indentures supplemental thereto, including this Supplemental Indenture, set forth, for the equal and proportionate benefit and security of all present and future holders of the Bonds and coupons issued and to be issued thereunder, or any of them, without preference of any of said Bonds and coupons of any particular series over the Bonds and coupons of any other series by reason of priority in the time of issue, sale or negotiation thereof, or by reason of the purpose of issue or otherwise howsoever, except as otherwise provided in Section 2 of Article IV of the Original Indenture. </w:t>
      </w:r>
    </w:p>
    <w:p>
      <w:pPr>
        <w:pStyle w:val="TextBody"/>
        <w:bidi w:val="0"/>
        <w:spacing w:before="240" w:after="0"/>
        <w:jc w:val="left"/>
        <w:rPr>
          <w:rFonts w:ascii="Times New Roman" w:hAnsi="Times New Roman"/>
          <w:sz w:val="20"/>
        </w:rPr>
      </w:pPr>
      <w:r>
        <w:rPr>
          <w:rFonts w:ascii="Times New Roman" w:hAnsi="Times New Roman"/>
          <w:sz w:val="20"/>
        </w:rPr>
        <w:t xml:space="preserve">AND IT IS HEREBY COVENANTED, DECLARED AND AGREED, by and between the parties hereto for the benefit of those who shall hold the Bonds and coupons, or any of them, to be issued under the Indenture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rPr>
      </w:pPr>
      <w:r>
        <w:rPr>
          <w:rFonts w:ascii="Times New Roman" w:hAnsi="Times New Roman"/>
          <w:sz w:val="20"/>
        </w:rPr>
        <w:t xml:space="preserve">DESCRIPTION OF BONDS OF THE 5.300% SERIES DUE 2036 </w:t>
      </w:r>
    </w:p>
    <w:p>
      <w:pPr>
        <w:pStyle w:val="TextBody"/>
        <w:bidi w:val="0"/>
        <w:spacing w:before="240" w:after="0"/>
        <w:jc w:val="left"/>
        <w:rPr>
          <w:rFonts w:ascii="Times New Roman" w:hAnsi="Times New Roman"/>
          <w:sz w:val="20"/>
        </w:rPr>
      </w:pPr>
      <w:r>
        <w:rPr>
          <w:rFonts w:ascii="Times New Roman" w:hAnsi="Times New Roman"/>
          <w:sz w:val="20"/>
        </w:rPr>
        <w:t>Section 1. </w:t>
      </w:r>
      <w:r>
        <w:rPr>
          <w:rFonts w:ascii="Times New Roman" w:hAnsi="Times New Roman"/>
          <w:i/>
          <w:sz w:val="20"/>
        </w:rPr>
        <w:t>General</w:t>
      </w:r>
      <w:r>
        <w:rPr>
          <w:rFonts w:ascii="Times New Roman" w:hAnsi="Times New Roman"/>
          <w:sz w:val="20"/>
        </w:rPr>
        <w:t> </w:t>
      </w:r>
      <w:r>
        <w:rPr>
          <w:rFonts w:ascii="Times New Roman" w:hAnsi="Times New Roman"/>
          <w:i/>
          <w:sz w:val="20"/>
        </w:rPr>
        <w:t xml:space="preserve">Description of Bonds of the 5.300% Series due 2036. </w:t>
      </w:r>
      <w:r>
        <w:rPr>
          <w:rFonts w:ascii="Times New Roman" w:hAnsi="Times New Roman"/>
          <w:sz w:val="20"/>
        </w:rPr>
        <w:t xml:space="preserve">The Bonds of the 5.300% Series due 2036 to be executed, authenticated and delivered under and secured by the Original Indenture shall be designated as “First Mortgage Bonds, 5.300% Series due 2036” of the Company. The Bonds of the 5.300% Series due 2036 shall be executed, authenticated and delivered in accordance with the provisions of, and shall in all respects be subject to, all of the terms, conditions and covenants of the Indenture and subject to all the terms, conditions and covenants of this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Bonds of the 5.300% Series due 2036 shall mature on July 1, 2036 and shall bear interest at the rate of 5.300 percent (5.300%) per annum payable semi-annually on the first day of January and July in each year, commencing January 1, 2027. Every Bond of the 5.300% Series due 2036 shall be dated the date of authentication of such Bond except that, notwithstanding the provisions of Section 6 of Article II of the Original Indenture, if any Bond of the 5.300% Series due 2036 shall be authenticated at any time subsequent to the record date (as hereinafter in this Section defined) for any interest payment date but prior to the day following such interest payment date, it shall be dated as of the day following such interest payment date,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if at the time of authentication of any Bond of the 5.300% Series due 2036 interest shall be in default on any Bonds of the 5.300% Series due 2036, such Bond shall be dated as of the day following the interest payment date to which interest has previously been paid in full or made available for payment in full on outstanding Bonds of the 5.300% Series due 2036, as the case may be, or, if no interest has been paid or made available for payment, as of the date of initial authentication and delivery of such Bond. Every Bond of the 5.300% Series due 2036 shall bear interest from the January 1 or July 1 immediately preceding the date thereof, unless such Bond shall be dated prior to January 1, 2027, in which case it shall bear interest from July 1, 2026. </w:t>
      </w:r>
    </w:p>
    <w:p>
      <w:pPr>
        <w:pStyle w:val="TextBody"/>
        <w:bidi w:val="0"/>
        <w:spacing w:before="240" w:after="0"/>
        <w:jc w:val="left"/>
        <w:rPr>
          <w:rFonts w:ascii="Times New Roman" w:hAnsi="Times New Roman"/>
          <w:sz w:val="20"/>
        </w:rPr>
      </w:pPr>
      <w:r>
        <w:rPr>
          <w:rFonts w:ascii="Times New Roman" w:hAnsi="Times New Roman"/>
          <w:sz w:val="20"/>
        </w:rPr>
        <w:t>The person in whose name any Bond of the 5.300% Series due 2036 is registered at the close of business on any record date with regard to any interest payment date shall be entitled to receive the interest payable thereon on such interest payment date notwithstanding the cancellation of such Bond upon the transfer or exchange thereof subsequent to such record date and prior to the day following such interest payment date, unless the Company shall default in the payment of the interest due on such interest payment date, in which case such defaulted interest shall be paid to the person in whose name such Bond is registered on the date of payment of such defaulted interest. The term “</w:t>
      </w:r>
      <w:r>
        <w:rPr>
          <w:rFonts w:ascii="Times New Roman" w:hAnsi="Times New Roman"/>
          <w:b/>
          <w:sz w:val="20"/>
        </w:rPr>
        <w:t>record date</w:t>
      </w:r>
      <w:r>
        <w:rPr>
          <w:rFonts w:ascii="Times New Roman" w:hAnsi="Times New Roman"/>
          <w:sz w:val="20"/>
        </w:rPr>
        <w:t xml:space="preserve">” as used in this Section with regard to any January 1 and July 1 interest payment date shall mean the close of business on (i) the Business Day immediately preceding such interest payment date for so long as all of the Bonds of the 5.300% Series due 2036 remain in book-entry only form or (ii) the fifteenth calendar day immediately preceding each interest payment date if any of the Bonds do not remain in book-entry only form. The Bonds of the 5.300% Series due 2036 shall be payable as to principal, premium, if any, and interest, in any coin or currency of the United States of America which at the time of payment is legal tender for public and private debts, at the agency of the Company in the City of Chicago, Illinois, or at the option of the holder thereof at the agency of the Company in the Borough of Manhattan, The City of New York, </w:t>
      </w:r>
      <w:r>
        <w:rPr>
          <w:rFonts w:ascii="Times New Roman" w:hAnsi="Times New Roman"/>
          <w:i/>
          <w:sz w:val="20"/>
        </w:rPr>
        <w:t>provided</w:t>
      </w:r>
      <w:r>
        <w:rPr>
          <w:rFonts w:ascii="Times New Roman" w:hAnsi="Times New Roman"/>
          <w:sz w:val="20"/>
        </w:rPr>
        <w:t xml:space="preserve"> that at the option of the Company interest may be paid by check mailed to the holder at such holder’s registered address.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2. </w:t>
      </w:r>
      <w:r>
        <w:rPr>
          <w:rFonts w:ascii="Times New Roman" w:hAnsi="Times New Roman"/>
          <w:i/>
          <w:sz w:val="20"/>
        </w:rPr>
        <w:t>Denominations</w:t>
      </w:r>
      <w:r>
        <w:rPr>
          <w:rFonts w:ascii="Times New Roman" w:hAnsi="Times New Roman"/>
          <w:sz w:val="20"/>
        </w:rPr>
        <w:t> </w:t>
      </w:r>
      <w:r>
        <w:rPr>
          <w:rFonts w:ascii="Times New Roman" w:hAnsi="Times New Roman"/>
          <w:i/>
          <w:sz w:val="20"/>
        </w:rPr>
        <w:t xml:space="preserve">of Bonds of the 5.300% Series due 2036 and Privilege of Exchange. </w:t>
      </w:r>
      <w:r>
        <w:rPr>
          <w:rFonts w:ascii="Times New Roman" w:hAnsi="Times New Roman"/>
          <w:sz w:val="20"/>
        </w:rPr>
        <w:t xml:space="preserve">The Bonds of the 5.300% Series due 2036 shall be registered bonds without coupons in minimum denominations of $2,000 and in integral multiples of $1,000 in excess thereof, numbered consecutively from R-1. Bonds of the 5.300% Series due 2036 may each be interchanged for other Bonds within the same Series in authorized denominations and in the same aggregate principal amounts, without charge, except for any tax or governmental charge imposed in connection with such interchange. </w:t>
      </w:r>
    </w:p>
    <w:p>
      <w:pPr>
        <w:pStyle w:val="TextBody"/>
        <w:bidi w:val="0"/>
        <w:spacing w:before="240" w:after="0"/>
        <w:jc w:val="left"/>
        <w:rPr>
          <w:rFonts w:ascii="Times New Roman" w:hAnsi="Times New Roman"/>
          <w:sz w:val="20"/>
        </w:rPr>
      </w:pPr>
      <w:r>
        <w:rPr>
          <w:rFonts w:ascii="Times New Roman" w:hAnsi="Times New Roman"/>
          <w:sz w:val="20"/>
        </w:rPr>
        <w:t>Section 3. </w:t>
      </w:r>
      <w:r>
        <w:rPr>
          <w:rFonts w:ascii="Times New Roman" w:hAnsi="Times New Roman"/>
          <w:i/>
          <w:sz w:val="20"/>
        </w:rPr>
        <w:t>Form</w:t>
      </w:r>
      <w:r>
        <w:rPr>
          <w:rFonts w:ascii="Times New Roman" w:hAnsi="Times New Roman"/>
          <w:sz w:val="20"/>
        </w:rPr>
        <w:t> </w:t>
      </w:r>
      <w:r>
        <w:rPr>
          <w:rFonts w:ascii="Times New Roman" w:hAnsi="Times New Roman"/>
          <w:i/>
          <w:sz w:val="20"/>
        </w:rPr>
        <w:t xml:space="preserve">of Bonds of the 5.300% Series due 2036. </w:t>
      </w:r>
      <w:r>
        <w:rPr>
          <w:rFonts w:ascii="Times New Roman" w:hAnsi="Times New Roman"/>
          <w:sz w:val="20"/>
        </w:rPr>
        <w:t xml:space="preserve">The Bonds of the 5.300% Series due 2036, and the Trustee’s Certificate with respect thereto, shall be substantially in the following forms, respectively: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Form of Bond appears on following page]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[FORM OF LEGEND FOR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OR ANY SUPPLEMENT THERETO. </w:t>
      </w:r>
    </w:p>
    <w:p>
      <w:pPr>
        <w:pStyle w:val="TextBody"/>
        <w:bidi w:val="0"/>
        <w:spacing w:before="240" w:after="0"/>
        <w:jc w:val="left"/>
        <w:rPr>
          <w:rFonts w:ascii="Times New Roman" w:hAnsi="Times New Roman"/>
          <w:sz w:val="20"/>
        </w:rPr>
      </w:pPr>
      <w:r>
        <w:rPr>
          <w:rFonts w:ascii="Times New Roman" w:hAnsi="Times New Roman"/>
          <w:sz w:val="20"/>
        </w:rPr>
        <w:t xml:space="preserve">UNLESS THIS SECURITY IS PRESENTED BY AN AUTHORIZED REPRESENTATIVE OF THE DEPOSITORY TRUST COMPANY (570 WASHINGTON BLVD., JERSEY CITY, NEW JERSEY) TO THE ISSUER OR ITS AGENT FOR REGISTRATION OF TRANSFER, EXCHANGE OR PAYMENT AND ANY SECURITY ISSUED IS REGISTERED IN THE NAME OF CEDE &amp; CO. OR SUCH OTHER NAME AS REQUESTED BY AN AUTHORIZED REPRESENTATIVE OF THE DEPOSITORY TRUST COMPANY AND ANY PAYMENT HEREON IS MADE TO CEDE &amp; CO., ANY TRANSFER, PLEDGE OR OTHER USE HEREOF FOR VALUE OR OTHERWISE BY OR TO A PERSON IS WRONGFUL SINCE THE REGISTERED OWNER HEREOF, CEDE &amp; CO., HAS AN INTEREST HEREIN. </w:t>
      </w:r>
    </w:p>
    <w:p>
      <w:pPr>
        <w:pStyle w:val="TextBody"/>
        <w:bidi w:val="0"/>
        <w:spacing w:before="240" w:after="0"/>
        <w:jc w:val="right"/>
        <w:rPr>
          <w:rFonts w:ascii="Times New Roman" w:hAnsi="Times New Roman"/>
          <w:sz w:val="20"/>
        </w:rPr>
      </w:pPr>
      <w:r>
        <w:rPr>
          <w:rFonts w:ascii="Times New Roman" w:hAnsi="Times New Roman"/>
          <w:sz w:val="20"/>
        </w:rPr>
        <w:t xml:space="preserve">CUSIP 30036F AF8 </w:t>
      </w:r>
    </w:p>
    <w:p>
      <w:pPr>
        <w:pStyle w:val="TextBody"/>
        <w:bidi w:val="0"/>
        <w:spacing w:before="240" w:after="0"/>
        <w:jc w:val="center"/>
        <w:rPr>
          <w:rFonts w:ascii="Times New Roman" w:hAnsi="Times New Roman"/>
          <w:sz w:val="20"/>
        </w:rPr>
      </w:pPr>
      <w:r>
        <w:rPr>
          <w:rFonts w:ascii="Times New Roman" w:hAnsi="Times New Roman"/>
          <w:sz w:val="20"/>
        </w:rPr>
        <w:t xml:space="preserve">EVERGY KANSAS CENTRAL, INC. </w:t>
      </w:r>
    </w:p>
    <w:p>
      <w:pPr>
        <w:pStyle w:val="TextBody"/>
        <w:bidi w:val="0"/>
        <w:spacing w:before="240" w:after="0"/>
        <w:jc w:val="center"/>
        <w:rPr>
          <w:rFonts w:ascii="Times New Roman" w:hAnsi="Times New Roman"/>
          <w:sz w:val="20"/>
        </w:rPr>
      </w:pPr>
      <w:r>
        <w:rPr>
          <w:rFonts w:ascii="Times New Roman" w:hAnsi="Times New Roman"/>
          <w:sz w:val="20"/>
        </w:rPr>
        <w:t xml:space="preserve">(Incorporated under the laws of the State of Kansas) </w:t>
      </w:r>
    </w:p>
    <w:p>
      <w:pPr>
        <w:pStyle w:val="TextBody"/>
        <w:bidi w:val="0"/>
        <w:spacing w:before="240" w:after="0"/>
        <w:jc w:val="center"/>
        <w:rPr>
          <w:rFonts w:ascii="Times New Roman" w:hAnsi="Times New Roman"/>
          <w:sz w:val="20"/>
        </w:rPr>
      </w:pPr>
      <w:r>
        <w:rPr>
          <w:rFonts w:ascii="Times New Roman" w:hAnsi="Times New Roman"/>
          <w:sz w:val="20"/>
        </w:rPr>
        <w:t xml:space="preserve">FIRST MORTGAGE BOND, 5.300% SERIES DUE 2036 </w:t>
      </w:r>
    </w:p>
    <w:p>
      <w:pPr>
        <w:pStyle w:val="TextBody"/>
        <w:bidi w:val="0"/>
        <w:spacing w:before="240" w:after="0"/>
        <w:jc w:val="center"/>
        <w:rPr>
          <w:rFonts w:ascii="Times New Roman" w:hAnsi="Times New Roman"/>
          <w:sz w:val="20"/>
        </w:rPr>
      </w:pPr>
      <w:r>
        <w:rPr>
          <w:rFonts w:ascii="Times New Roman" w:hAnsi="Times New Roman"/>
          <w:sz w:val="20"/>
        </w:rPr>
        <w:t xml:space="preserve">DUE JULY 1, 2036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8"/>
        <w:gridCol w:w="120"/>
        <w:gridCol w:w="4967"/>
      </w:tblGrid>
      <w:tr>
        <w:trPr/>
        <w:tc>
          <w:tcPr>
            <w:tcW w:w="511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67" w:type="dxa"/>
            <w:tcBorders/>
            <w:vAlign w:val="center"/>
          </w:tcPr>
          <w:p>
            <w:pPr>
              <w:pStyle w:val="TableContents"/>
              <w:bidi w:val="0"/>
              <w:spacing w:before="0" w:after="283"/>
              <w:jc w:val="left"/>
              <w:rPr>
                <w:sz w:val="4"/>
                <w:szCs w:val="4"/>
              </w:rPr>
            </w:pPr>
            <w:r>
              <w:rPr>
                <w:sz w:val="4"/>
                <w:szCs w:val="4"/>
              </w:rPr>
            </w:r>
          </w:p>
        </w:tc>
      </w:tr>
      <w:tr>
        <w:trPr/>
        <w:tc>
          <w:tcPr>
            <w:tcW w:w="5118" w:type="dxa"/>
            <w:tcBorders/>
          </w:tcPr>
          <w:p>
            <w:pPr>
              <w:pStyle w:val="TableContents"/>
              <w:bidi w:val="0"/>
              <w:spacing w:before="0" w:after="283"/>
              <w:jc w:val="left"/>
              <w:rPr/>
            </w:pPr>
            <w:r>
              <w:rPr/>
              <w:t>No. R-1    </w:t>
            </w:r>
          </w:p>
        </w:tc>
        <w:tc>
          <w:tcPr>
            <w:tcW w:w="120" w:type="dxa"/>
            <w:tcBorders/>
            <w:vAlign w:val="bottom"/>
          </w:tcPr>
          <w:p>
            <w:pPr>
              <w:pStyle w:val="TableContents"/>
              <w:bidi w:val="0"/>
              <w:spacing w:before="0" w:after="283"/>
              <w:jc w:val="left"/>
              <w:rPr/>
            </w:pPr>
            <w:r>
              <w:rPr/>
              <w:t>  </w:t>
            </w:r>
          </w:p>
        </w:tc>
        <w:tc>
          <w:tcPr>
            <w:tcW w:w="4967" w:type="dxa"/>
            <w:tcBorders/>
          </w:tcPr>
          <w:p>
            <w:pPr>
              <w:pStyle w:val="TableContents"/>
              <w:bidi w:val="0"/>
              <w:spacing w:before="0" w:after="283"/>
              <w:jc w:val="right"/>
              <w:rPr/>
            </w:pPr>
            <w:r>
              <w:rPr/>
              <w:t>$[ ],000,000.00</w:t>
            </w:r>
          </w:p>
        </w:tc>
      </w:tr>
    </w:tbl>
    <w:p>
      <w:pPr>
        <w:pStyle w:val="TextBody"/>
        <w:bidi w:val="0"/>
        <w:spacing w:before="240" w:after="0"/>
        <w:jc w:val="left"/>
        <w:rPr>
          <w:rFonts w:ascii="Times New Roman" w:hAnsi="Times New Roman"/>
          <w:sz w:val="20"/>
        </w:rPr>
      </w:pPr>
      <w:r>
        <w:rPr>
          <w:rFonts w:ascii="Times New Roman" w:hAnsi="Times New Roman"/>
          <w:sz w:val="20"/>
        </w:rPr>
        <w:t>EVERGY KANSAS CENTRAL, INC., a corporation organized and existing under the laws of the State of Kansas (hereinafter called the “</w:t>
      </w:r>
      <w:r>
        <w:rPr>
          <w:rFonts w:ascii="Times New Roman" w:hAnsi="Times New Roman"/>
          <w:b/>
          <w:sz w:val="20"/>
        </w:rPr>
        <w:t>Company</w:t>
      </w:r>
      <w:r>
        <w:rPr>
          <w:rFonts w:ascii="Times New Roman" w:hAnsi="Times New Roman"/>
          <w:sz w:val="20"/>
        </w:rPr>
        <w:t xml:space="preserve">”, which term shall include any successor corporation as defined in the Indenture hereinafter referred to), for value received, hereby promises to pay to CEDE &amp; CO. or registered assigns, on the first day of July, 2036, the principal sum of [    ] MILLION DOLLARS ($[ ],000,000.00) in any coin or currency of the United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States of America which at the time of payment is legal tender for public and private debts, and to pay interest thereon in like coin or currency from the first day of January and July immediately preceding the date of this Bond, unless such Bond shall be dated prior to January 1, 2027, in which case from July 1, 2026 at the rate of 5.300 percent (5.300%) per annum, payable semi-annually, on January 1 and July 1 of each year, commencing January 1, 2027, until maturity, or, if this Bond shall be duly called for redemption or submitted for repurchase, until the redemption date or repurchase date, as the case may be, or, if the Company shall default in the payment of the principal or premium hereof, until the Company’s obligation with respect to the payment of such principal or premium shall be discharged as provided in the Indenture hereinafter mentioned. The interest payable on any January 1 or July 1 interest payment date as aforesaid will be paid to the person in whose name this Bond is registered at the close of business on the record date for the interest payment date, which will be the close of business on (i) the Business Day immediately preceding such interest payment date for so as long as this Bond remains in book-entry only form or (ii) the fifteenth calendar day immediately preceding each interest payment date if this Bond does not remain in book-entry only form (the “</w:t>
      </w:r>
      <w:r>
        <w:rPr>
          <w:rFonts w:ascii="Times New Roman" w:hAnsi="Times New Roman"/>
          <w:b/>
          <w:sz w:val="20"/>
        </w:rPr>
        <w:t>record date</w:t>
      </w:r>
      <w:r>
        <w:rPr>
          <w:rFonts w:ascii="Times New Roman" w:hAnsi="Times New Roman"/>
          <w:sz w:val="20"/>
        </w:rPr>
        <w:t xml:space="preserve">”), unless the Company shall default in the payment of the interest due on such interest payment date, in which case such defaulted interest shall be paid to the person in whose name this Bond is registered on the date of payment of such defaulted interest. Principal of, premium, if any, and interest on, this Bond are payable at the agency of the Company in the City of Chicago, Illinois in immediately available funds, or at the option of the holder thereof at the agency of the Company in the Borough of Manhattan, The City of New York, provided that at the option of the Company interest may be paid by check mailed to the holder at such holder’s registered address. </w:t>
      </w:r>
    </w:p>
    <w:p>
      <w:pPr>
        <w:pStyle w:val="TextBody"/>
        <w:bidi w:val="0"/>
        <w:spacing w:before="240" w:after="0"/>
        <w:jc w:val="left"/>
        <w:rPr>
          <w:rFonts w:ascii="Times New Roman" w:hAnsi="Times New Roman"/>
          <w:sz w:val="20"/>
        </w:rPr>
      </w:pPr>
      <w:r>
        <w:rPr>
          <w:rFonts w:ascii="Times New Roman" w:hAnsi="Times New Roman"/>
          <w:sz w:val="20"/>
        </w:rPr>
        <w:t>This Bond is one of a duly authorized issue of Bonds of the Company (herein called the “</w:t>
      </w:r>
      <w:r>
        <w:rPr>
          <w:rFonts w:ascii="Times New Roman" w:hAnsi="Times New Roman"/>
          <w:b/>
          <w:sz w:val="20"/>
        </w:rPr>
        <w:t>Bonds</w:t>
      </w:r>
      <w:r>
        <w:rPr>
          <w:rFonts w:ascii="Times New Roman" w:hAnsi="Times New Roman"/>
          <w:sz w:val="20"/>
        </w:rPr>
        <w:t>”), in unlimited aggregate principal amount, of the series hereinafter specified, all issued and to be issued under and equally and ratably secured by a Mortgage and Deed of Trust, dated July 1, 1939 (the “</w:t>
      </w:r>
      <w:r>
        <w:rPr>
          <w:rFonts w:ascii="Times New Roman" w:hAnsi="Times New Roman"/>
          <w:b/>
          <w:sz w:val="20"/>
        </w:rPr>
        <w:t>Original Mortgage</w:t>
      </w:r>
      <w:r>
        <w:rPr>
          <w:rFonts w:ascii="Times New Roman" w:hAnsi="Times New Roman"/>
          <w:sz w:val="20"/>
        </w:rPr>
        <w:t>”), executed by the Company to The Bank of New York Mellon Trust Company, N.A. (herein called the “</w:t>
      </w:r>
      <w:r>
        <w:rPr>
          <w:rFonts w:ascii="Times New Roman" w:hAnsi="Times New Roman"/>
          <w:b/>
          <w:sz w:val="20"/>
        </w:rPr>
        <w:t>Trustee</w:t>
      </w:r>
      <w:r>
        <w:rPr>
          <w:rFonts w:ascii="Times New Roman" w:hAnsi="Times New Roman"/>
          <w:sz w:val="20"/>
        </w:rPr>
        <w:t>”), as Trustee (as successor to Harris Trust and Savings Bank), as amended by indentures supplemental thereto including the Fifty-Fifth indenture supplemental thereto dated as of July 1, 2026 (herein called the “</w:t>
      </w:r>
      <w:r>
        <w:rPr>
          <w:rFonts w:ascii="Times New Roman" w:hAnsi="Times New Roman"/>
          <w:b/>
          <w:sz w:val="20"/>
        </w:rPr>
        <w:t>Supplemental Indenture</w:t>
      </w:r>
      <w:r>
        <w:rPr>
          <w:rFonts w:ascii="Times New Roman" w:hAnsi="Times New Roman"/>
          <w:sz w:val="20"/>
        </w:rPr>
        <w:t>”), between the Company and the Trustee (said Original Mortgage, as so amended, being herein called the “</w:t>
      </w:r>
      <w:r>
        <w:rPr>
          <w:rFonts w:ascii="Times New Roman" w:hAnsi="Times New Roman"/>
          <w:b/>
          <w:sz w:val="20"/>
        </w:rPr>
        <w:t>Indenture</w:t>
      </w:r>
      <w:r>
        <w:rPr>
          <w:rFonts w:ascii="Times New Roman" w:hAnsi="Times New Roman"/>
          <w:sz w:val="20"/>
        </w:rPr>
        <w:t>”), to which Indenture and all indentures supplemental thereto reference is hereby made for a description of the properties mortgaged and pledged, the nature and extent of the security, the rights of the bearers or registered owners of the Bonds and of the Trustee in respect thereto, and the terms and conditions upon which the Bonds are, and are to be, secured. The Bonds may be issued in series, for various principal sums, may mature at different times, may bear interest at different rates and may otherwise vary as in the Indenture provided. This Bond is one of a series designated as the “First Mortgage Bonds, 5.300% Series due 2036” (herein called “</w:t>
      </w:r>
      <w:r>
        <w:rPr>
          <w:rFonts w:ascii="Times New Roman" w:hAnsi="Times New Roman"/>
          <w:b/>
          <w:sz w:val="20"/>
        </w:rPr>
        <w:t>Bonds of the 5.300% Series due 2036</w:t>
      </w:r>
      <w:r>
        <w:rPr>
          <w:rFonts w:ascii="Times New Roman" w:hAnsi="Times New Roman"/>
          <w:sz w:val="20"/>
        </w:rPr>
        <w:t xml:space="preserve">”) of the Company, issued under and secured by the Indenture executed by the Company to the Trustee. Additional Bonds of the 5.300% Series due 2036 may be issued, at the option of the Company, without the consent of any holder of the Bonds of the 5.300% Series due 2036, at any time and from time to time in unlimited aggregate principal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the extent permitted by, and as provided in the Indenture, modifications or alterations of the Indenture or of any indenture supplemental thereto, and of the rights and obligations of the Company and of the holders of the Bonds and coupons, may be made with the consent of the Company by an affirmative vote of not less than 60% in principal amount of the Bonds entitled to vote then outstanding, at a meeting of holders of the Bonds called and held as provided in the Indenture, and by an affirmative vote of not less than 60% in principal amount of the Bonds of any series entitled to vote then outstanding and affected by such modification or alteration, in case one or more but less than all of the series of Bonds then outstanding under the Indenture are so affected. No modification or alteration shall be made which will affect the terms of payment of the principal of or premium, if any, or interest on, this Bond, which are unconditional. The Company has reserved the right to make certain amendments to the Indenture, without any consent or other action by holders of the Bonds of this series to the extent necessary from time to time to qualify the Indenture under the Trust Indenture Act of 1939 and to make certain other amendments, all as more fully provided in the Indenture and in the Supplemental Indenture. </w:t>
      </w:r>
    </w:p>
    <w:p>
      <w:pPr>
        <w:pStyle w:val="TextBody"/>
        <w:bidi w:val="0"/>
        <w:spacing w:before="240" w:after="0"/>
        <w:jc w:val="left"/>
        <w:rPr>
          <w:rFonts w:ascii="Times New Roman" w:hAnsi="Times New Roman"/>
          <w:sz w:val="20"/>
        </w:rPr>
      </w:pPr>
      <w:r>
        <w:rPr>
          <w:rFonts w:ascii="Times New Roman" w:hAnsi="Times New Roman"/>
          <w:sz w:val="20"/>
        </w:rPr>
        <w:t>This Bond is subject to redemption by the Company, prior to April 1, 2036 (the “</w:t>
      </w:r>
      <w:r>
        <w:rPr>
          <w:rFonts w:ascii="Times New Roman" w:hAnsi="Times New Roman"/>
          <w:b/>
          <w:sz w:val="20"/>
        </w:rPr>
        <w:t>Par Call Date</w:t>
      </w:r>
      <w:r>
        <w:rPr>
          <w:rFonts w:ascii="Times New Roman" w:hAnsi="Times New Roman"/>
          <w:sz w:val="20"/>
        </w:rPr>
        <w:t xml:space="preserve">”) at its option, in whole or in part, at any time and from time to time, at a redemption price (expressed as a percentage of principal amount and rounded to three decimals) equal to the greater of: (1)(a) the sum of present values of the remaining scheduled payments of principal and interest thereon discounted to the redemption date (assuming the Bonds matured on the Par Call Date) on a semi-annual basis (assuming a 360-day year consisting of twelve 30-day months) at the Treasury Rate applicable to the Bond plus 15 basis points less (b) interest accrued to the redemption date; and (2) 100% of the principal amount of the Bond to be redeemed, plus, in either case,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This Bond is subject to redemption by the Company on or after Par Call Date at its option, in whole or in part, at any time and from time to time, at a redemption price equal to 100% of the principal amount of the Bond to be redeemed, plus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optional redemption provisions, the following term has the following meaning: </w:t>
      </w:r>
    </w:p>
    <w:p>
      <w:pPr>
        <w:pStyle w:val="TextBody"/>
        <w:bidi w:val="0"/>
        <w:spacing w:before="240" w:after="0"/>
        <w:jc w:val="left"/>
        <w:rPr/>
      </w:pPr>
      <w:r>
        <w:rPr/>
        <w:t>“</w:t>
      </w:r>
      <w:r>
        <w:rPr>
          <w:rFonts w:ascii="Times New Roman" w:hAnsi="Times New Roman"/>
          <w:b/>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b/>
          <w:sz w:val="20"/>
        </w:rPr>
        <w:t>H.15</w:t>
      </w:r>
      <w:r>
        <w:rPr>
          <w:rFonts w:ascii="Times New Roman" w:hAnsi="Times New Roman"/>
          <w:sz w:val="20"/>
        </w:rPr>
        <w:t>”) under the caption “U.S. government securities—Treasury constant maturities — Nominal” (or any successor caption or heading) (“</w:t>
      </w:r>
      <w:r>
        <w:rPr>
          <w:rFonts w:ascii="Times New Roman" w:hAnsi="Times New Roman"/>
          <w:b/>
          <w:sz w:val="20"/>
        </w:rPr>
        <w:t>H.15 TCM</w:t>
      </w:r>
      <w:r>
        <w:rPr>
          <w:rFonts w:ascii="Times New Roman" w:hAnsi="Times New Roman"/>
          <w:sz w:val="20"/>
        </w:rPr>
        <w:t xml:space="preserve">”). In determining the Treasury Rate, the Company shall select,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yield for the Treasury constant maturity on H.15 exactly equal to the period from the redemption date to the Par Call Date (the “</w:t>
            </w:r>
            <w:r>
              <w:rPr>
                <w:rFonts w:ascii="Times New Roman" w:hAnsi="Times New Roman"/>
                <w:b/>
                <w:sz w:val="20"/>
              </w:rPr>
              <w:t>Remaining Life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no such Treasury constant maturity on H.15 shorter than or longer than the Remaining Life, the yield for the single Treasury constant maturity on H.15 closest to the Remaining Life. For purposes of this clause, the applicable Treasury constant maturity or maturities on H.15 shall be deemed to have a maturity date equal to the relevant number of months or years, as applicable, of such Treasury constant maturity from the redemption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This Bond is subject to redemption by the Company, in whole but not in part, at the option of the Company, at a redemption price equal to 101% of the principal amount of the Bonds being redeemed, plus accrued and unpaid interest to, but excluding, the redemption date, if a Tax Credit Event occurs. </w:t>
      </w:r>
    </w:p>
    <w:p>
      <w:pPr>
        <w:pStyle w:val="TextBody"/>
        <w:bidi w:val="0"/>
        <w:spacing w:before="240" w:after="0"/>
        <w:jc w:val="left"/>
        <w:rPr>
          <w:rFonts w:ascii="Times New Roman" w:hAnsi="Times New Roman"/>
          <w:sz w:val="20"/>
        </w:rPr>
      </w:pPr>
      <w:r>
        <w:rPr>
          <w:rFonts w:ascii="Times New Roman" w:hAnsi="Times New Roman"/>
          <w:sz w:val="20"/>
        </w:rPr>
        <w:t xml:space="preserve">Any notice of redemption of this Bond upon the occurrence of a Tax Credit Event (a) may only be sent by the later of (i) the end of the calendar year in which the Bonds of the 5.300% Series due 2036 were issued and (ii) six months from the date of issuance of the Bonds of the 5.300% Series due 2036 and (b) shall be accompanied by an Officers’ Certificate stating that such Tax Credit Event has occurred. </w:t>
      </w:r>
    </w:p>
    <w:p>
      <w:pPr>
        <w:pStyle w:val="TextBody"/>
        <w:bidi w:val="0"/>
        <w:spacing w:before="240" w:after="0"/>
        <w:jc w:val="left"/>
        <w:rPr>
          <w:rFonts w:ascii="Times New Roman" w:hAnsi="Times New Roman"/>
          <w:sz w:val="20"/>
        </w:rPr>
      </w:pPr>
      <w:r>
        <w:rPr>
          <w:rFonts w:ascii="Times New Roman" w:hAnsi="Times New Roman"/>
          <w:sz w:val="20"/>
        </w:rPr>
        <w:t xml:space="preserve">A “Tax Credit Event” occurs if, in the Company’s reasonable determination, there exists a material risk, due to the Bonds of the 5.300% Series due 2036 (considered together with other debt) having been issued, as part of an original issuance, to one or more “specified foreign entities,” as defined in Section 7701(a)(51)(B) of the Internal Revenue Code of 1986, as amended (the “Code”), that the Company or any of its affiliates would be unable to utilize or otherwise ineligible to claim any tax credits otherwise allowed under Section 38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consummation of a redemption upon a Tax Credit Event may be subject to the Trustee’s receipt of the required redemption moneys on or before the redemption date (and in such case no such redemption shall occur unless such moneys have been received by the Trustee on or before such date).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obligation or duty whatsoever to determine, or to verify the Company’s calculations of,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Such redemption in every case shall be effected upon notice given: (1) at least ten days and not more than sixty days prior to the redemption date, to the registered owners of such Bonds at their addresses as the same shall appear on the transfer register of the Company; and (2) stating, among other things, the redemption price (or if not then ascertainable, the manner of calculation thereof) and date, in each case, subject to the conditions of and as more fully set forth in the Indenture. If less than all of the outstanding Bonds are to be redeemed, the Bonds to be redeemed shall be selected in accordance with the policies and procedures of The Depository Trust Company (or any successor depositary thereto), provided that in the event the Bonds are no longer held in the global form, the Bonds to be redeemed shall be selected by the Trustee by lot.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so long as there is no existing default in the payment on the Bonds of the 5.300% Series due 2036, installments of interest on the Bonds of the 5.300% Series due 2036 that are due and payable on an interest payment date falling on or prior to a redemption date shall be payable on such interest payment date to the registered owners of the Bonds of the 5.300% Series due 2036 as of the close of business on the relevant record date according to the Bonds of the 5.300% Series due 2036 and the Indenture, except as and to the extent the Company shall default in the payment of the interest due on such interest payment date, in which case defaulted interest shall be paid to the person in whose name such Bond of the 5.300% Series due 2036 is registered on the date of payment of such defaulted interest. The redemption price will be calculated assuming a 360-day year consisting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A notice of redemption may provide that the optional redemption described in such notice is conditioned upon the occurrence of certain events before the redemption date. Such notice of conditional redemption will be of no effect unless all such conditions to the redemption have occurred before the redemption date or have been waived by the Company. If any of these events fail to occur and are not waived by the Company, the Company will be under no obligation to redeem the Bonds or pay the holders thereof any redemption proceeds, and the Company’s failure to so redeem the Bonds will not be considered a default or event of default under the Indenture. In the event that any of these conditions fail to occur and are not waived by the Company, the Company will promptly notify the Trustee in writing that the conditions precedent to such redemption have failed to occur and the Bonds will not be redeemed.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Bonds or portions of the Bonds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In case an event of default, as defined in the Indenture, shall occur, the principal of all of the Bonds at any such time outstanding under the Indenture may be declared or may become due and payable, upon the conditions and in the manner and with the effect provided in the Indenture. The Indenture provides that such declaration may in certain events be waived by the holders of a majority in principal amount of the Bonds outstanding. </w:t>
      </w:r>
    </w:p>
    <w:p>
      <w:pPr>
        <w:pStyle w:val="TextBody"/>
        <w:bidi w:val="0"/>
        <w:spacing w:before="240" w:after="0"/>
        <w:jc w:val="left"/>
        <w:rPr>
          <w:rFonts w:ascii="Times New Roman" w:hAnsi="Times New Roman"/>
          <w:sz w:val="20"/>
        </w:rPr>
      </w:pPr>
      <w:r>
        <w:rPr>
          <w:rFonts w:ascii="Times New Roman" w:hAnsi="Times New Roman"/>
          <w:sz w:val="20"/>
        </w:rPr>
        <w:t xml:space="preserve">This Bond is transferable by the registered owner hereof, in person or by duly authorized attorney, on the books of the Company to be kept for that purpose at the agency of the Company in the City of Chicago, Illinois, and at the agency of the Company in the Borough of Manhattan, The City of New York, upon surrender and cancellation of this Bond and on presentation of a duly executed written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instrument of transfer, and thereupon a new registered Bond or Bonds of the same series, of the same aggregate principal amount and in authorized denominations will be issued to the transferee or transferees in exchange herefor; and this Bond, with or without others of like form and series, may in like manner be exchanged for one or more new registered Bonds of the same series of other authorized denominations but of the same aggregate principal amount; all upon payment of the charges and subject to the terms and conditions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a successor entity may deliver to the Trustee in substitution for any Bonds of the 5.300% Series due 2036, mortgage bonds or other similar instruments as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preceding sentence, no recourse shall be had for the payment of the principal of or premium, if any, or interest on this Bond, or for any claim based hereon or on the Indenture or any indenture supplemental thereto, against any incorporator, or against any stockholder, director or officer, past, present or future, of the Company, or of any predecessor or successor corporation, as such, either directly or through the Company or any such predecessor or successor corporation, whether by virtue of any constitution, statute or rule of law, or by the enforcement of any assessment or penalty or otherwise, all such liability, whether at common law, in equity, by any constitution, statute or otherwise, of incorporators, stockholders, directors or officers being released by every owner hereof by the acceptance of this Bond and as part of the consideration for the issue hereof, and being likewise released by the terms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No director, officer, employee or stockholder of the Company will have any liability for any obligations of the Company under the Bonds or Indenture or for any claim based on, in respect of, or by reason of, such obligations or their creation. Each holder by accepting a Bond waives and releases all such liability. The waiver and release are part of the consideration for issuance of the Bonds. The waiver may not be effective to waive liabilities under the federal securities laws. It is the view of the Securities and Exchange Commission that this type of waiver is against public policy. </w:t>
      </w:r>
    </w:p>
    <w:p>
      <w:pPr>
        <w:pStyle w:val="TextBody"/>
        <w:bidi w:val="0"/>
        <w:spacing w:before="240" w:after="0"/>
        <w:jc w:val="left"/>
        <w:rPr>
          <w:rFonts w:ascii="Times New Roman" w:hAnsi="Times New Roman"/>
          <w:sz w:val="20"/>
        </w:rPr>
      </w:pPr>
      <w:r>
        <w:rPr>
          <w:rFonts w:ascii="Times New Roman" w:hAnsi="Times New Roman"/>
          <w:sz w:val="20"/>
        </w:rPr>
        <w:t xml:space="preserve">This Bond shall not be entitled to any benefit under the Indenture or any indenture supplemental thereto, or become valid or obligatory for any purpose, until The Bank of New York Mellon Trust Company, N.A., the Trustee (as successor to Harris Trust and Savings Bank) under the Indenture, or a successor trustee thereto under the Indenture, shall have signed the form of certificate endorsed 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EVERGY KANSAS CENTRAL, INC. has caused this Bond to be signed in its name by its Chairman of the Board, President and Chief Executive Officer or a Vice President, manually or electronically, and its corporate seal (or a facsimile thereof) to be hereto affixed and attested by its Secretary or an Assistant Secretary, manually or electronically.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36"/>
        <w:gridCol w:w="127"/>
        <w:gridCol w:w="352"/>
        <w:gridCol w:w="127"/>
        <w:gridCol w:w="929"/>
        <w:gridCol w:w="216"/>
        <w:gridCol w:w="3918"/>
      </w:tblGrid>
      <w:tr>
        <w:trPr/>
        <w:tc>
          <w:tcPr>
            <w:tcW w:w="4536"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sz w:val="4"/>
                <w:szCs w:val="4"/>
              </w:rPr>
            </w:pPr>
            <w:r>
              <w:rPr>
                <w:sz w:val="4"/>
                <w:szCs w:val="4"/>
              </w:rPr>
            </w:r>
          </w:p>
        </w:tc>
        <w:tc>
          <w:tcPr>
            <w:tcW w:w="3918" w:type="dxa"/>
            <w:tcBorders/>
            <w:vAlign w:val="center"/>
          </w:tcPr>
          <w:p>
            <w:pPr>
              <w:pStyle w:val="TableContents"/>
              <w:bidi w:val="0"/>
              <w:spacing w:before="0" w:after="283"/>
              <w:jc w:val="left"/>
              <w:rPr>
                <w:sz w:val="4"/>
                <w:szCs w:val="4"/>
              </w:rPr>
            </w:pPr>
            <w:r>
              <w:rPr>
                <w:sz w:val="4"/>
                <w:szCs w:val="4"/>
              </w:rPr>
            </w:r>
          </w:p>
        </w:tc>
      </w:tr>
      <w:tr>
        <w:trPr/>
        <w:tc>
          <w:tcPr>
            <w:tcW w:w="4536" w:type="dxa"/>
            <w:tcBorders/>
          </w:tcPr>
          <w:p>
            <w:pPr>
              <w:pStyle w:val="TableContents"/>
              <w:bidi w:val="0"/>
              <w:spacing w:before="0" w:after="283"/>
              <w:jc w:val="left"/>
              <w:rPr/>
            </w:pPr>
            <w:r>
              <w:rPr/>
              <w:t>Dated:</w:t>
            </w:r>
          </w:p>
        </w:tc>
        <w:tc>
          <w:tcPr>
            <w:tcW w:w="127" w:type="dxa"/>
            <w:tcBorders/>
            <w:vAlign w:val="bottom"/>
          </w:tcPr>
          <w:p>
            <w:pPr>
              <w:pStyle w:val="TableContents"/>
              <w:bidi w:val="0"/>
              <w:spacing w:before="0" w:after="283"/>
              <w:jc w:val="left"/>
              <w:rPr/>
            </w:pPr>
            <w:r>
              <w:rPr/>
              <w:t> </w:t>
            </w:r>
          </w:p>
        </w:tc>
        <w:tc>
          <w:tcPr>
            <w:tcW w:w="352"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929" w:type="dxa"/>
            <w:tcBorders/>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3918" w:type="dxa"/>
            <w:tcBorders/>
          </w:tcPr>
          <w:p>
            <w:pPr>
              <w:pStyle w:val="TableContents"/>
              <w:bidi w:val="0"/>
              <w:spacing w:before="0" w:after="283"/>
              <w:jc w:val="left"/>
              <w:rPr>
                <w:sz w:val="4"/>
                <w:szCs w:val="4"/>
              </w:rPr>
            </w:pPr>
            <w:r>
              <w:rPr>
                <w:sz w:val="4"/>
                <w:szCs w:val="4"/>
              </w:rPr>
            </w:r>
          </w:p>
        </w:tc>
      </w:tr>
      <w:tr>
        <w:trPr>
          <w:trHeight w:val="240" w:hRule="atLeast"/>
        </w:trPr>
        <w:tc>
          <w:tcPr>
            <w:tcW w:w="4536"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5190" w:type="dxa"/>
            <w:gridSpan w:val="4"/>
            <w:tcBorders/>
            <w:vAlign w:val="center"/>
          </w:tcPr>
          <w:p>
            <w:pPr>
              <w:pStyle w:val="TableContents"/>
              <w:bidi w:val="0"/>
              <w:spacing w:before="0" w:after="283"/>
              <w:jc w:val="left"/>
              <w:rPr>
                <w:sz w:val="4"/>
                <w:szCs w:val="4"/>
              </w:rPr>
            </w:pPr>
            <w:r>
              <w:rPr>
                <w:sz w:val="4"/>
                <w:szCs w:val="4"/>
              </w:rPr>
            </w:r>
          </w:p>
        </w:tc>
      </w:tr>
      <w:tr>
        <w:trPr/>
        <w:tc>
          <w:tcPr>
            <w:tcW w:w="4536"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52"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5063" w:type="dxa"/>
            <w:gridSpan w:val="3"/>
            <w:tcBorders/>
          </w:tcPr>
          <w:p>
            <w:pPr>
              <w:pStyle w:val="TableContents"/>
              <w:bidi w:val="0"/>
              <w:spacing w:before="0" w:after="283"/>
              <w:jc w:val="left"/>
              <w:rPr>
                <w:b/>
              </w:rPr>
            </w:pPr>
            <w:r>
              <w:rPr>
                <w:b/>
              </w:rPr>
              <w:t>EVERGY KANSAS CENTRAL, INC.</w:t>
            </w:r>
          </w:p>
        </w:tc>
      </w:tr>
      <w:tr>
        <w:trPr>
          <w:trHeight w:val="240" w:hRule="atLeast"/>
        </w:trPr>
        <w:tc>
          <w:tcPr>
            <w:tcW w:w="4536"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1056" w:type="dxa"/>
            <w:gridSpan w:val="2"/>
            <w:tcBorders/>
            <w:vAlign w:val="center"/>
          </w:tcPr>
          <w:p>
            <w:pPr>
              <w:pStyle w:val="TableContents"/>
              <w:bidi w:val="0"/>
              <w:spacing w:before="0" w:after="283"/>
              <w:jc w:val="left"/>
              <w:rPr>
                <w:sz w:val="4"/>
                <w:szCs w:val="4"/>
              </w:rPr>
            </w:pPr>
            <w:r>
              <w:rPr>
                <w:sz w:val="4"/>
                <w:szCs w:val="4"/>
              </w:rPr>
            </w:r>
          </w:p>
        </w:tc>
        <w:tc>
          <w:tcPr>
            <w:tcW w:w="4134" w:type="dxa"/>
            <w:gridSpan w:val="2"/>
            <w:tcBorders/>
            <w:vAlign w:val="center"/>
          </w:tcPr>
          <w:p>
            <w:pPr>
              <w:pStyle w:val="TableContents"/>
              <w:bidi w:val="0"/>
              <w:spacing w:before="0" w:after="283"/>
              <w:jc w:val="left"/>
              <w:rPr>
                <w:sz w:val="4"/>
                <w:szCs w:val="4"/>
              </w:rPr>
            </w:pPr>
            <w:r>
              <w:rPr>
                <w:sz w:val="4"/>
                <w:szCs w:val="4"/>
              </w:rPr>
            </w:r>
          </w:p>
        </w:tc>
      </w:tr>
      <w:tr>
        <w:trPr/>
        <w:tc>
          <w:tcPr>
            <w:tcW w:w="4536"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52"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929" w:type="dxa"/>
            <w:tcBorders/>
          </w:tcPr>
          <w:p>
            <w:pPr>
              <w:pStyle w:val="TableContents"/>
              <w:bidi w:val="0"/>
              <w:spacing w:before="0" w:after="283"/>
              <w:jc w:val="left"/>
              <w:rPr/>
            </w:pPr>
            <w:r>
              <w:rPr/>
              <w:t>By:</w:t>
            </w:r>
          </w:p>
        </w:tc>
        <w:tc>
          <w:tcPr>
            <w:tcW w:w="216" w:type="dxa"/>
            <w:tcBorders/>
            <w:vAlign w:val="bottom"/>
          </w:tcPr>
          <w:p>
            <w:pPr>
              <w:pStyle w:val="TableContents"/>
              <w:bidi w:val="0"/>
              <w:spacing w:before="0" w:after="283"/>
              <w:jc w:val="left"/>
              <w:rPr/>
            </w:pPr>
            <w:r>
              <w:rPr/>
              <w:t> </w:t>
            </w:r>
          </w:p>
        </w:tc>
        <w:tc>
          <w:tcPr>
            <w:tcW w:w="3918" w:type="dxa"/>
            <w:tcBorders/>
          </w:tcPr>
          <w:p>
            <w:pPr>
              <w:pStyle w:val="TableContents"/>
              <w:pBdr>
                <w:bottom w:val="single" w:sz="2" w:space="1" w:color="000000"/>
              </w:pBdr>
              <w:bidi w:val="0"/>
              <w:spacing w:before="0" w:after="20"/>
              <w:jc w:val="left"/>
              <w:rPr/>
            </w:pPr>
            <w:r>
              <w:rPr/>
              <w:t> </w:t>
            </w:r>
          </w:p>
        </w:tc>
      </w:tr>
      <w:tr>
        <w:trPr/>
        <w:tc>
          <w:tcPr>
            <w:tcW w:w="4536"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52"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5063" w:type="dxa"/>
            <w:gridSpan w:val="3"/>
            <w:tcBorders/>
          </w:tcPr>
          <w:p>
            <w:pPr>
              <w:pStyle w:val="TableContents"/>
              <w:bidi w:val="0"/>
              <w:spacing w:before="0" w:after="283"/>
              <w:jc w:val="left"/>
              <w:rPr/>
            </w:pPr>
            <w:r>
              <w:rPr/>
              <w:t>Geoffrey T. Ley</w:t>
            </w:r>
          </w:p>
        </w:tc>
      </w:tr>
      <w:tr>
        <w:trPr/>
        <w:tc>
          <w:tcPr>
            <w:tcW w:w="4536"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352"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5063" w:type="dxa"/>
            <w:gridSpan w:val="3"/>
            <w:tcBorders/>
          </w:tcPr>
          <w:p>
            <w:pPr>
              <w:pStyle w:val="TableContents"/>
              <w:bidi w:val="0"/>
              <w:spacing w:before="0" w:after="283"/>
              <w:jc w:val="left"/>
              <w:rPr/>
            </w:pPr>
            <w:r>
              <w:rPr/>
              <w:t>Senior Vice President, Corporate Planning and Treasurer</w:t>
            </w:r>
          </w:p>
        </w:tc>
      </w:tr>
      <w:tr>
        <w:trPr>
          <w:trHeight w:val="240" w:hRule="atLeast"/>
        </w:trPr>
        <w:tc>
          <w:tcPr>
            <w:tcW w:w="4536"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1056" w:type="dxa"/>
            <w:gridSpan w:val="2"/>
            <w:tcBorders/>
            <w:vAlign w:val="center"/>
          </w:tcPr>
          <w:p>
            <w:pPr>
              <w:pStyle w:val="TableContents"/>
              <w:bidi w:val="0"/>
              <w:spacing w:before="0" w:after="283"/>
              <w:jc w:val="left"/>
              <w:rPr>
                <w:sz w:val="4"/>
                <w:szCs w:val="4"/>
              </w:rPr>
            </w:pPr>
            <w:r>
              <w:rPr>
                <w:sz w:val="4"/>
                <w:szCs w:val="4"/>
              </w:rPr>
            </w:r>
          </w:p>
        </w:tc>
        <w:tc>
          <w:tcPr>
            <w:tcW w:w="4134" w:type="dxa"/>
            <w:gridSpan w:val="2"/>
            <w:tcBorders/>
            <w:vAlign w:val="center"/>
          </w:tcPr>
          <w:p>
            <w:pPr>
              <w:pStyle w:val="TableContents"/>
              <w:bidi w:val="0"/>
              <w:spacing w:before="0" w:after="283"/>
              <w:jc w:val="left"/>
              <w:rPr>
                <w:sz w:val="4"/>
                <w:szCs w:val="4"/>
              </w:rPr>
            </w:pPr>
            <w:r>
              <w:rPr>
                <w:sz w:val="4"/>
                <w:szCs w:val="4"/>
              </w:rPr>
            </w:r>
          </w:p>
        </w:tc>
      </w:tr>
      <w:tr>
        <w:trPr/>
        <w:tc>
          <w:tcPr>
            <w:tcW w:w="4536" w:type="dxa"/>
            <w:tcBorders/>
          </w:tcPr>
          <w:p>
            <w:pPr>
              <w:pStyle w:val="TableContents"/>
              <w:bidi w:val="0"/>
              <w:spacing w:before="0" w:after="283"/>
              <w:jc w:val="left"/>
              <w:rPr/>
            </w:pPr>
            <w:r>
              <w:rPr/>
              <w:t>Attest:</w:t>
            </w:r>
          </w:p>
        </w:tc>
        <w:tc>
          <w:tcPr>
            <w:tcW w:w="127" w:type="dxa"/>
            <w:tcBorders/>
            <w:vAlign w:val="bottom"/>
          </w:tcPr>
          <w:p>
            <w:pPr>
              <w:pStyle w:val="TableContents"/>
              <w:bidi w:val="0"/>
              <w:spacing w:before="0" w:after="283"/>
              <w:jc w:val="left"/>
              <w:rPr/>
            </w:pPr>
            <w:r>
              <w:rPr/>
              <w:t> </w:t>
            </w:r>
          </w:p>
        </w:tc>
        <w:tc>
          <w:tcPr>
            <w:tcW w:w="352"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929" w:type="dxa"/>
            <w:tcBorders/>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3918" w:type="dxa"/>
            <w:tcBorders/>
          </w:tcPr>
          <w:p>
            <w:pPr>
              <w:pStyle w:val="TableContents"/>
              <w:bidi w:val="0"/>
              <w:spacing w:before="0" w:after="283"/>
              <w:jc w:val="left"/>
              <w:rPr>
                <w:sz w:val="4"/>
                <w:szCs w:val="4"/>
              </w:rPr>
            </w:pPr>
            <w:r>
              <w:rPr>
                <w:sz w:val="4"/>
                <w:szCs w:val="4"/>
              </w:rPr>
            </w:r>
          </w:p>
        </w:tc>
      </w:tr>
      <w:tr>
        <w:trPr>
          <w:trHeight w:val="240" w:hRule="atLeast"/>
        </w:trPr>
        <w:tc>
          <w:tcPr>
            <w:tcW w:w="4536" w:type="dxa"/>
            <w:tcBorders/>
            <w:vAlign w:val="center"/>
          </w:tcPr>
          <w:p>
            <w:pPr>
              <w:pStyle w:val="TableContents"/>
              <w:bidi w:val="0"/>
              <w:spacing w:before="0" w:after="283"/>
              <w:jc w:val="left"/>
              <w:rPr>
                <w:sz w:val="4"/>
                <w:szCs w:val="4"/>
              </w:rPr>
            </w:pPr>
            <w:r>
              <w:rPr>
                <w:sz w:val="4"/>
                <w:szCs w:val="4"/>
              </w:rPr>
            </w:r>
          </w:p>
        </w:tc>
        <w:tc>
          <w:tcPr>
            <w:tcW w:w="479" w:type="dxa"/>
            <w:gridSpan w:val="2"/>
            <w:tcBorders/>
            <w:vAlign w:val="center"/>
          </w:tcPr>
          <w:p>
            <w:pPr>
              <w:pStyle w:val="TableContents"/>
              <w:bidi w:val="0"/>
              <w:spacing w:before="0" w:after="283"/>
              <w:jc w:val="left"/>
              <w:rPr>
                <w:sz w:val="4"/>
                <w:szCs w:val="4"/>
              </w:rPr>
            </w:pPr>
            <w:r>
              <w:rPr>
                <w:sz w:val="4"/>
                <w:szCs w:val="4"/>
              </w:rPr>
            </w:r>
          </w:p>
        </w:tc>
        <w:tc>
          <w:tcPr>
            <w:tcW w:w="1056" w:type="dxa"/>
            <w:gridSpan w:val="2"/>
            <w:tcBorders/>
            <w:vAlign w:val="center"/>
          </w:tcPr>
          <w:p>
            <w:pPr>
              <w:pStyle w:val="TableContents"/>
              <w:bidi w:val="0"/>
              <w:spacing w:before="0" w:after="283"/>
              <w:jc w:val="left"/>
              <w:rPr>
                <w:sz w:val="4"/>
                <w:szCs w:val="4"/>
              </w:rPr>
            </w:pPr>
            <w:r>
              <w:rPr>
                <w:sz w:val="4"/>
                <w:szCs w:val="4"/>
              </w:rPr>
            </w:r>
          </w:p>
        </w:tc>
        <w:tc>
          <w:tcPr>
            <w:tcW w:w="4134" w:type="dxa"/>
            <w:gridSpan w:val="2"/>
            <w:tcBorders/>
            <w:vAlign w:val="center"/>
          </w:tcPr>
          <w:p>
            <w:pPr>
              <w:pStyle w:val="TableContents"/>
              <w:bidi w:val="0"/>
              <w:spacing w:before="0" w:after="283"/>
              <w:jc w:val="left"/>
              <w:rPr>
                <w:sz w:val="4"/>
                <w:szCs w:val="4"/>
              </w:rPr>
            </w:pPr>
            <w:r>
              <w:rPr>
                <w:sz w:val="4"/>
                <w:szCs w:val="4"/>
              </w:rPr>
            </w:r>
          </w:p>
        </w:tc>
      </w:tr>
      <w:tr>
        <w:trPr/>
        <w:tc>
          <w:tcPr>
            <w:tcW w:w="4536" w:type="dxa"/>
            <w:tcBorders/>
          </w:tcPr>
          <w:p>
            <w:pPr>
              <w:pStyle w:val="TableContents"/>
              <w:pBdr>
                <w:bottom w:val="single" w:sz="2" w:space="1" w:color="000000"/>
              </w:pBdr>
              <w:bidi w:val="0"/>
              <w:spacing w:before="0" w:after="20"/>
              <w:jc w:val="left"/>
              <w:rPr/>
            </w:pPr>
            <w:r>
              <w:rPr/>
              <w:t> </w:t>
            </w:r>
          </w:p>
        </w:tc>
        <w:tc>
          <w:tcPr>
            <w:tcW w:w="127" w:type="dxa"/>
            <w:tcBorders/>
            <w:vAlign w:val="bottom"/>
          </w:tcPr>
          <w:p>
            <w:pPr>
              <w:pStyle w:val="TableContents"/>
              <w:bidi w:val="0"/>
              <w:spacing w:before="0" w:after="283"/>
              <w:jc w:val="left"/>
              <w:rPr/>
            </w:pPr>
            <w:r>
              <w:rPr/>
              <w:t> </w:t>
            </w:r>
          </w:p>
        </w:tc>
        <w:tc>
          <w:tcPr>
            <w:tcW w:w="352"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929" w:type="dxa"/>
            <w:tcBorders/>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3918" w:type="dxa"/>
            <w:tcBorders/>
          </w:tcPr>
          <w:p>
            <w:pPr>
              <w:pStyle w:val="TableContents"/>
              <w:bidi w:val="0"/>
              <w:spacing w:before="0" w:after="283"/>
              <w:jc w:val="left"/>
              <w:rPr>
                <w:sz w:val="4"/>
                <w:szCs w:val="4"/>
              </w:rPr>
            </w:pPr>
            <w:r>
              <w:rPr>
                <w:sz w:val="4"/>
                <w:szCs w:val="4"/>
              </w:rPr>
            </w:r>
          </w:p>
        </w:tc>
      </w:tr>
      <w:tr>
        <w:trPr/>
        <w:tc>
          <w:tcPr>
            <w:tcW w:w="4536" w:type="dxa"/>
            <w:tcBorders/>
          </w:tcPr>
          <w:p>
            <w:pPr>
              <w:pStyle w:val="TableContents"/>
              <w:bidi w:val="0"/>
              <w:spacing w:before="0" w:after="283"/>
              <w:jc w:val="left"/>
              <w:rPr/>
            </w:pPr>
            <w:r>
              <w:rPr/>
              <w:t>Heather A. Humphrey</w:t>
            </w:r>
          </w:p>
        </w:tc>
        <w:tc>
          <w:tcPr>
            <w:tcW w:w="127" w:type="dxa"/>
            <w:tcBorders/>
            <w:vAlign w:val="bottom"/>
          </w:tcPr>
          <w:p>
            <w:pPr>
              <w:pStyle w:val="TableContents"/>
              <w:bidi w:val="0"/>
              <w:spacing w:before="0" w:after="283"/>
              <w:jc w:val="left"/>
              <w:rPr/>
            </w:pPr>
            <w:r>
              <w:rPr/>
              <w:t> </w:t>
            </w:r>
          </w:p>
        </w:tc>
        <w:tc>
          <w:tcPr>
            <w:tcW w:w="352"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929" w:type="dxa"/>
            <w:tcBorders/>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3918" w:type="dxa"/>
            <w:tcBorders/>
          </w:tcPr>
          <w:p>
            <w:pPr>
              <w:pStyle w:val="TableContents"/>
              <w:bidi w:val="0"/>
              <w:spacing w:before="0" w:after="283"/>
              <w:jc w:val="left"/>
              <w:rPr>
                <w:sz w:val="4"/>
                <w:szCs w:val="4"/>
              </w:rPr>
            </w:pPr>
            <w:r>
              <w:rPr>
                <w:sz w:val="4"/>
                <w:szCs w:val="4"/>
              </w:rPr>
            </w:r>
          </w:p>
        </w:tc>
      </w:tr>
      <w:tr>
        <w:trPr/>
        <w:tc>
          <w:tcPr>
            <w:tcW w:w="4536" w:type="dxa"/>
            <w:tcBorders/>
          </w:tcPr>
          <w:p>
            <w:pPr>
              <w:pStyle w:val="TableContents"/>
              <w:bidi w:val="0"/>
              <w:spacing w:before="0" w:after="283"/>
              <w:jc w:val="left"/>
              <w:rPr/>
            </w:pPr>
            <w:r>
              <w:rPr/>
              <w:t>Senior Vice President, General Counsel and</w:t>
            </w:r>
          </w:p>
        </w:tc>
        <w:tc>
          <w:tcPr>
            <w:tcW w:w="127" w:type="dxa"/>
            <w:tcBorders/>
            <w:vAlign w:val="bottom"/>
          </w:tcPr>
          <w:p>
            <w:pPr>
              <w:pStyle w:val="TableContents"/>
              <w:bidi w:val="0"/>
              <w:spacing w:before="0" w:after="283"/>
              <w:jc w:val="left"/>
              <w:rPr/>
            </w:pPr>
            <w:r>
              <w:rPr/>
              <w:t> </w:t>
            </w:r>
          </w:p>
        </w:tc>
        <w:tc>
          <w:tcPr>
            <w:tcW w:w="352"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929" w:type="dxa"/>
            <w:tcBorders/>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3918" w:type="dxa"/>
            <w:tcBorders/>
          </w:tcPr>
          <w:p>
            <w:pPr>
              <w:pStyle w:val="TableContents"/>
              <w:bidi w:val="0"/>
              <w:spacing w:before="0" w:after="283"/>
              <w:jc w:val="left"/>
              <w:rPr>
                <w:sz w:val="4"/>
                <w:szCs w:val="4"/>
              </w:rPr>
            </w:pPr>
            <w:r>
              <w:rPr>
                <w:sz w:val="4"/>
                <w:szCs w:val="4"/>
              </w:rPr>
            </w:r>
          </w:p>
        </w:tc>
      </w:tr>
      <w:tr>
        <w:trPr/>
        <w:tc>
          <w:tcPr>
            <w:tcW w:w="4536" w:type="dxa"/>
            <w:tcBorders/>
          </w:tcPr>
          <w:p>
            <w:pPr>
              <w:pStyle w:val="TableContents"/>
              <w:bidi w:val="0"/>
              <w:spacing w:before="0" w:after="283"/>
              <w:jc w:val="left"/>
              <w:rPr/>
            </w:pPr>
            <w:r>
              <w:rPr/>
              <w:t>Corporate Secretary</w:t>
            </w:r>
          </w:p>
        </w:tc>
        <w:tc>
          <w:tcPr>
            <w:tcW w:w="127" w:type="dxa"/>
            <w:tcBorders/>
            <w:vAlign w:val="bottom"/>
          </w:tcPr>
          <w:p>
            <w:pPr>
              <w:pStyle w:val="TableContents"/>
              <w:bidi w:val="0"/>
              <w:spacing w:before="0" w:after="283"/>
              <w:jc w:val="left"/>
              <w:rPr/>
            </w:pPr>
            <w:r>
              <w:rPr/>
              <w:t> </w:t>
            </w:r>
          </w:p>
        </w:tc>
        <w:tc>
          <w:tcPr>
            <w:tcW w:w="352" w:type="dxa"/>
            <w:tcBorders/>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929" w:type="dxa"/>
            <w:tcBorders/>
          </w:tcPr>
          <w:p>
            <w:pPr>
              <w:pStyle w:val="TableContents"/>
              <w:bidi w:val="0"/>
              <w:spacing w:before="0" w:after="283"/>
              <w:jc w:val="left"/>
              <w:rPr>
                <w:sz w:val="4"/>
                <w:szCs w:val="4"/>
              </w:rPr>
            </w:pPr>
            <w:r>
              <w:rPr>
                <w:sz w:val="4"/>
                <w:szCs w:val="4"/>
              </w:rPr>
            </w:r>
          </w:p>
        </w:tc>
        <w:tc>
          <w:tcPr>
            <w:tcW w:w="216" w:type="dxa"/>
            <w:tcBorders/>
            <w:vAlign w:val="bottom"/>
          </w:tcPr>
          <w:p>
            <w:pPr>
              <w:pStyle w:val="TableContents"/>
              <w:bidi w:val="0"/>
              <w:spacing w:before="0" w:after="283"/>
              <w:jc w:val="left"/>
              <w:rPr/>
            </w:pPr>
            <w:r>
              <w:rPr/>
              <w:t> </w:t>
            </w:r>
          </w:p>
        </w:tc>
        <w:tc>
          <w:tcPr>
            <w:tcW w:w="3918" w:type="dxa"/>
            <w:tcBorders/>
          </w:tcPr>
          <w:p>
            <w:pPr>
              <w:pStyle w:val="TableContents"/>
              <w:bidi w:val="0"/>
              <w:spacing w:before="0" w:after="283"/>
              <w:jc w:val="left"/>
              <w:rPr>
                <w:sz w:val="4"/>
                <w:szCs w:val="4"/>
              </w:rPr>
            </w:pPr>
            <w:r>
              <w:rPr>
                <w:sz w:val="4"/>
                <w:szCs w:val="4"/>
              </w:rPr>
            </w:r>
          </w:p>
        </w:tc>
      </w:tr>
    </w:tbl>
    <w:p>
      <w:pPr>
        <w:pStyle w:val="TextBody"/>
        <w:bidi w:val="0"/>
        <w:spacing w:before="480" w:after="0"/>
        <w:jc w:val="center"/>
        <w:rPr>
          <w:rFonts w:ascii="Times New Roman" w:hAnsi="Times New Roman"/>
          <w:b/>
          <w:i/>
          <w:sz w:val="20"/>
        </w:rPr>
      </w:pPr>
      <w:r>
        <w:rPr>
          <w:rFonts w:ascii="Times New Roman" w:hAnsi="Times New Roman"/>
          <w:b/>
          <w:i/>
          <w:sz w:val="20"/>
        </w:rPr>
        <w:t xml:space="preserve">[SIGNATURE PAGE TO GLOBAL NOTE] </w:t>
      </w:r>
    </w:p>
    <w:p>
      <w:pPr>
        <w:pStyle w:val="TextBody"/>
        <w:bidi w:val="0"/>
        <w:spacing w:before="240" w:after="0"/>
        <w:jc w:val="center"/>
        <w:rPr>
          <w:rFonts w:ascii="Times New Roman" w:hAnsi="Times New Roman"/>
          <w:sz w:val="20"/>
        </w:rPr>
      </w:pPr>
      <w:r>
        <w:rPr>
          <w:rFonts w:ascii="Times New Roman" w:hAnsi="Times New Roman"/>
          <w:sz w:val="20"/>
        </w:rPr>
        <w:t xml:space="preserve">TRUSTEE’S CERTIFICATE </w:t>
      </w:r>
    </w:p>
    <w:p>
      <w:pPr>
        <w:pStyle w:val="TextBody"/>
        <w:bidi w:val="0"/>
        <w:spacing w:before="240" w:after="0"/>
        <w:jc w:val="left"/>
        <w:rPr>
          <w:rFonts w:ascii="Times New Roman" w:hAnsi="Times New Roman"/>
          <w:sz w:val="20"/>
        </w:rPr>
      </w:pPr>
      <w:r>
        <w:rPr>
          <w:rFonts w:ascii="Times New Roman" w:hAnsi="Times New Roman"/>
          <w:sz w:val="20"/>
        </w:rPr>
        <w:t xml:space="preserve">This Bond is one of the Bonds, of the series designated herein, described in the within-mentioned Mortgage and Deed of Trust dated July 1, 1939 and Supplemental Indenture dated as of July 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THE BANK OF NEW YORK MELLON TRUST COMPANY, N.A.</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As Trustee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b/>
          <w:i/>
          <w:sz w:val="20"/>
        </w:rPr>
        <w:t>[TRUSTEE’S CERTIFICATE TO GLOBAL NOTE]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 </w:t>
      </w:r>
      <w:r>
        <w:rPr>
          <w:rFonts w:ascii="Times New Roman" w:hAnsi="Times New Roman"/>
          <w:i/>
          <w:sz w:val="20"/>
        </w:rPr>
        <w:t>Execution</w:t>
      </w:r>
      <w:r>
        <w:rPr>
          <w:rFonts w:ascii="Times New Roman" w:hAnsi="Times New Roman"/>
          <w:sz w:val="20"/>
        </w:rPr>
        <w:t> </w:t>
      </w:r>
      <w:r>
        <w:rPr>
          <w:rFonts w:ascii="Times New Roman" w:hAnsi="Times New Roman"/>
          <w:i/>
          <w:sz w:val="20"/>
        </w:rPr>
        <w:t>and Form of Temporary Bonds of the 5.300% Series due 2036</w:t>
      </w:r>
      <w:r>
        <w:rPr>
          <w:rFonts w:ascii="Times New Roman" w:hAnsi="Times New Roman"/>
          <w:sz w:val="20"/>
        </w:rPr>
        <w:t xml:space="preserve">. Until Bonds of the 5.300% Series due 2036 in definitive form are ready for delivery, the Company may execute, and upon its request in writing the Trustee shall authenticate and deliver, in lieu thereof, Bonds of the 5.300% Series due 2036 in temporary form, as provided in Section 9 of Article II of the Original Indenture.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ISSUE OF BONDS OF THE 5.300% SERIES DUE 2036 </w:t>
      </w:r>
    </w:p>
    <w:p>
      <w:pPr>
        <w:pStyle w:val="TextBody"/>
        <w:bidi w:val="0"/>
        <w:spacing w:before="240" w:after="0"/>
        <w:jc w:val="left"/>
        <w:rPr>
          <w:rFonts w:ascii="Times New Roman" w:hAnsi="Times New Roman"/>
          <w:sz w:val="20"/>
        </w:rPr>
      </w:pPr>
      <w:r>
        <w:rPr>
          <w:rFonts w:ascii="Times New Roman" w:hAnsi="Times New Roman"/>
          <w:sz w:val="20"/>
        </w:rPr>
        <w:t>Section 1. </w:t>
      </w:r>
      <w:r>
        <w:rPr>
          <w:rFonts w:ascii="Times New Roman" w:hAnsi="Times New Roman"/>
          <w:i/>
          <w:sz w:val="20"/>
        </w:rPr>
        <w:t>Limitation</w:t>
      </w:r>
      <w:r>
        <w:rPr>
          <w:rFonts w:ascii="Times New Roman" w:hAnsi="Times New Roman"/>
          <w:sz w:val="20"/>
        </w:rPr>
        <w:t> </w:t>
      </w:r>
      <w:r>
        <w:rPr>
          <w:rFonts w:ascii="Times New Roman" w:hAnsi="Times New Roman"/>
          <w:i/>
          <w:sz w:val="20"/>
        </w:rPr>
        <w:t xml:space="preserve">as to Principal Amount of Bonds of the 5.300% Series due 2036. </w:t>
      </w:r>
      <w:r>
        <w:rPr>
          <w:rFonts w:ascii="Times New Roman" w:hAnsi="Times New Roman"/>
          <w:sz w:val="20"/>
        </w:rPr>
        <w:t xml:space="preserve">The total principal amount of Bonds of the 5.300% Series due 2036 which may be authenticated and delivered hereunder is not limited except as the Original Indenture and this Supplemental Indenture limit the principal amount of Bonds which may be issued thereunder. </w:t>
      </w:r>
    </w:p>
    <w:p>
      <w:pPr>
        <w:pStyle w:val="TextBody"/>
        <w:bidi w:val="0"/>
        <w:spacing w:before="240" w:after="0"/>
        <w:jc w:val="left"/>
        <w:rPr>
          <w:rFonts w:ascii="Times New Roman" w:hAnsi="Times New Roman"/>
          <w:sz w:val="20"/>
        </w:rPr>
      </w:pPr>
      <w:r>
        <w:rPr>
          <w:rFonts w:ascii="Times New Roman" w:hAnsi="Times New Roman"/>
          <w:sz w:val="20"/>
        </w:rPr>
        <w:t>Section 2. </w:t>
      </w:r>
      <w:r>
        <w:rPr>
          <w:rFonts w:ascii="Times New Roman" w:hAnsi="Times New Roman"/>
          <w:i/>
          <w:sz w:val="20"/>
        </w:rPr>
        <w:t>Execution</w:t>
      </w:r>
      <w:r>
        <w:rPr>
          <w:rFonts w:ascii="Times New Roman" w:hAnsi="Times New Roman"/>
          <w:sz w:val="20"/>
        </w:rPr>
        <w:t> </w:t>
      </w:r>
      <w:r>
        <w:rPr>
          <w:rFonts w:ascii="Times New Roman" w:hAnsi="Times New Roman"/>
          <w:i/>
          <w:sz w:val="20"/>
        </w:rPr>
        <w:t xml:space="preserve">and Delivery of Bonds of the 5.300% Series due 2036. </w:t>
      </w:r>
      <w:r>
        <w:rPr>
          <w:rFonts w:ascii="Times New Roman" w:hAnsi="Times New Roman"/>
          <w:sz w:val="20"/>
        </w:rPr>
        <w:t xml:space="preserve">Bonds of the 5.300% Series due 2036 for the aggregate principal amount of $350,000,000 may forthwith be executed by the Company and delivered to the Trustee and shall be authenticated by the Trustee and delivered (either before or after the filing or recording hereof) to or upon the order of the Company, upon receipt by the Trustee of the resolutions, certificates, instruments and opinions required by Article III of the Original Indenture. </w:t>
      </w:r>
    </w:p>
    <w:p>
      <w:pPr>
        <w:pStyle w:val="TextBody"/>
        <w:bidi w:val="0"/>
        <w:spacing w:before="240" w:after="0"/>
        <w:jc w:val="left"/>
        <w:rPr>
          <w:rFonts w:ascii="Times New Roman" w:hAnsi="Times New Roman"/>
          <w:sz w:val="20"/>
        </w:rPr>
      </w:pPr>
      <w:r>
        <w:rPr>
          <w:rFonts w:ascii="Times New Roman" w:hAnsi="Times New Roman"/>
          <w:sz w:val="20"/>
        </w:rPr>
        <w:t>Section 3. </w:t>
      </w:r>
      <w:r>
        <w:rPr>
          <w:rFonts w:ascii="Times New Roman" w:hAnsi="Times New Roman"/>
          <w:i/>
          <w:sz w:val="20"/>
        </w:rPr>
        <w:t xml:space="preserve">Additional Bonds of the 5.300% Series due 2036. </w:t>
      </w:r>
      <w:r>
        <w:rPr>
          <w:rFonts w:ascii="Times New Roman" w:hAnsi="Times New Roman"/>
          <w:sz w:val="20"/>
        </w:rPr>
        <w:t>The Bonds of the 5.300% Series due 2036 need not be issued at the same time. Subject to the limitations of the Original Indenture and this Supplemental Indenture with respect to the principal amount of Bonds which may be issued thereunder, the Company may, from time to time, at its option and without the consent of any holder of the Bonds of the 5.300% Series due 2036, reopen the 5.300% Series due 2036 for issuance of additional Bonds of the 5.300% Series due 2036 (such Bonds, “</w:t>
      </w:r>
      <w:r>
        <w:rPr>
          <w:rFonts w:ascii="Times New Roman" w:hAnsi="Times New Roman"/>
          <w:b/>
          <w:sz w:val="20"/>
        </w:rPr>
        <w:t>Additional Bonds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if the Additional Bonds are not fungible with the previously issued Bonds of the 5.300% Series due 2036 for United States federal income tax purposes, the Additional Bonds will have a separate CUSIP number, and further </w:t>
      </w:r>
      <w:r>
        <w:rPr>
          <w:rFonts w:ascii="Times New Roman" w:hAnsi="Times New Roman"/>
          <w:i/>
          <w:sz w:val="20"/>
        </w:rPr>
        <w:t>provided</w:t>
      </w:r>
      <w:r>
        <w:rPr>
          <w:rFonts w:ascii="Times New Roman" w:hAnsi="Times New Roman"/>
          <w:sz w:val="20"/>
        </w:rPr>
        <w:t xml:space="preserve"> that Additional Bonds shall rank </w:t>
      </w:r>
      <w:r>
        <w:rPr>
          <w:rFonts w:ascii="Times New Roman" w:hAnsi="Times New Roman"/>
          <w:i/>
          <w:sz w:val="20"/>
        </w:rPr>
        <w:t>pari passu</w:t>
      </w:r>
      <w:r>
        <w:rPr>
          <w:rFonts w:ascii="Times New Roman" w:hAnsi="Times New Roman"/>
          <w:sz w:val="20"/>
        </w:rPr>
        <w:t xml:space="preserve"> with any outstanding Bonds of the 5.300% Series due 2036, shall be consolidated with and treated as a single series with the outstanding Bonds of the 5.300% Series due 2036 for all purposes, and shall have terms and conditions identical to those of the other outstanding Bonds of the 5.300% Series due 2036, except that Additional Bonds may differ with respect to: </w:t>
      </w:r>
    </w:p>
    <w:p>
      <w:pPr>
        <w:pStyle w:val="TextBody"/>
        <w:bidi w:val="0"/>
        <w:spacing w:before="240" w:after="0"/>
        <w:jc w:val="left"/>
        <w:rPr>
          <w:rFonts w:ascii="Times New Roman" w:hAnsi="Times New Roman"/>
          <w:sz w:val="20"/>
        </w:rPr>
      </w:pPr>
      <w:r>
        <w:rPr>
          <w:rFonts w:ascii="Times New Roman" w:hAnsi="Times New Roman"/>
          <w:sz w:val="20"/>
        </w:rPr>
        <w:t xml:space="preserve">(i) the date of issuance; </w:t>
      </w:r>
    </w:p>
    <w:p>
      <w:pPr>
        <w:pStyle w:val="TextBody"/>
        <w:bidi w:val="0"/>
        <w:spacing w:before="240" w:after="0"/>
        <w:jc w:val="left"/>
        <w:rPr>
          <w:rFonts w:ascii="Times New Roman" w:hAnsi="Times New Roman"/>
          <w:sz w:val="20"/>
        </w:rPr>
      </w:pPr>
      <w:r>
        <w:rPr>
          <w:rFonts w:ascii="Times New Roman" w:hAnsi="Times New Roman"/>
          <w:sz w:val="20"/>
        </w:rPr>
        <w:t xml:space="preserve">(ii) the amount of interest payable on the first interest payment date therefor; </w:t>
      </w:r>
    </w:p>
    <w:p>
      <w:pPr>
        <w:pStyle w:val="TextBody"/>
        <w:bidi w:val="0"/>
        <w:spacing w:before="240" w:after="0"/>
        <w:jc w:val="left"/>
        <w:rPr>
          <w:rFonts w:ascii="Times New Roman" w:hAnsi="Times New Roman"/>
          <w:sz w:val="20"/>
        </w:rPr>
      </w:pPr>
      <w:r>
        <w:rPr>
          <w:rFonts w:ascii="Times New Roman" w:hAnsi="Times New Roman"/>
          <w:sz w:val="20"/>
        </w:rPr>
        <w:t xml:space="preserve">(iii) the first interest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issue price; and </w:t>
      </w:r>
    </w:p>
    <w:p>
      <w:pPr>
        <w:pStyle w:val="TextBody"/>
        <w:bidi w:val="0"/>
        <w:spacing w:before="240" w:after="0"/>
        <w:jc w:val="left"/>
        <w:rPr>
          <w:rFonts w:ascii="Times New Roman" w:hAnsi="Times New Roman"/>
          <w:sz w:val="20"/>
        </w:rPr>
      </w:pPr>
      <w:r>
        <w:rPr>
          <w:rFonts w:ascii="Times New Roman" w:hAnsi="Times New Roman"/>
          <w:sz w:val="20"/>
        </w:rPr>
        <w:t xml:space="preserve">(v) any adjustments necessary in order to conform to and ensure compliance with the Securities Act of 1933, as amended (or other applicable securities laws), which are not adverse in any material respect to the holder of any outstanding Bonds of the 5.300% Series due 2036. </w:t>
      </w:r>
    </w:p>
    <w:p>
      <w:pPr>
        <w:pStyle w:val="TextBody"/>
        <w:bidi w:val="0"/>
        <w:spacing w:before="240" w:after="0"/>
        <w:jc w:val="left"/>
        <w:rPr>
          <w:rFonts w:ascii="Times New Roman" w:hAnsi="Times New Roman"/>
          <w:sz w:val="20"/>
        </w:rPr>
      </w:pPr>
      <w:r>
        <w:rPr>
          <w:rFonts w:ascii="Times New Roman" w:hAnsi="Times New Roman"/>
          <w:sz w:val="20"/>
        </w:rPr>
        <w:t xml:space="preserve">Additional Bonds of the 5.300% Series due 2036 executed by the Company and delivered to the Trustee shall be authenticated by the Trustee and delivered (either before or after the filing or recording hereof) to or upon the order of the Company, upon receipt by the Trustee of the resolutions, certificates, instruments and opinions required by Article III of the Original Indenture.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rPr>
        <w:t xml:space="preserve">REDEMPTION AND SUBSTITUTION OF BONDS OF THE 5.300% SERIES DUE 2036 </w:t>
      </w:r>
    </w:p>
    <w:p>
      <w:pPr>
        <w:pStyle w:val="TextBody"/>
        <w:bidi w:val="0"/>
        <w:spacing w:before="240" w:after="0"/>
        <w:jc w:val="left"/>
        <w:rPr>
          <w:rFonts w:ascii="Times New Roman" w:hAnsi="Times New Roman"/>
          <w:sz w:val="20"/>
        </w:rPr>
      </w:pPr>
      <w:r>
        <w:rPr>
          <w:rFonts w:ascii="Times New Roman" w:hAnsi="Times New Roman"/>
          <w:sz w:val="20"/>
        </w:rPr>
        <w:t>Section 1. </w:t>
      </w:r>
      <w:r>
        <w:rPr>
          <w:rFonts w:ascii="Times New Roman" w:hAnsi="Times New Roman"/>
          <w:i/>
          <w:sz w:val="20"/>
        </w:rPr>
        <w:t>Optional</w:t>
      </w:r>
      <w:r>
        <w:rPr>
          <w:rFonts w:ascii="Times New Roman" w:hAnsi="Times New Roman"/>
          <w:sz w:val="20"/>
        </w:rPr>
        <w:t> </w:t>
      </w:r>
      <w:r>
        <w:rPr>
          <w:rFonts w:ascii="Times New Roman" w:hAnsi="Times New Roman"/>
          <w:i/>
          <w:sz w:val="20"/>
        </w:rPr>
        <w:t>Redemption of Bonds of the 5.300% Series due 2036.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i/>
          <w:sz w:val="20"/>
        </w:rPr>
        <w:t>Optional Redemption of Bonds of the 5.300% Series due 2036.</w:t>
      </w:r>
      <w:r>
        <w:rPr>
          <w:rFonts w:ascii="Times New Roman" w:hAnsi="Times New Roman"/>
          <w:sz w:val="20"/>
        </w:rPr>
        <w:t xml:space="preserve"> The Bonds of the 5.300% Series due 2036 are subject to redemption by the Company, prior to April 1, 2036 (the “</w:t>
      </w:r>
      <w:r>
        <w:rPr>
          <w:rFonts w:ascii="Times New Roman" w:hAnsi="Times New Roman"/>
          <w:b/>
          <w:sz w:val="20"/>
        </w:rPr>
        <w:t>Par Call Date</w:t>
      </w:r>
      <w:r>
        <w:rPr>
          <w:rFonts w:ascii="Times New Roman" w:hAnsi="Times New Roman"/>
          <w:sz w:val="20"/>
        </w:rPr>
        <w:t xml:space="preserve">”) at its option, in whole or in part, at any time and from time to time, after giving the required notice under subsection (3) of this Article III, Section 1, at a redemption price (expressed as a percentage of principal amount and rounded to three decimals) equal to the greater of: (1)(a) the sum of present values of the remaining scheduled payments of principal and interest on Bonds of the 5.300% Series due 2036 discounted to the redemption date (assuming the Bonds of the 5.300% Series due 2036 matured on the Par Call Date) on a semi-annual basis (assuming a 360-day year consisting of twelve 30-day months) at the Treasury Rate applicable to the Bonds of the 5.300% Series due 2036 plus fifteen (15) basis points less (b) interest accrued to the redemption date; and (2) 100% of the principal amount of the Bonds of the 5.300% Series due 2036 to be redeemed, plus, in either case,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Par Call Date, the Company may redeem the Bonds of the 5.300% Series due 2036 at its option, in whole or in part, at any time and from time to time, after giving the required notice under subsection (3) of this Article III, Section 1, at a redemption price equal to 100% of the principal amount of the Bonds of the 5.300% Series due 2036 to be redeemed, plus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the optional redemption provisions, the following term has the following meaning: </w:t>
      </w:r>
    </w:p>
    <w:p>
      <w:pPr>
        <w:pStyle w:val="TextBody"/>
        <w:bidi w:val="0"/>
        <w:spacing w:before="240" w:after="0"/>
        <w:jc w:val="left"/>
        <w:rPr/>
      </w:pPr>
      <w:r>
        <w:rPr/>
        <w:t>“</w:t>
      </w:r>
      <w:r>
        <w:rPr>
          <w:rFonts w:ascii="Times New Roman" w:hAnsi="Times New Roman"/>
          <w:b/>
          <w:sz w:val="20"/>
        </w:rPr>
        <w:t>Treasury Rate</w:t>
      </w:r>
      <w:r>
        <w:rPr>
          <w:rFonts w:ascii="Times New Roman" w:hAnsi="Times New Roman"/>
          <w:sz w:val="20"/>
        </w:rPr>
        <w:t xml:space="preserve">” means, with respect to any redemption date, the yield determined by the Company in accordance with the following two paragraphs.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b/>
          <w:sz w:val="20"/>
        </w:rPr>
        <w:t>H.15</w:t>
      </w:r>
      <w:r>
        <w:rPr>
          <w:rFonts w:ascii="Times New Roman" w:hAnsi="Times New Roman"/>
          <w:sz w:val="20"/>
        </w:rPr>
        <w:t>”) under the caption “U.S. government securities—Treasury constant maturities — Nominal” (or any successor caption or heading) (“</w:t>
      </w:r>
      <w:r>
        <w:rPr>
          <w:rFonts w:ascii="Times New Roman" w:hAnsi="Times New Roman"/>
          <w:b/>
          <w:sz w:val="20"/>
        </w:rPr>
        <w:t>H.15 TCM</w:t>
      </w:r>
      <w:r>
        <w:rPr>
          <w:rFonts w:ascii="Times New Roman" w:hAnsi="Times New Roman"/>
          <w:sz w:val="20"/>
        </w:rPr>
        <w:t xml:space="preserve">”). In determining the Treasury Rate, the Company shall select,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the yield for the Treasury constant maturity on H.15 exactly equal to the period from the redemption date to the Par Call Date (the “</w:t>
            </w:r>
            <w:r>
              <w:rPr>
                <w:rFonts w:ascii="Times New Roman" w:hAnsi="Times New Roman"/>
                <w:b/>
                <w:sz w:val="20"/>
              </w:rPr>
              <w:t>Remaining Life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there is no such Treasury constant maturity on H.15 shorter than or longer than the Remaining Life, the yield for the single Treasury constant maturity on H.15 closest to the Remaining Life. For purposes of this clause, the applicable Treasury constant maturity or maturities on H.15 shall be deemed to have a maturity date equal to the relevant number of months or years, as applicable, of such Treasury constant maturity from the redemption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Company’s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obligation or duty whatsoever to determine, or to verify the Company’s calculations of,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so long as there is no existing default in the payment on the Bonds of the 5.300% Series due 2036, installments of interest on the Bonds of the 5.300% Series due 2036 that are due and payable on an interest payment date falling on or prior to a redemption date shall be payable on such interest payment date to the registered owners of the Bonds of the 5.300% Series due 2036 as of the close of business on the relevant record date according to the Bonds of the 5.300% Series due 2036 and the Indenture, except as and to the extent the Company shall default in the payment of the interest due on such interest payment date, in which case defaulted interest shall be paid to the person in whose name such Bond of the 5.300% Series due 2036 is registered on the date of payment of such defaulted interest. The redemption price will be calculated assuming a 360-day year consisting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Bonds of the 5.300% Series due 2036 or portions of the Bonds of the 5.300% Series due 2036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i/>
          <w:sz w:val="20"/>
        </w:rPr>
        <w:t>Tax Credit Event Redemption</w:t>
      </w:r>
      <w:r>
        <w:rPr>
          <w:rFonts w:ascii="Times New Roman" w:hAnsi="Times New Roman"/>
          <w:sz w:val="20"/>
        </w:rPr>
        <w:t xml:space="preserve">. The Bonds of the 5.300% Series due 2036 are redeemable, in whole but not in part, at the option of the Company, at a redemption price equal to 101% of the principal amount of the Bonds of the 5.300% Series due 2036 being redeemed, plus accrued and unpaid interest to, but excluding, the redemption date, if a Tax Credit Event occurs. </w:t>
      </w:r>
    </w:p>
    <w:p>
      <w:pPr>
        <w:pStyle w:val="TextBody"/>
        <w:bidi w:val="0"/>
        <w:spacing w:before="240" w:after="0"/>
        <w:jc w:val="left"/>
        <w:rPr>
          <w:rFonts w:ascii="Times New Roman" w:hAnsi="Times New Roman"/>
          <w:sz w:val="20"/>
        </w:rPr>
      </w:pPr>
      <w:r>
        <w:rPr>
          <w:rFonts w:ascii="Times New Roman" w:hAnsi="Times New Roman"/>
          <w:sz w:val="20"/>
        </w:rPr>
        <w:t xml:space="preserve">Any notice of redemption of the Bonds of the 5.300% Series due 2036 upon the occurrence of a Tax Credit Event (a) may only be sent by the later of (i) the end of the calendar year in which the Bonds of the 5.300% Series due 2036 were issued and (ii) six months from the date of issuance of the Bonds of the 5.300% Series due 2036 and (b) shall be accompanied by an Officers’ Certificate stating that such Tax Credit Event has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“Tax Credit Event” occurs if, in the Company’s reasonable determination, there exists a material risk, due to the Bonds of the 5.300% Series due 2036 (considered together with other debt) having been issued, as part of an original issuance, to one or more “specified foreign entities,” as defined in Section 7701(a)(51)(B) of the Internal Revenue Code of 1986, as amended (the “Code”), that the Company or any of its affiliates would be unable to utilize or otherwise ineligible to claim any tax credits otherwise allowed under Section 38 of the Code. </w:t>
      </w:r>
    </w:p>
    <w:p>
      <w:pPr>
        <w:pStyle w:val="TextBody"/>
        <w:bidi w:val="0"/>
        <w:spacing w:before="240" w:after="0"/>
        <w:jc w:val="left"/>
        <w:rPr>
          <w:rFonts w:ascii="Times New Roman" w:hAnsi="Times New Roman"/>
          <w:sz w:val="20"/>
        </w:rPr>
      </w:pPr>
      <w:r>
        <w:rPr>
          <w:rFonts w:ascii="Times New Roman" w:hAnsi="Times New Roman"/>
          <w:sz w:val="20"/>
        </w:rPr>
        <w:t xml:space="preserve">The consummation of a redemption upon a Tax Credit Event may be subject to the Trustee’s receipt of the required redemption moneys on or before the redemption date (and in such case no such redemption shall occur unless such moneys have been received by the Trustee on or before such date).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i/>
          <w:sz w:val="20"/>
        </w:rPr>
        <w:t>Notice of Redemption.</w:t>
      </w:r>
      <w:r>
        <w:rPr>
          <w:rFonts w:ascii="Times New Roman" w:hAnsi="Times New Roman"/>
          <w:sz w:val="20"/>
        </w:rPr>
        <w:t xml:space="preserve"> Subject to the provisions of Article V of the Original Indenture, in the case of redeeming all or any portion of the Bonds of the 5.300% Series due 2036, the Company shall cause notice of redemption to be given (1) at least ten days and not more than sixty days prior to the date of redemption, to the registered owners of such Bonds of the 5.300% Series due 2036 at their addresses as the same shall appear on the transfer register of the Company; and (2) stating, among other things, the redemption price (or if not then ascertainable, the manner of calculation thereof) and date. If less than all of the outstanding Bonds of the 5.300% Series due 2036 are to be redeemed, the Bonds of the 5.300% Series due 2036 to be redeemed shall be selected in accordance with the policies and procedures of DTC (or any successor thereto), provided that in the event the Bonds of the 5.300% Series due 2036 are no longer held in the global form, the Bonds of the 5.300% Series due 2036 to be redeemed shall be selected by the Trustee by lot.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notice of redemption may provide that the optional redemption described in such notice is conditioned upon the occurrence of certain events before the date of redemption. Such notice of conditional redemption will be of no effect unless all such conditions to the redemption shall have occurred before the redemption date or shall have been waived by the Company. If any of these events fail to occur and are not waived by the Company, the Company will be under no obligation to redeem the Bonds of the 5.300% Series due 2036 or pay the holders thereof any redemption proceeds and the Company’s failure to so redeem the Bonds of the 5.300% Series due 2036 will not be considered a default or event of default under the Indenture. In the event that any of these conditions fail to occur or are not waived by the Company, the Company will promptly notify the Trustee in writing that the conditions precedent to such redemption have failed to occur and the Bonds of the 5.300% Series due 2036 will not be redeemed.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redemption of the Bonds of the 5.300% Series due 2036 occurring prior to the Par Call Date, the Company shall give the Trustee notice of the redemption price promptly after the calculation thereof and the Trustee shall not be responsible for such calculation.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2. </w:t>
      </w:r>
      <w:r>
        <w:rPr>
          <w:rFonts w:ascii="Times New Roman" w:hAnsi="Times New Roman"/>
          <w:i/>
          <w:sz w:val="20"/>
        </w:rPr>
        <w:t>Substitution</w:t>
      </w:r>
      <w:r>
        <w:rPr>
          <w:rFonts w:ascii="Times New Roman" w:hAnsi="Times New Roman"/>
          <w:sz w:val="20"/>
        </w:rPr>
        <w:t> </w:t>
      </w:r>
      <w:r>
        <w:rPr>
          <w:rFonts w:ascii="Times New Roman" w:hAnsi="Times New Roman"/>
          <w:i/>
          <w:sz w:val="20"/>
        </w:rPr>
        <w:t xml:space="preserve">of Bonds of the 5.300% Series due 2036. </w:t>
      </w:r>
      <w:r>
        <w:rPr>
          <w:rFonts w:ascii="Times New Roman" w:hAnsi="Times New Roman"/>
          <w:sz w:val="20"/>
        </w:rPr>
        <w:t>The Company may deliver to the Trustee in substitution for any Bonds of the 5.300% Series due 2036, mortgage bonds or other similar secured instruments of the Company or any successor entity, whether by merger, combination or acquisition of all or substantially all of the assets of the Company, or otherwise, issued under a mortgage and deed of trust or similar instrument of the Company or any successor entity in like principal amount of like term and bearing the same rate of interest and having the same interest payment dates and same redemption provisions as the Bonds of the 5.300% Series due 2036 and which are otherwise substantially similar to the Bonds of the 5.300% Series due 2036 (such substituted bonds hereinafter being referred to in this Article III, Section 2 as the “</w:t>
      </w:r>
      <w:r>
        <w:rPr>
          <w:rFonts w:ascii="Times New Roman" w:hAnsi="Times New Roman"/>
          <w:b/>
          <w:sz w:val="20"/>
        </w:rPr>
        <w:t>5.300% Series due 2036 Substituted Mortgage Bonds</w:t>
      </w:r>
      <w:r>
        <w:rPr>
          <w:rFonts w:ascii="Times New Roman" w:hAnsi="Times New Roman"/>
          <w:sz w:val="20"/>
        </w:rPr>
        <w:t xml:space="preserve">”). The 5.300% Series due 2036 Substituted Mortgage Bonds may only be delivered to the Trustee upon receipt by the Trustee of (i) a letter from Moody’s (as hereinafter defined), dated within ten days prior to the date of delivery of the 5.300% Series due 2036 Substituted Mortgage Bonds, stating that its rating of the 5.300% Series due 2036 Substituted Mortgage Bonds is at least equal to its then current rating on the Bonds of the 5.300% Series due 2036, (ii) a letter from S&amp;P (as hereinafter defined), dated within ten days prior to the date of delivery of the 5.300% Series due 2036 Substituted Mortgage Bonds, stating that its rating of the 5.300% Series due 2036 Substituted Mortgage Bonds is at least equal to its then current rating on the Bonds of the 5.300% Series due 2036, (iii) an opinion of counsel, which may be counsel to the Company or any successor entity, that such substitution will not result in the recognition of capital gain or loss for U.S. federal income tax purposes to the holders of the Bonds of the 5.300% Series due 2036, (iv) an opinion of counsel which may be counsel to the Company or any successor entity, to the effect that the 5.300% Series due 2036 Substituted Mortgage Bonds shall have been duly and validly authorized, executed, authenticated, and delivered and shall constitute the valid, legally binding and enforceable obligations of the Company or any successor entity enforceable in accordance with their terms, except as limited by bankruptcy, insolvency or other laws affecting the enforcement of mortgagees’ and other creditors’ rights and shall be entitled to the benefit of the mortgage and deed of trust or other similar instrument pursuant to which they shall have been issued and (v) such other certificates and documents with respect to the issuance and delivery of the 5.300% Series due 2036 Substituted Mortgage Bonds as may be required by law or as the Trustee may reasonably request. </w:t>
      </w:r>
    </w:p>
    <w:p>
      <w:pPr>
        <w:pStyle w:val="TextBody"/>
        <w:bidi w:val="0"/>
        <w:spacing w:before="240" w:after="0"/>
        <w:jc w:val="left"/>
        <w:rPr/>
      </w:pPr>
      <w:r>
        <w:rPr/>
        <w:t>“</w:t>
      </w:r>
      <w:r>
        <w:rPr>
          <w:rFonts w:ascii="Times New Roman" w:hAnsi="Times New Roman"/>
          <w:b/>
          <w:sz w:val="20"/>
        </w:rPr>
        <w:t>Moody’s</w:t>
      </w:r>
      <w:r>
        <w:rPr>
          <w:rFonts w:ascii="Times New Roman" w:hAnsi="Times New Roman"/>
          <w:sz w:val="20"/>
        </w:rPr>
        <w:t xml:space="preserve">” means Moody’s Investors Service, Inc., a corporation organized and existing under the laws of the State of Delaware, its successors and their assigns, except that if such corporation shall be dissolved or liquidated or shall no longer perform the functions of a securities rating agency, then the term “Moody’s” shall be deemed to refer to any other nationally recognized securities rating agency selected by the Company. </w:t>
      </w:r>
    </w:p>
    <w:p>
      <w:pPr>
        <w:pStyle w:val="TextBody"/>
        <w:bidi w:val="0"/>
        <w:spacing w:before="240" w:after="0"/>
        <w:jc w:val="left"/>
        <w:rPr/>
      </w:pPr>
      <w:r>
        <w:rPr/>
        <w:t>“</w:t>
      </w:r>
      <w:r>
        <w:rPr>
          <w:rFonts w:ascii="Times New Roman" w:hAnsi="Times New Roman"/>
          <w:b/>
          <w:sz w:val="20"/>
        </w:rPr>
        <w:t>S&amp;P</w:t>
      </w:r>
      <w:r>
        <w:rPr>
          <w:rFonts w:ascii="Times New Roman" w:hAnsi="Times New Roman"/>
          <w:sz w:val="20"/>
        </w:rPr>
        <w:t xml:space="preserve">” means S&amp;P Global Ratings, duly organized and existing under and by virtue of the laws of the State of New York, and its successors and assigns, except that if such rating agency shall be dissolved or liquidated or shall no longer perform the functions of a securities rating agency, then the term “S&amp;P” shall be deemed to refer to any other nationally recognized securities rating agency selected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IV </w:t>
      </w:r>
    </w:p>
    <w:p>
      <w:pPr>
        <w:pStyle w:val="TextBody"/>
        <w:bidi w:val="0"/>
        <w:spacing w:before="0" w:after="0"/>
        <w:jc w:val="center"/>
        <w:rPr>
          <w:rFonts w:ascii="Times New Roman" w:hAnsi="Times New Roman"/>
          <w:sz w:val="20"/>
        </w:rPr>
      </w:pPr>
      <w:r>
        <w:rPr>
          <w:rFonts w:ascii="Times New Roman" w:hAnsi="Times New Roman"/>
          <w:sz w:val="20"/>
        </w:rPr>
        <w:t xml:space="preserve">ADDITIONAL COVENANTS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covenants, warrants and agrees: </w:t>
      </w:r>
    </w:p>
    <w:p>
      <w:pPr>
        <w:pStyle w:val="TextBody"/>
        <w:bidi w:val="0"/>
        <w:spacing w:before="240" w:after="0"/>
        <w:jc w:val="left"/>
        <w:rPr>
          <w:rFonts w:ascii="Times New Roman" w:hAnsi="Times New Roman"/>
          <w:sz w:val="20"/>
        </w:rPr>
      </w:pPr>
      <w:r>
        <w:rPr>
          <w:rFonts w:ascii="Times New Roman" w:hAnsi="Times New Roman"/>
          <w:sz w:val="20"/>
        </w:rPr>
        <w:t>Section 1. </w:t>
      </w:r>
      <w:r>
        <w:rPr>
          <w:rFonts w:ascii="Times New Roman" w:hAnsi="Times New Roman"/>
          <w:i/>
          <w:sz w:val="20"/>
        </w:rPr>
        <w:t>Title</w:t>
      </w:r>
      <w:r>
        <w:rPr>
          <w:rFonts w:ascii="Times New Roman" w:hAnsi="Times New Roman"/>
          <w:sz w:val="20"/>
        </w:rPr>
        <w:t> </w:t>
      </w:r>
      <w:r>
        <w:rPr>
          <w:rFonts w:ascii="Times New Roman" w:hAnsi="Times New Roman"/>
          <w:i/>
          <w:sz w:val="20"/>
        </w:rPr>
        <w:t xml:space="preserve">to Mortgaged Property. </w:t>
      </w:r>
      <w:r>
        <w:rPr>
          <w:rFonts w:ascii="Times New Roman" w:hAnsi="Times New Roman"/>
          <w:sz w:val="20"/>
        </w:rPr>
        <w:t xml:space="preserve">That the Company is lawfully seized and possessed of all of the mortgaged property described in the granting clauses of this Supplemental Indenture; that it has good, right and lawful authority to mortgage the same as provided in this Supplemental Indenture; and that such mortgaged property is, at the actual date of the initial issue of the Bonds of the 5.300% Series due 2036 and at the date of issuance of any Additional Bonds, as applicable, free and clear of any deed of trust, mortgage, lien, charge or encumbrance thereon or affecting the title thereto prior to the Indenture, except as set forth in the granting clauses of the Original Indenture, the Thirty-Second Supplemental Indenture, the Thirty-Ninth Supplemental Indenture, the Forty-Second Supplemental Indenture, the Forty-Second Supplemental (Reopening) Indenture, the Forty-Third Supplemental Indenture, the Forty-Fourth Supplemental Indenture, the Forty-Fifth Supplemental Indenture, the Forty-Sixth Supplemental Indenture, the Forty-Seventh Supplemental Indenture, the Forty-Ninth Supplemental Indenture, the Fiftieth Supplemental Indenture, the Fifty-First Supplemental Indenture, the Fifty-Second Supplemental Indenture, the Fifty-Third Supplemental Indenture, the Fifty-Third Supplemental (Reopening) Indenture and this Supplemental Indenture. </w:t>
      </w:r>
    </w:p>
    <w:p>
      <w:pPr>
        <w:pStyle w:val="TextBody"/>
        <w:bidi w:val="0"/>
        <w:spacing w:before="240" w:after="0"/>
        <w:jc w:val="left"/>
        <w:rPr>
          <w:rFonts w:ascii="Times New Roman" w:hAnsi="Times New Roman"/>
          <w:sz w:val="20"/>
        </w:rPr>
      </w:pPr>
      <w:r>
        <w:rPr>
          <w:rFonts w:ascii="Times New Roman" w:hAnsi="Times New Roman"/>
          <w:sz w:val="20"/>
        </w:rPr>
        <w:t>Section 2. </w:t>
      </w:r>
      <w:r>
        <w:rPr>
          <w:rFonts w:ascii="Times New Roman" w:hAnsi="Times New Roman"/>
          <w:i/>
          <w:sz w:val="20"/>
        </w:rPr>
        <w:t xml:space="preserve">Tax Withholding Compliance. </w:t>
      </w:r>
      <w:r>
        <w:rPr>
          <w:rFonts w:ascii="Times New Roman" w:hAnsi="Times New Roman"/>
          <w:sz w:val="20"/>
        </w:rPr>
        <w:t xml:space="preserve">The Bonds of the 5.300% Series due 2036 shall be subject to the following provision: </w:t>
      </w:r>
    </w:p>
    <w:p>
      <w:pPr>
        <w:pStyle w:val="TextBody"/>
        <w:bidi w:val="0"/>
        <w:spacing w:before="240" w:after="0"/>
        <w:jc w:val="left"/>
        <w:rPr>
          <w:rFonts w:ascii="Times New Roman" w:hAnsi="Times New Roman"/>
          <w:sz w:val="20"/>
        </w:rPr>
      </w:pPr>
      <w:r>
        <w:rPr>
          <w:rFonts w:ascii="Times New Roman" w:hAnsi="Times New Roman"/>
          <w:sz w:val="20"/>
        </w:rPr>
        <w:t>The Company agrees (i) to provide the Trustee with such reasonable information as it has in its possession to enable the Trustee to determine whether any payments pursuant to the Indenture are subject to the withholding requirements described in Section 1471(b) of the Code or otherwise imposed pursuant to Sections 1471 through 1474 of the Code and any regulations, or agreements thereunder or official interpretations thereof (“</w:t>
      </w:r>
      <w:r>
        <w:rPr>
          <w:rFonts w:ascii="Times New Roman" w:hAnsi="Times New Roman"/>
          <w:b/>
          <w:sz w:val="20"/>
        </w:rPr>
        <w:t>Applicable Tax Law</w:t>
      </w:r>
      <w:r>
        <w:rPr>
          <w:rFonts w:ascii="Times New Roman" w:hAnsi="Times New Roman"/>
          <w:sz w:val="20"/>
        </w:rPr>
        <w:t xml:space="preserve">”), and (ii) that the Trustee shall be entitled to make any withholding or deduction from payments under the Indenture to the extent necessary to comply with Applicable Tax Law, for which the Trustee shall not have any liability.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RESERVATIONS OF RIGHTS TO AMEND THE ORIGINAL INDENTURE </w:t>
      </w:r>
    </w:p>
    <w:p>
      <w:pPr>
        <w:pStyle w:val="TextBody"/>
        <w:bidi w:val="0"/>
        <w:spacing w:before="240" w:after="0"/>
        <w:jc w:val="left"/>
        <w:rPr>
          <w:rFonts w:ascii="Times New Roman" w:hAnsi="Times New Roman"/>
          <w:sz w:val="20"/>
        </w:rPr>
      </w:pPr>
      <w:r>
        <w:rPr>
          <w:rFonts w:ascii="Times New Roman" w:hAnsi="Times New Roman"/>
          <w:sz w:val="20"/>
        </w:rPr>
        <w:t>Section 1. </w:t>
      </w:r>
      <w:r>
        <w:rPr>
          <w:rFonts w:ascii="Times New Roman" w:hAnsi="Times New Roman"/>
          <w:i/>
          <w:sz w:val="20"/>
        </w:rPr>
        <w:t>Modernization of the Original Indenture</w:t>
      </w:r>
      <w:r>
        <w:rPr>
          <w:rFonts w:ascii="Times New Roman" w:hAnsi="Times New Roman"/>
          <w:sz w:val="20"/>
        </w:rPr>
        <w:t xml:space="preserve">. The Company reserves the right, subject to appropriate action, but without any consent or other action by holders of Bonds of the 5.300% Series due 2036, or of any subsequent series of bonds, to amend the Original Indenture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Eliminate maintenance and improvement fund requirements; </w:t>
      </w:r>
    </w:p>
    <w:p>
      <w:pPr>
        <w:pStyle w:val="TextBody"/>
        <w:bidi w:val="0"/>
        <w:spacing w:before="240" w:after="0"/>
        <w:jc w:val="left"/>
        <w:rPr>
          <w:rFonts w:ascii="Times New Roman" w:hAnsi="Times New Roman"/>
          <w:sz w:val="20"/>
        </w:rPr>
      </w:pPr>
      <w:r>
        <w:rPr>
          <w:rFonts w:ascii="Times New Roman" w:hAnsi="Times New Roman"/>
          <w:sz w:val="20"/>
        </w:rPr>
        <w:t xml:space="preserve">(b) Simplify the provisions for release of obsolete property, de minimis property releases and substitution of property and unfunded property; </w:t>
      </w:r>
    </w:p>
    <w:p>
      <w:pPr>
        <w:pStyle w:val="TextBody"/>
        <w:bidi w:val="0"/>
        <w:spacing w:before="240" w:after="0"/>
        <w:jc w:val="left"/>
        <w:rPr>
          <w:rFonts w:ascii="Times New Roman" w:hAnsi="Times New Roman"/>
          <w:sz w:val="20"/>
        </w:rPr>
      </w:pPr>
      <w:r>
        <w:rPr>
          <w:rFonts w:ascii="Times New Roman" w:hAnsi="Times New Roman"/>
          <w:sz w:val="20"/>
        </w:rPr>
        <w:t xml:space="preserve">(c) Permit additional terms of bonds or forms of bond in supplemental indentures, including terms for uncertificated and global securities (or definitive securities in lieu thereof) and medium-term notes; </w:t>
      </w:r>
    </w:p>
    <w:p>
      <w:pPr>
        <w:pStyle w:val="TextBody"/>
        <w:bidi w:val="0"/>
        <w:spacing w:before="240" w:after="0"/>
        <w:jc w:val="left"/>
        <w:rPr>
          <w:rFonts w:ascii="Times New Roman" w:hAnsi="Times New Roman"/>
          <w:sz w:val="20"/>
        </w:rPr>
      </w:pPr>
      <w:r>
        <w:rPr>
          <w:rFonts w:ascii="Times New Roman" w:hAnsi="Times New Roman"/>
          <w:sz w:val="20"/>
        </w:rPr>
        <w:t xml:space="preserve">(d) Make any changes necessary to conform the Mortgage with the requirements of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(e) Add defeasance provisions providing for covenant and legal defeasance options; </w:t>
      </w:r>
    </w:p>
    <w:p>
      <w:pPr>
        <w:pStyle w:val="TextBody"/>
        <w:bidi w:val="0"/>
        <w:spacing w:before="240" w:after="0"/>
        <w:jc w:val="left"/>
        <w:rPr>
          <w:rFonts w:ascii="Times New Roman" w:hAnsi="Times New Roman"/>
          <w:sz w:val="20"/>
        </w:rPr>
      </w:pPr>
      <w:r>
        <w:rPr>
          <w:rFonts w:ascii="Times New Roman" w:hAnsi="Times New Roman"/>
          <w:sz w:val="20"/>
        </w:rPr>
        <w:t xml:space="preserve">(f) Permit the Company to remove the Trustee in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(g) Provide for direction to the Trustee under the Mortgage to vote pledged prior lien bonds for specified amendments to the prior lien mortgage; </w:t>
      </w:r>
    </w:p>
    <w:p>
      <w:pPr>
        <w:pStyle w:val="TextBody"/>
        <w:bidi w:val="0"/>
        <w:spacing w:before="240" w:after="0"/>
        <w:jc w:val="left"/>
        <w:rPr>
          <w:rFonts w:ascii="Times New Roman" w:hAnsi="Times New Roman"/>
          <w:sz w:val="20"/>
        </w:rPr>
      </w:pPr>
      <w:r>
        <w:rPr>
          <w:rFonts w:ascii="Times New Roman" w:hAnsi="Times New Roman"/>
          <w:sz w:val="20"/>
        </w:rPr>
        <w:t xml:space="preserve">(h) Provide broader investment directions to the Trustee or permitting the Company to direct investment of money held by the Trustee, so long as there is no event of default under the Mortgage; </w:t>
      </w:r>
    </w:p>
    <w:p>
      <w:pPr>
        <w:pStyle w:val="TextBody"/>
        <w:bidi w:val="0"/>
        <w:spacing w:before="240" w:after="0"/>
        <w:jc w:val="left"/>
        <w:rPr>
          <w:rFonts w:ascii="Times New Roman" w:hAnsi="Times New Roman"/>
          <w:sz w:val="20"/>
        </w:rPr>
      </w:pPr>
      <w:r>
        <w:rPr>
          <w:rFonts w:ascii="Times New Roman" w:hAnsi="Times New Roman"/>
          <w:sz w:val="20"/>
        </w:rPr>
        <w:t xml:space="preserve">(i) Amend the definition of “Excepted Property” to exclude property which generally cannot be mortgaged without undue administrative burden (i.e. automobiles), but allowing the Company to subject Excepted Property to the Mortgage; </w:t>
      </w:r>
    </w:p>
    <w:p>
      <w:pPr>
        <w:pStyle w:val="TextBody"/>
        <w:bidi w:val="0"/>
        <w:spacing w:before="240" w:after="0"/>
        <w:jc w:val="left"/>
        <w:rPr>
          <w:rFonts w:ascii="Times New Roman" w:hAnsi="Times New Roman"/>
          <w:sz w:val="20"/>
        </w:rPr>
      </w:pPr>
      <w:r>
        <w:rPr>
          <w:rFonts w:ascii="Times New Roman" w:hAnsi="Times New Roman"/>
          <w:sz w:val="20"/>
        </w:rPr>
        <w:t xml:space="preserve">(j) Amend the definition of “Bondable Property” to allow all mortgaged property to be bondable; and </w:t>
      </w:r>
    </w:p>
    <w:p>
      <w:pPr>
        <w:pStyle w:val="TextBody"/>
        <w:bidi w:val="0"/>
        <w:spacing w:before="240" w:after="0"/>
        <w:jc w:val="left"/>
        <w:rPr>
          <w:rFonts w:ascii="Times New Roman" w:hAnsi="Times New Roman"/>
          <w:sz w:val="20"/>
        </w:rPr>
      </w:pPr>
      <w:r>
        <w:rPr>
          <w:rFonts w:ascii="Times New Roman" w:hAnsi="Times New Roman"/>
          <w:sz w:val="20"/>
        </w:rPr>
        <w:t xml:space="preserve">(k) Update the definition of “Permitted Liens.” </w:t>
      </w:r>
    </w:p>
    <w:p>
      <w:pPr>
        <w:pStyle w:val="TextBody"/>
        <w:bidi w:val="0"/>
        <w:spacing w:before="480" w:after="0"/>
        <w:jc w:val="center"/>
        <w:rPr>
          <w:rFonts w:ascii="Times New Roman" w:hAnsi="Times New Roman"/>
          <w:sz w:val="20"/>
        </w:rPr>
      </w:pPr>
      <w:r>
        <w:rPr>
          <w:rFonts w:ascii="Times New Roman" w:hAnsi="Times New Roman"/>
          <w:sz w:val="20"/>
        </w:rPr>
        <w:t xml:space="preserve">ARTICLE VI </w:t>
      </w:r>
    </w:p>
    <w:p>
      <w:pPr>
        <w:pStyle w:val="TextBody"/>
        <w:bidi w:val="0"/>
        <w:spacing w:before="0" w:after="0"/>
        <w:jc w:val="center"/>
        <w:rPr>
          <w:rFonts w:ascii="Times New Roman" w:hAnsi="Times New Roman"/>
          <w:sz w:val="20"/>
        </w:rPr>
      </w:pPr>
      <w:r>
        <w:rPr>
          <w:rFonts w:ascii="Times New Roman" w:hAnsi="Times New Roman"/>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Section 1. </w:t>
      </w:r>
      <w:r>
        <w:rPr>
          <w:rFonts w:ascii="Times New Roman" w:hAnsi="Times New Roman"/>
          <w:i/>
          <w:sz w:val="20"/>
        </w:rPr>
        <w:t>Acceptance</w:t>
      </w:r>
      <w:r>
        <w:rPr>
          <w:rFonts w:ascii="Times New Roman" w:hAnsi="Times New Roman"/>
          <w:sz w:val="20"/>
        </w:rPr>
        <w:t> </w:t>
      </w:r>
      <w:r>
        <w:rPr>
          <w:rFonts w:ascii="Times New Roman" w:hAnsi="Times New Roman"/>
          <w:i/>
          <w:sz w:val="20"/>
        </w:rPr>
        <w:t>of Trust</w:t>
      </w:r>
      <w:r>
        <w:rPr>
          <w:rFonts w:ascii="Times New Roman" w:hAnsi="Times New Roman"/>
          <w:sz w:val="20"/>
        </w:rPr>
        <w:t xml:space="preserve">. The Trustee accepts the trusts herein declared, provided, created or supplemented and agrees to perform the same upon the terms and conditions herein and in the Original Indenture, as amended, set forth and upon the following terms and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2. </w:t>
      </w:r>
      <w:r>
        <w:rPr>
          <w:rFonts w:ascii="Times New Roman" w:hAnsi="Times New Roman"/>
          <w:i/>
          <w:sz w:val="20"/>
        </w:rPr>
        <w:t>Responsibility</w:t>
      </w:r>
      <w:r>
        <w:rPr>
          <w:rFonts w:ascii="Times New Roman" w:hAnsi="Times New Roman"/>
          <w:sz w:val="20"/>
        </w:rPr>
        <w:t> </w:t>
      </w:r>
      <w:r>
        <w:rPr>
          <w:rFonts w:ascii="Times New Roman" w:hAnsi="Times New Roman"/>
          <w:i/>
          <w:sz w:val="20"/>
        </w:rPr>
        <w:t xml:space="preserve">and Duty of Trustee. </w:t>
      </w:r>
      <w:r>
        <w:rPr>
          <w:rFonts w:ascii="Times New Roman" w:hAnsi="Times New Roman"/>
          <w:sz w:val="20"/>
        </w:rPr>
        <w:t xml:space="preserve">The Trustee shall not be responsible in any manner whatsoever for or in respect of the validity or sufficiency of this Supplemental Indenture or for or in respect of the recitals contained herein, all of which recitals are made by the Company solely. In general each and every term and condition contained in Article XIII of the Original Indenture, as amended by the Second Supplemental Indenture, shall apply to and form part of this Supplemental Indenture with the same force and effect as if the same were herein set forth in full with such omissions, variations and insertions, if any, as may be appropriate to make the same conform to the provisions of this Supplemental Indenture. </w:t>
      </w:r>
    </w:p>
    <w:p>
      <w:pPr>
        <w:pStyle w:val="TextBody"/>
        <w:bidi w:val="0"/>
        <w:spacing w:before="240" w:after="0"/>
        <w:jc w:val="left"/>
        <w:rPr>
          <w:rFonts w:ascii="Times New Roman" w:hAnsi="Times New Roman"/>
          <w:sz w:val="20"/>
        </w:rPr>
      </w:pPr>
      <w:r>
        <w:rPr>
          <w:rFonts w:ascii="Times New Roman" w:hAnsi="Times New Roman"/>
          <w:sz w:val="20"/>
        </w:rPr>
        <w:t>Section 3. </w:t>
      </w:r>
      <w:r>
        <w:rPr>
          <w:rFonts w:ascii="Times New Roman" w:hAnsi="Times New Roman"/>
          <w:i/>
          <w:sz w:val="20"/>
        </w:rPr>
        <w:t>Parties</w:t>
      </w:r>
      <w:r>
        <w:rPr>
          <w:rFonts w:ascii="Times New Roman" w:hAnsi="Times New Roman"/>
          <w:sz w:val="20"/>
        </w:rPr>
        <w:t> </w:t>
      </w:r>
      <w:r>
        <w:rPr>
          <w:rFonts w:ascii="Times New Roman" w:hAnsi="Times New Roman"/>
          <w:i/>
          <w:sz w:val="20"/>
        </w:rPr>
        <w:t xml:space="preserve">to Include Successors and Assigns. </w:t>
      </w:r>
      <w:r>
        <w:rPr>
          <w:rFonts w:ascii="Times New Roman" w:hAnsi="Times New Roman"/>
          <w:sz w:val="20"/>
        </w:rPr>
        <w:t xml:space="preserve">Whenever in this Supplemental Indenture either of the parties hereto is named or referred to, such reference shall, subject to the provisions of Articles XII and XIII of the Original Indenture, be deemed to include the successors and assigns of such party, and all the covenants and agreements in this Supplemental Indenture contained by or on behalf of the Company, or by or on behalf of the Trustee, shall, subject as aforesaid, bind and inure to the respective benefits of the respective successors and assigns of such parties, whether so expressed or not. </w:t>
      </w:r>
    </w:p>
    <w:p>
      <w:pPr>
        <w:pStyle w:val="TextBody"/>
        <w:bidi w:val="0"/>
        <w:spacing w:before="240" w:after="0"/>
        <w:jc w:val="left"/>
        <w:rPr>
          <w:rFonts w:ascii="Times New Roman" w:hAnsi="Times New Roman"/>
          <w:sz w:val="20"/>
        </w:rPr>
      </w:pPr>
      <w:r>
        <w:rPr>
          <w:rFonts w:ascii="Times New Roman" w:hAnsi="Times New Roman"/>
          <w:sz w:val="20"/>
        </w:rPr>
        <w:t>Section 4. </w:t>
      </w:r>
      <w:r>
        <w:rPr>
          <w:rFonts w:ascii="Times New Roman" w:hAnsi="Times New Roman"/>
          <w:i/>
          <w:sz w:val="20"/>
        </w:rPr>
        <w:t>Benefits</w:t>
      </w:r>
      <w:r>
        <w:rPr>
          <w:rFonts w:ascii="Times New Roman" w:hAnsi="Times New Roman"/>
          <w:sz w:val="20"/>
        </w:rPr>
        <w:t> </w:t>
      </w:r>
      <w:r>
        <w:rPr>
          <w:rFonts w:ascii="Times New Roman" w:hAnsi="Times New Roman"/>
          <w:i/>
          <w:sz w:val="20"/>
        </w:rPr>
        <w:t xml:space="preserve">Restricted to Parties and to Holders of Bonds and Coupons. </w:t>
      </w:r>
      <w:r>
        <w:rPr>
          <w:rFonts w:ascii="Times New Roman" w:hAnsi="Times New Roman"/>
          <w:sz w:val="20"/>
        </w:rPr>
        <w:t xml:space="preserve">Nothing in this Supplemental Indenture, expressed or implied, is intended or shall be construed, to confer upon, or to give to, any person, firm or corporation, other than the parties hereto and the holders of the Bonds and coupons outstanding under the Indenture, any right, remedy or claim under or by reason of this Supplemental Indenture or any covenant, condition, stipulation, promise or agreement hereof, and all the covenants, conditions, stipulations, promises and agreements in this Supplemental Indenture contained by and on behalf of the Company shall be for the sole and exclusive benefit of the parties hereto, and of the holders of the Bonds and of the coupons outstanding under the Indenture. </w:t>
      </w:r>
    </w:p>
    <w:p>
      <w:pPr>
        <w:pStyle w:val="TextBody"/>
        <w:bidi w:val="0"/>
        <w:spacing w:before="240" w:after="0"/>
        <w:jc w:val="left"/>
        <w:rPr>
          <w:rFonts w:ascii="Times New Roman" w:hAnsi="Times New Roman"/>
          <w:sz w:val="20"/>
        </w:rPr>
      </w:pPr>
      <w:r>
        <w:rPr>
          <w:rFonts w:ascii="Times New Roman" w:hAnsi="Times New Roman"/>
          <w:sz w:val="20"/>
        </w:rPr>
        <w:t>Section 5. </w:t>
      </w:r>
      <w:r>
        <w:rPr>
          <w:rFonts w:ascii="Times New Roman" w:hAnsi="Times New Roman"/>
          <w:i/>
          <w:sz w:val="20"/>
        </w:rPr>
        <w:t>Execution</w:t>
      </w:r>
      <w:r>
        <w:rPr>
          <w:rFonts w:ascii="Times New Roman" w:hAnsi="Times New Roman"/>
          <w:sz w:val="20"/>
        </w:rPr>
        <w:t> </w:t>
      </w:r>
      <w:r>
        <w:rPr>
          <w:rFonts w:ascii="Times New Roman" w:hAnsi="Times New Roman"/>
          <w:i/>
          <w:sz w:val="20"/>
        </w:rPr>
        <w:t xml:space="preserve">in Counterparts. </w:t>
      </w:r>
      <w:r>
        <w:rPr>
          <w:rFonts w:ascii="Times New Roman" w:hAnsi="Times New Roman"/>
          <w:sz w:val="20"/>
        </w:rPr>
        <w:t xml:space="preserve">This Supplemental Indenture may be executed in several counterparts, and all such counterparts executed and delivered, each as an original, shall constitute but one and the same instrument. </w:t>
      </w:r>
    </w:p>
    <w:p>
      <w:pPr>
        <w:pStyle w:val="TextBody"/>
        <w:bidi w:val="0"/>
        <w:spacing w:before="240" w:after="0"/>
        <w:jc w:val="left"/>
        <w:rPr>
          <w:rFonts w:ascii="Times New Roman" w:hAnsi="Times New Roman"/>
          <w:sz w:val="20"/>
        </w:rPr>
      </w:pPr>
      <w:r>
        <w:rPr>
          <w:rFonts w:ascii="Times New Roman" w:hAnsi="Times New Roman"/>
          <w:sz w:val="20"/>
        </w:rPr>
        <w:t>Section 6. </w:t>
      </w:r>
      <w:r>
        <w:rPr>
          <w:rFonts w:ascii="Times New Roman" w:hAnsi="Times New Roman"/>
          <w:i/>
          <w:sz w:val="20"/>
        </w:rPr>
        <w:t>Titles</w:t>
      </w:r>
      <w:r>
        <w:rPr>
          <w:rFonts w:ascii="Times New Roman" w:hAnsi="Times New Roman"/>
          <w:sz w:val="20"/>
        </w:rPr>
        <w:t> </w:t>
      </w:r>
      <w:r>
        <w:rPr>
          <w:rFonts w:ascii="Times New Roman" w:hAnsi="Times New Roman"/>
          <w:i/>
          <w:sz w:val="20"/>
        </w:rPr>
        <w:t xml:space="preserve">of Articles Not Part of the Fifty-Fifth Supplemental Indenture. </w:t>
      </w:r>
      <w:r>
        <w:rPr>
          <w:rFonts w:ascii="Times New Roman" w:hAnsi="Times New Roman"/>
          <w:sz w:val="20"/>
        </w:rPr>
        <w:t xml:space="preserve">The Titles of the several Articles of this Supplemental Indenture shall not be deemed to be any part thereof. </w:t>
      </w:r>
    </w:p>
    <w:p>
      <w:pPr>
        <w:pStyle w:val="TextBody"/>
        <w:bidi w:val="0"/>
        <w:spacing w:before="240" w:after="0"/>
        <w:jc w:val="left"/>
        <w:rPr>
          <w:rFonts w:ascii="Times New Roman" w:hAnsi="Times New Roman"/>
          <w:sz w:val="20"/>
        </w:rPr>
      </w:pPr>
      <w:r>
        <w:rPr>
          <w:rFonts w:ascii="Times New Roman" w:hAnsi="Times New Roman"/>
          <w:sz w:val="20"/>
        </w:rPr>
        <w:t>Section 7. </w:t>
      </w:r>
      <w:r>
        <w:rPr>
          <w:rFonts w:ascii="Times New Roman" w:hAnsi="Times New Roman"/>
          <w:i/>
          <w:sz w:val="20"/>
        </w:rPr>
        <w:t>Electronic Means</w:t>
      </w:r>
      <w:r>
        <w:rPr>
          <w:rFonts w:ascii="Times New Roman" w:hAnsi="Times New Roman"/>
          <w:sz w:val="20"/>
        </w:rPr>
        <w:t xml:space="preserve">. With respect to the Bonds of the 5.300% Series due 2036: </w:t>
      </w:r>
    </w:p>
    <w:p>
      <w:pPr>
        <w:pStyle w:val="TextBody"/>
        <w:bidi w:val="0"/>
        <w:spacing w:before="240" w:after="0"/>
        <w:jc w:val="left"/>
        <w:rPr>
          <w:rFonts w:ascii="Times New Roman" w:hAnsi="Times New Roman"/>
          <w:sz w:val="20"/>
        </w:rPr>
      </w:pPr>
      <w:r>
        <w:rPr>
          <w:rFonts w:ascii="Times New Roman" w:hAnsi="Times New Roman"/>
          <w:sz w:val="20"/>
        </w:rPr>
        <w:t>The Trustee shall have the right to accept and act upon instructions (“</w:t>
      </w:r>
      <w:r>
        <w:rPr>
          <w:rFonts w:ascii="Times New Roman" w:hAnsi="Times New Roman"/>
          <w:b/>
          <w:sz w:val="20"/>
        </w:rPr>
        <w:t>Instructions</w:t>
      </w:r>
      <w:r>
        <w:rPr>
          <w:rFonts w:ascii="Times New Roman" w:hAnsi="Times New Roman"/>
          <w:sz w:val="20"/>
        </w:rPr>
        <w:t>”), including fund transfer instructions given pursuant to this Supplemental Indenture and delivered using Electronic Means; provided, however, that the Company shall provide to the Trustee an incumbency certificate listing officers and other Company personnel with the authority to provide such Instructions (“</w:t>
      </w:r>
      <w:r>
        <w:rPr>
          <w:rFonts w:ascii="Times New Roman" w:hAnsi="Times New Roman"/>
          <w:b/>
          <w:sz w:val="20"/>
        </w:rPr>
        <w:t>Authorized Officers</w:t>
      </w:r>
      <w:r>
        <w:rPr>
          <w:rFonts w:ascii="Times New Roman" w:hAnsi="Times New Roman"/>
          <w:sz w:val="20"/>
        </w:rPr>
        <w:t xml:space="preserve">”) and containing specimen signatures of such Authorized Officers, which incumbency certificate shall be amended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whenever a person is to be added or deleted from the listing or promptly upon reasonable request of the Trustee. If the Company elects to give the Trustee Instructions using Electronic Means and the Trustee in its reasonable discretion elects to act upon such Instructions, the Trustee’s reasonable understanding of such Instructions shall be deemed controlling. The Company understands and agrees that the Trustee shall be entitled to presume that directions that purport to have been sent by an Authorized Officer listed on the incumbency certificate provided to the Trustee have been sent by such Authorized Officer. The Company shall establish reasonable procedures to ensure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the Electronic Means it selects to submit Instructions to the Trustee, including without limitation the risk of the Trustee acting on unauthorized Instructions, and the risk of interception and misuse by third parties; (ii) that it is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 For purposes of this Section 7, “Electronic Means” shall mean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 </w:t>
      </w:r>
    </w:p>
    <w:p>
      <w:pPr>
        <w:pStyle w:val="TextBody"/>
        <w:bidi w:val="0"/>
        <w:spacing w:before="240" w:after="0"/>
        <w:jc w:val="left"/>
        <w:rPr>
          <w:rFonts w:ascii="Times New Roman" w:hAnsi="Times New Roman"/>
          <w:sz w:val="20"/>
        </w:rPr>
      </w:pPr>
      <w:r>
        <w:rPr>
          <w:rFonts w:ascii="Times New Roman" w:hAnsi="Times New Roman"/>
          <w:sz w:val="20"/>
        </w:rPr>
        <w:t>Section 8. </w:t>
      </w:r>
      <w:r>
        <w:rPr>
          <w:rFonts w:ascii="Times New Roman" w:hAnsi="Times New Roman"/>
          <w:i/>
          <w:sz w:val="20"/>
        </w:rPr>
        <w:t xml:space="preserve">OFAC Compliance. </w:t>
      </w:r>
      <w:r>
        <w:rPr>
          <w:rFonts w:ascii="Times New Roman" w:hAnsi="Times New Roman"/>
          <w:sz w:val="20"/>
        </w:rPr>
        <w:t xml:space="preserve">With respect to the Bonds of the 5.300% Series due 2036: </w:t>
      </w:r>
    </w:p>
    <w:p>
      <w:pPr>
        <w:pStyle w:val="TextBody"/>
        <w:bidi w:val="0"/>
        <w:spacing w:before="120" w:after="0"/>
        <w:jc w:val="left"/>
        <w:rPr>
          <w:rFonts w:ascii="Times New Roman" w:hAnsi="Times New Roman"/>
          <w:sz w:val="20"/>
        </w:rPr>
      </w:pPr>
      <w:r>
        <w:rPr>
          <w:rFonts w:ascii="Times New Roman" w:hAnsi="Times New Roman"/>
          <w:sz w:val="20"/>
        </w:rPr>
        <w:t>(a) The Company covenants and represents that neither it nor, to the knowledge of the Company, any of its affiliates, subsidiaries, directors or officers are the target or subject of any sanctions enforced by the US Government (including the Office of Foreign Assets Control of the US Department of the Treasury (“</w:t>
      </w:r>
      <w:r>
        <w:rPr>
          <w:rFonts w:ascii="Times New Roman" w:hAnsi="Times New Roman"/>
          <w:b/>
          <w:sz w:val="20"/>
        </w:rPr>
        <w:t>OFAC</w:t>
      </w:r>
      <w:r>
        <w:rPr>
          <w:rFonts w:ascii="Times New Roman" w:hAnsi="Times New Roman"/>
          <w:sz w:val="20"/>
        </w:rPr>
        <w:t>”)), the United Nations Security Council, the European Union, His Majesty’s Treasury, or other relevant sanctions authority (collectively, “</w:t>
      </w:r>
      <w:r>
        <w:rPr>
          <w:rFonts w:ascii="Times New Roman" w:hAnsi="Times New Roman"/>
          <w:b/>
          <w:sz w:val="20"/>
        </w:rPr>
        <w:t>Sanctions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covenants and represents that neither it nor any of its affiliates, subsidiaries, directors or officers will use any part of the proceeds received in connection with the Indenture or any other of the transaction documents (i) to fund or facilitate any activities of or business with any person who, at the time of such funding or facilitation, is the subject or target of Sanctions, (ii) to fund or facilitate any activities of or business with any country or territory that is the target or subject of Sanctions, or (iii) in any other manner that will result in a violation of Sanctions by any person. </w:t>
      </w:r>
    </w:p>
    <w:p>
      <w:pPr>
        <w:pStyle w:val="TextBody"/>
        <w:bidi w:val="0"/>
        <w:spacing w:before="240" w:after="0"/>
        <w:jc w:val="left"/>
        <w:rPr>
          <w:rFonts w:ascii="Times New Roman" w:hAnsi="Times New Roman"/>
          <w:sz w:val="20"/>
        </w:rPr>
      </w:pPr>
      <w:r>
        <w:rPr>
          <w:rFonts w:ascii="Times New Roman" w:hAnsi="Times New Roman"/>
          <w:sz w:val="20"/>
        </w:rPr>
        <w:t>Section 9. </w:t>
      </w:r>
      <w:r>
        <w:rPr>
          <w:rFonts w:ascii="Times New Roman" w:hAnsi="Times New Roman"/>
          <w:i/>
          <w:sz w:val="20"/>
        </w:rPr>
        <w:t>FATCA.</w:t>
      </w:r>
      <w:r>
        <w:rPr>
          <w:rFonts w:ascii="Times New Roman" w:hAnsi="Times New Roman"/>
          <w:sz w:val="20"/>
        </w:rPr>
        <w:t xml:space="preserve"> In order to comply with applicable tax laws, rules and regulations (inclusive of directives, guidelines and interpretations promulgated by competent authorities) in effect from time to time (“</w:t>
      </w:r>
      <w:r>
        <w:rPr>
          <w:rFonts w:ascii="Times New Roman" w:hAnsi="Times New Roman"/>
          <w:b/>
          <w:sz w:val="20"/>
        </w:rPr>
        <w:t>Applicable Law</w:t>
      </w:r>
      <w:r>
        <w:rPr>
          <w:rFonts w:ascii="Times New Roman" w:hAnsi="Times New Roman"/>
          <w:sz w:val="20"/>
        </w:rPr>
        <w:t xml:space="preserve">”) that a foreign financial institution, issuer, trustee, paying agent, holder or other institution is or has agreed to be subject to related to this Supplemental Indenture, the Company agrees (i) to provide to the Trustee sufficient information about holders or other applicable parties and/or transactions (including any modification to the terms of such transactions) so the Trustee can determine whether it has tax related obligations under Applicable Law, (ii) that the Trustee shall be entitled to make any withholding or deduction from payments under the Indenture to the extent necessary to comply with Applicable Law for which the Trustee shall not have any liability, and (iii) to hold harmless the Trustee for any losses it may suffer due to the actions it takes to comply with such Applicable Law. The terms of this paragraph shall survive the termination of this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HEREOF, EVERGY KANSAS CENTRAL, INC., party hereto of the first part, has caused its corporate name to be hereunto affixed, and this instrument to be signed and sealed by its Chairman of the Board, President, Chief Executive Officer or a Vice President, and its corporate seal to be attested by its Secretary or an Assistant Secretary for and in its behalf, and The Bank of New York Mellon Trust Company, N.A., party hereto of the second part, has caused its corporate name to be hereunto affixed, and this instrument to be signed and attested by its duly authorized officer, all as of the day and year first above written. </w:t>
      </w:r>
    </w:p>
    <w:p>
      <w:pPr>
        <w:pStyle w:val="TextBody"/>
        <w:bidi w:val="0"/>
        <w:spacing w:before="240" w:after="0"/>
        <w:jc w:val="left"/>
        <w:rPr>
          <w:rFonts w:ascii="Times New Roman" w:hAnsi="Times New Roman"/>
          <w:sz w:val="20"/>
        </w:rPr>
      </w:pPr>
      <w:r>
        <w:rPr>
          <w:rFonts w:ascii="Times New Roman" w:hAnsi="Times New Roman"/>
          <w:sz w:val="20"/>
        </w:rPr>
        <w:t xml:space="preserve">(CORPORATE SEAL)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2"/>
        <w:gridCol w:w="60"/>
        <w:gridCol w:w="3630"/>
      </w:tblGrid>
      <w:tr>
        <w:trPr/>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EVERGY KANSAS CENTRAL, INC.</w:t>
            </w:r>
          </w:p>
        </w:tc>
      </w:tr>
      <w:tr>
        <w:trPr>
          <w:trHeight w:val="240" w:hRule="atLeast"/>
        </w:trPr>
        <w:tc>
          <w:tcPr>
            <w:tcW w:w="392" w:type="dxa"/>
            <w:tcBorders/>
            <w:vAlign w:val="center"/>
          </w:tcPr>
          <w:p>
            <w:pPr>
              <w:pStyle w:val="TableContents"/>
              <w:bidi w:val="0"/>
              <w:spacing w:before="0" w:after="283"/>
              <w:jc w:val="left"/>
              <w:rPr>
                <w:sz w:val="4"/>
                <w:szCs w:val="4"/>
              </w:rPr>
            </w:pPr>
            <w:r>
              <w:rPr>
                <w:sz w:val="4"/>
                <w:szCs w:val="4"/>
              </w:rPr>
            </w:r>
          </w:p>
        </w:tc>
        <w:tc>
          <w:tcPr>
            <w:tcW w:w="3690" w:type="dxa"/>
            <w:gridSpan w:val="2"/>
            <w:tcBorders/>
            <w:vAlign w:val="center"/>
          </w:tcPr>
          <w:p>
            <w:pPr>
              <w:pStyle w:val="TableContents"/>
              <w:bidi w:val="0"/>
              <w:spacing w:before="0" w:after="283"/>
              <w:jc w:val="left"/>
              <w:rPr>
                <w:sz w:val="4"/>
                <w:szCs w:val="4"/>
              </w:rPr>
            </w:pPr>
            <w:r>
              <w:rPr>
                <w:sz w:val="4"/>
                <w:szCs w:val="4"/>
              </w:rPr>
            </w:r>
          </w:p>
        </w:tc>
      </w:tr>
      <w:tr>
        <w:trPr/>
        <w:tc>
          <w:tcPr>
            <w:tcW w:w="3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Geoffrey T. Ley</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0"/>
              <w:jc w:val="left"/>
              <w:rPr>
                <w:rFonts w:ascii="Times New Roman" w:hAnsi="Times New Roman"/>
                <w:sz w:val="20"/>
              </w:rPr>
            </w:pPr>
            <w:r>
              <w:rPr>
                <w:rFonts w:ascii="Times New Roman" w:hAnsi="Times New Roman"/>
                <w:sz w:val="20"/>
              </w:rPr>
              <w:t>Geoffrey T. Ley</w:t>
            </w:r>
          </w:p>
          <w:p>
            <w:pPr>
              <w:pStyle w:val="TableContents"/>
              <w:bidi w:val="0"/>
              <w:spacing w:before="0" w:after="20"/>
              <w:jc w:val="left"/>
              <w:rPr>
                <w:rFonts w:ascii="Times New Roman" w:hAnsi="Times New Roman"/>
                <w:sz w:val="20"/>
              </w:rPr>
            </w:pPr>
            <w:r>
              <w:rPr>
                <w:rFonts w:ascii="Times New Roman" w:hAnsi="Times New Roman"/>
                <w:sz w:val="20"/>
              </w:rPr>
              <w:t>Senior Vice President, Corporate Planning and Treasurer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7"/>
        <w:gridCol w:w="61"/>
        <w:gridCol w:w="3644"/>
      </w:tblGrid>
      <w:tr>
        <w:trPr/>
        <w:tc>
          <w:tcPr>
            <w:tcW w:w="3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ATTEST:</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Heather A. Humphrey</w:t>
            </w:r>
          </w:p>
        </w:tc>
      </w:tr>
      <w:tr>
        <w:trPr/>
        <w:tc>
          <w:tcPr>
            <w:tcW w:w="377"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0"/>
              <w:jc w:val="left"/>
              <w:rPr>
                <w:rFonts w:ascii="Times New Roman" w:hAnsi="Times New Roman"/>
                <w:sz w:val="20"/>
              </w:rPr>
            </w:pPr>
            <w:r>
              <w:rPr>
                <w:rFonts w:ascii="Times New Roman" w:hAnsi="Times New Roman"/>
                <w:sz w:val="20"/>
              </w:rPr>
              <w:t>Heather A. Humphrey,</w:t>
            </w:r>
          </w:p>
          <w:p>
            <w:pPr>
              <w:pStyle w:val="TableContents"/>
              <w:bidi w:val="0"/>
              <w:spacing w:before="0" w:after="0"/>
              <w:jc w:val="left"/>
              <w:rPr>
                <w:rFonts w:ascii="Times New Roman" w:hAnsi="Times New Roman"/>
                <w:sz w:val="20"/>
              </w:rPr>
            </w:pPr>
            <w:r>
              <w:rPr>
                <w:rFonts w:ascii="Times New Roman" w:hAnsi="Times New Roman"/>
                <w:sz w:val="20"/>
              </w:rPr>
              <w:t>Senior Vice President,</w:t>
            </w:r>
          </w:p>
          <w:p>
            <w:pPr>
              <w:pStyle w:val="TableContents"/>
              <w:bidi w:val="0"/>
              <w:spacing w:before="0" w:after="20"/>
              <w:jc w:val="left"/>
              <w:rPr>
                <w:rFonts w:ascii="Times New Roman" w:hAnsi="Times New Roman"/>
                <w:sz w:val="20"/>
              </w:rPr>
            </w:pPr>
            <w:r>
              <w:rPr>
                <w:rFonts w:ascii="Times New Roman" w:hAnsi="Times New Roman"/>
                <w:sz w:val="20"/>
              </w:rPr>
              <w:t>General Counsel and Corporate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3"/>
        <w:gridCol w:w="61"/>
        <w:gridCol w:w="3618"/>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TRUST COMPANY, N.A., as Trustee</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Ann M. Dolezal</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Ann M. Dolezal</w:t>
            </w:r>
          </w:p>
          <w:p>
            <w:pPr>
              <w:pStyle w:val="TableContents"/>
              <w:bidi w:val="0"/>
              <w:spacing w:before="0" w:after="20"/>
              <w:jc w:val="left"/>
              <w:rPr>
                <w:rFonts w:ascii="Times New Roman" w:hAnsi="Times New Roman"/>
                <w:sz w:val="20"/>
              </w:rPr>
            </w:pPr>
            <w:r>
              <w:rPr>
                <w:rFonts w:ascii="Times New Roman" w:hAnsi="Times New Roman"/>
                <w:sz w:val="20"/>
              </w:rPr>
              <w:t>Title: Vice President</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8"/>
        <w:gridCol w:w="61"/>
        <w:gridCol w:w="3643"/>
      </w:tblGrid>
      <w:tr>
        <w:trPr/>
        <w:tc>
          <w:tcPr>
            <w:tcW w:w="378"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ATTEST:</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Mitchell L. Brumwell</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Mitchell L. Brumwell</w:t>
            </w:r>
          </w:p>
          <w:p>
            <w:pPr>
              <w:pStyle w:val="TableContents"/>
              <w:bidi w:val="0"/>
              <w:spacing w:before="0" w:after="20"/>
              <w:jc w:val="left"/>
              <w:rPr>
                <w:rFonts w:ascii="Times New Roman" w:hAnsi="Times New Roman"/>
                <w:sz w:val="20"/>
              </w:rPr>
            </w:pPr>
            <w:r>
              <w:rPr>
                <w:rFonts w:ascii="Times New Roman" w:hAnsi="Times New Roman"/>
                <w:sz w:val="20"/>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 OF MISSOURI  ) </w:t>
      </w:r>
    </w:p>
    <w:p>
      <w:pPr>
        <w:pStyle w:val="TextBody"/>
        <w:bidi w:val="0"/>
        <w:spacing w:before="0" w:after="0"/>
        <w:jc w:val="left"/>
        <w:rPr>
          <w:rFonts w:ascii="Times New Roman" w:hAnsi="Times New Roman"/>
          <w:sz w:val="20"/>
        </w:rPr>
      </w:pPr>
      <w:r>
        <w:rPr>
          <w:rFonts w:ascii="Times New Roman" w:hAnsi="Times New Roman"/>
          <w:sz w:val="20"/>
        </w:rPr>
        <w:t xml:space="preserve">: ss.: </w:t>
      </w:r>
    </w:p>
    <w:p>
      <w:pPr>
        <w:pStyle w:val="TextBody"/>
        <w:bidi w:val="0"/>
        <w:spacing w:before="0" w:after="0"/>
        <w:jc w:val="left"/>
        <w:rPr>
          <w:rFonts w:ascii="Times New Roman" w:hAnsi="Times New Roman"/>
          <w:sz w:val="20"/>
        </w:rPr>
      </w:pPr>
      <w:r>
        <w:rPr>
          <w:rFonts w:ascii="Times New Roman" w:hAnsi="Times New Roman"/>
          <w:sz w:val="20"/>
        </w:rPr>
        <w:t xml:space="preserve">COUNTY OF JACKSON ) </w:t>
      </w:r>
    </w:p>
    <w:p>
      <w:pPr>
        <w:pStyle w:val="TextBody"/>
        <w:bidi w:val="0"/>
        <w:spacing w:before="240" w:after="0"/>
        <w:jc w:val="left"/>
        <w:rPr>
          <w:rFonts w:ascii="Times New Roman" w:hAnsi="Times New Roman"/>
          <w:sz w:val="20"/>
        </w:rPr>
      </w:pPr>
      <w:r>
        <w:rPr>
          <w:rFonts w:ascii="Times New Roman" w:hAnsi="Times New Roman"/>
          <w:sz w:val="20"/>
        </w:rPr>
        <w:t xml:space="preserve">BE IT REMEMBERED, that on this 24th day of June, 2026, before me, the undersigned, a Notary Public within and for the County and State aforesaid, personally came Geoffrey T. Ley and Heather A. Humphrey, of Evergy Kansas Central, Inc., a corporation duly organized, incorporated and existing under the laws of the State of Kansas, who are personally known to me to be such officers, and who are personally known to me to be the same persons who executed as such officers the within instrument of writing, and such persons duly acknowledged the execution of the same to be the act and deed of said corporation.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I have hereunto subscribed my name and affixed my official seal on the day and year last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Nicole A. Wehry</w:t>
            </w:r>
          </w:p>
          <w:p>
            <w:pPr>
              <w:pStyle w:val="TableContents"/>
              <w:bidi w:val="0"/>
              <w:spacing w:before="0" w:after="0"/>
              <w:jc w:val="center"/>
              <w:rPr>
                <w:rFonts w:ascii="Times New Roman" w:hAnsi="Times New Roman"/>
                <w:sz w:val="20"/>
              </w:rPr>
            </w:pPr>
            <w:r>
              <w:rPr>
                <w:rFonts w:ascii="Times New Roman" w:hAnsi="Times New Roman"/>
                <w:sz w:val="20"/>
              </w:rPr>
              <w:t>Notary Public</w:t>
            </w:r>
          </w:p>
          <w:p>
            <w:pPr>
              <w:pStyle w:val="TableContents"/>
              <w:bidi w:val="0"/>
              <w:spacing w:before="0" w:after="0"/>
              <w:jc w:val="center"/>
              <w:rPr>
                <w:rFonts w:ascii="Times New Roman" w:hAnsi="Times New Roman"/>
                <w:sz w:val="20"/>
              </w:rPr>
            </w:pPr>
            <w:r>
              <w:rPr>
                <w:rFonts w:ascii="Times New Roman" w:hAnsi="Times New Roman"/>
                <w:sz w:val="20"/>
              </w:rPr>
              <w:t>My Commission Expires</w:t>
            </w:r>
          </w:p>
          <w:p>
            <w:pPr>
              <w:pStyle w:val="TableContents"/>
              <w:bidi w:val="0"/>
              <w:spacing w:before="0" w:after="20"/>
              <w:jc w:val="center"/>
              <w:rPr>
                <w:rFonts w:ascii="Times New Roman" w:hAnsi="Times New Roman"/>
                <w:sz w:val="20"/>
              </w:rPr>
            </w:pPr>
            <w:r>
              <w:rPr>
                <w:rFonts w:ascii="Times New Roman" w:hAnsi="Times New Roman"/>
                <w:sz w:val="20"/>
              </w:rPr>
              <w:t>February 4, 2027</w:t>
            </w:r>
          </w:p>
        </w:tc>
      </w:tr>
    </w:tbl>
    <w:p>
      <w:pPr>
        <w:pStyle w:val="TextBody"/>
        <w:bidi w:val="0"/>
        <w:spacing w:before="240" w:after="0"/>
        <w:jc w:val="left"/>
        <w:rPr>
          <w:rFonts w:ascii="Times New Roman" w:hAnsi="Times New Roman"/>
          <w:sz w:val="20"/>
        </w:rPr>
      </w:pPr>
      <w:r>
        <w:rPr>
          <w:rFonts w:ascii="Times New Roman" w:hAnsi="Times New Roman"/>
          <w:sz w:val="20"/>
        </w:rPr>
        <w:t xml:space="preserve">NICOLE A. WEHRY </w:t>
      </w:r>
    </w:p>
    <w:p>
      <w:pPr>
        <w:pStyle w:val="TextBody"/>
        <w:bidi w:val="0"/>
        <w:spacing w:before="0" w:after="0"/>
        <w:jc w:val="left"/>
        <w:rPr>
          <w:rFonts w:ascii="Times New Roman" w:hAnsi="Times New Roman"/>
          <w:sz w:val="20"/>
        </w:rPr>
      </w:pPr>
      <w:r>
        <w:rPr>
          <w:rFonts w:ascii="Times New Roman" w:hAnsi="Times New Roman"/>
          <w:sz w:val="20"/>
        </w:rPr>
        <w:t xml:space="preserve">NOTARY PUBLIC – NOTARY SEAL </w:t>
      </w:r>
    </w:p>
    <w:p>
      <w:pPr>
        <w:pStyle w:val="TextBody"/>
        <w:bidi w:val="0"/>
        <w:spacing w:before="0" w:after="0"/>
        <w:jc w:val="left"/>
        <w:rPr>
          <w:rFonts w:ascii="Times New Roman" w:hAnsi="Times New Roman"/>
          <w:sz w:val="20"/>
        </w:rPr>
      </w:pPr>
      <w:r>
        <w:rPr>
          <w:rFonts w:ascii="Times New Roman" w:hAnsi="Times New Roman"/>
          <w:sz w:val="20"/>
        </w:rPr>
        <w:t xml:space="preserve">STATE OF MISSOURI </w:t>
      </w:r>
    </w:p>
    <w:p>
      <w:pPr>
        <w:pStyle w:val="TextBody"/>
        <w:bidi w:val="0"/>
        <w:spacing w:before="0" w:after="0"/>
        <w:jc w:val="left"/>
        <w:rPr>
          <w:rFonts w:ascii="Times New Roman" w:hAnsi="Times New Roman"/>
          <w:sz w:val="20"/>
        </w:rPr>
      </w:pPr>
      <w:r>
        <w:rPr>
          <w:rFonts w:ascii="Times New Roman" w:hAnsi="Times New Roman"/>
          <w:sz w:val="20"/>
        </w:rPr>
        <w:t xml:space="preserve">MY COMMISSION EXPIRES FEBRUARY 4, 2027 </w:t>
      </w:r>
    </w:p>
    <w:p>
      <w:pPr>
        <w:pStyle w:val="TextBody"/>
        <w:bidi w:val="0"/>
        <w:spacing w:before="0" w:after="0"/>
        <w:jc w:val="left"/>
        <w:rPr>
          <w:rFonts w:ascii="Times New Roman" w:hAnsi="Times New Roman"/>
          <w:sz w:val="20"/>
        </w:rPr>
      </w:pPr>
      <w:r>
        <w:rPr>
          <w:rFonts w:ascii="Times New Roman" w:hAnsi="Times New Roman"/>
          <w:sz w:val="20"/>
        </w:rPr>
        <w:t xml:space="preserve">JACKSON COUNTY </w:t>
      </w:r>
    </w:p>
    <w:p>
      <w:pPr>
        <w:pStyle w:val="TextBody"/>
        <w:bidi w:val="0"/>
        <w:spacing w:before="0" w:after="0"/>
        <w:jc w:val="left"/>
        <w:rPr>
          <w:rFonts w:ascii="Times New Roman" w:hAnsi="Times New Roman"/>
          <w:sz w:val="20"/>
        </w:rPr>
      </w:pPr>
      <w:r>
        <w:rPr>
          <w:rFonts w:ascii="Times New Roman" w:hAnsi="Times New Roman"/>
          <w:sz w:val="20"/>
        </w:rPr>
        <w:t xml:space="preserve">COMMISSION #14391200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 OF MISSOURI  ) </w:t>
      </w:r>
    </w:p>
    <w:p>
      <w:pPr>
        <w:pStyle w:val="TextBody"/>
        <w:bidi w:val="0"/>
        <w:spacing w:before="0" w:after="0"/>
        <w:jc w:val="left"/>
        <w:rPr/>
      </w:pPr>
      <w:r>
        <w:rPr/>
        <w:t> </w:t>
      </w:r>
      <w:r>
        <w:rPr>
          <w:rFonts w:ascii="Times New Roman" w:hAnsi="Times New Roman"/>
          <w:sz w:val="20"/>
        </w:rPr>
        <w:t xml:space="preserve">: ss.: </w:t>
      </w:r>
    </w:p>
    <w:p>
      <w:pPr>
        <w:pStyle w:val="TextBody"/>
        <w:bidi w:val="0"/>
        <w:spacing w:before="0" w:after="0"/>
        <w:jc w:val="left"/>
        <w:rPr>
          <w:rFonts w:ascii="Times New Roman" w:hAnsi="Times New Roman"/>
          <w:sz w:val="20"/>
        </w:rPr>
      </w:pPr>
      <w:r>
        <w:rPr>
          <w:rFonts w:ascii="Times New Roman" w:hAnsi="Times New Roman"/>
          <w:sz w:val="20"/>
        </w:rPr>
        <w:t xml:space="preserve">COUNTY OF JACKSON ) </w:t>
      </w:r>
    </w:p>
    <w:p>
      <w:pPr>
        <w:pStyle w:val="TextBody"/>
        <w:bidi w:val="0"/>
        <w:spacing w:before="240" w:after="0"/>
        <w:jc w:val="left"/>
        <w:rPr>
          <w:rFonts w:ascii="Times New Roman" w:hAnsi="Times New Roman"/>
          <w:sz w:val="20"/>
        </w:rPr>
      </w:pPr>
      <w:r>
        <w:rPr>
          <w:rFonts w:ascii="Times New Roman" w:hAnsi="Times New Roman"/>
          <w:sz w:val="20"/>
        </w:rPr>
        <w:t xml:space="preserve">BE IT REMEMBERED, that on this 24th day of June, 2026, before me, the undersigned, a Notary Public within and for the County and State aforesaid, personally came Geoffrey T. Ley, and Heather A. Humphrey, of Evergy Kansas Central, Inc., a corporation duly organized, incorporated and existing under the laws of the State of Kansas, who are personally known to me to be such officers, being by me respectively duly sworn, did each say that the said Geoffrey T. Ley is Senior Vice President, Corporate Planning and Treasurer and that the said Heather A. Humphrey is Senior Vice President, General Counsel and Corporate Secretary of said corporation, that the consideration of and for the foregoing instrument was actual and adequate, that the same was made and given in good faith, for the uses and purposes therein set forth and without any intent to hinder, delay, or defraud creditors or purchasers.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I have hereunto subscribed my name and affixed my official seal on the day and year last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Nicole A. Wehry</w:t>
            </w:r>
          </w:p>
          <w:p>
            <w:pPr>
              <w:pStyle w:val="TableContents"/>
              <w:bidi w:val="0"/>
              <w:spacing w:before="0" w:after="0"/>
              <w:jc w:val="center"/>
              <w:rPr>
                <w:rFonts w:ascii="Times New Roman" w:hAnsi="Times New Roman"/>
                <w:sz w:val="20"/>
              </w:rPr>
            </w:pPr>
            <w:r>
              <w:rPr>
                <w:rFonts w:ascii="Times New Roman" w:hAnsi="Times New Roman"/>
                <w:sz w:val="20"/>
              </w:rPr>
              <w:t>Notary Public</w:t>
            </w:r>
          </w:p>
          <w:p>
            <w:pPr>
              <w:pStyle w:val="TableContents"/>
              <w:bidi w:val="0"/>
              <w:spacing w:before="0" w:after="0"/>
              <w:jc w:val="center"/>
              <w:rPr>
                <w:rFonts w:ascii="Times New Roman" w:hAnsi="Times New Roman"/>
                <w:sz w:val="20"/>
              </w:rPr>
            </w:pPr>
            <w:r>
              <w:rPr>
                <w:rFonts w:ascii="Times New Roman" w:hAnsi="Times New Roman"/>
                <w:sz w:val="20"/>
              </w:rPr>
              <w:t>My Commission Expires</w:t>
            </w:r>
          </w:p>
          <w:p>
            <w:pPr>
              <w:pStyle w:val="TableContents"/>
              <w:bidi w:val="0"/>
              <w:spacing w:before="0" w:after="20"/>
              <w:jc w:val="center"/>
              <w:rPr>
                <w:rFonts w:ascii="Times New Roman" w:hAnsi="Times New Roman"/>
                <w:sz w:val="20"/>
              </w:rPr>
            </w:pPr>
            <w:r>
              <w:rPr>
                <w:rFonts w:ascii="Times New Roman" w:hAnsi="Times New Roman"/>
                <w:sz w:val="20"/>
              </w:rPr>
              <w:t>February 4, 2027</w:t>
            </w:r>
          </w:p>
        </w:tc>
      </w:tr>
    </w:tbl>
    <w:p>
      <w:pPr>
        <w:pStyle w:val="TextBody"/>
        <w:bidi w:val="0"/>
        <w:spacing w:before="240" w:after="0"/>
        <w:jc w:val="left"/>
        <w:rPr>
          <w:rFonts w:ascii="Times New Roman" w:hAnsi="Times New Roman"/>
          <w:sz w:val="20"/>
        </w:rPr>
      </w:pPr>
      <w:r>
        <w:rPr>
          <w:rFonts w:ascii="Times New Roman" w:hAnsi="Times New Roman"/>
          <w:sz w:val="20"/>
        </w:rPr>
        <w:t xml:space="preserve">NICOLE A. WEHRY </w:t>
      </w:r>
    </w:p>
    <w:p>
      <w:pPr>
        <w:pStyle w:val="TextBody"/>
        <w:bidi w:val="0"/>
        <w:spacing w:before="0" w:after="0"/>
        <w:jc w:val="left"/>
        <w:rPr>
          <w:rFonts w:ascii="Times New Roman" w:hAnsi="Times New Roman"/>
          <w:sz w:val="20"/>
        </w:rPr>
      </w:pPr>
      <w:r>
        <w:rPr>
          <w:rFonts w:ascii="Times New Roman" w:hAnsi="Times New Roman"/>
          <w:sz w:val="20"/>
        </w:rPr>
        <w:t xml:space="preserve">NOTARY PUBLIC – NOTARY SEAL </w:t>
      </w:r>
    </w:p>
    <w:p>
      <w:pPr>
        <w:pStyle w:val="TextBody"/>
        <w:bidi w:val="0"/>
        <w:spacing w:before="0" w:after="0"/>
        <w:jc w:val="left"/>
        <w:rPr>
          <w:rFonts w:ascii="Times New Roman" w:hAnsi="Times New Roman"/>
          <w:sz w:val="20"/>
        </w:rPr>
      </w:pPr>
      <w:r>
        <w:rPr>
          <w:rFonts w:ascii="Times New Roman" w:hAnsi="Times New Roman"/>
          <w:sz w:val="20"/>
        </w:rPr>
        <w:t xml:space="preserve">STATE OF MISSOURI </w:t>
      </w:r>
    </w:p>
    <w:p>
      <w:pPr>
        <w:pStyle w:val="TextBody"/>
        <w:bidi w:val="0"/>
        <w:spacing w:before="0" w:after="0"/>
        <w:jc w:val="left"/>
        <w:rPr>
          <w:rFonts w:ascii="Times New Roman" w:hAnsi="Times New Roman"/>
          <w:sz w:val="20"/>
        </w:rPr>
      </w:pPr>
      <w:r>
        <w:rPr>
          <w:rFonts w:ascii="Times New Roman" w:hAnsi="Times New Roman"/>
          <w:sz w:val="20"/>
        </w:rPr>
        <w:t xml:space="preserve">MY COMMISSION EXPIRES FEBRUARY 4, 2027 </w:t>
      </w:r>
    </w:p>
    <w:p>
      <w:pPr>
        <w:pStyle w:val="TextBody"/>
        <w:bidi w:val="0"/>
        <w:spacing w:before="0" w:after="0"/>
        <w:jc w:val="left"/>
        <w:rPr>
          <w:rFonts w:ascii="Times New Roman" w:hAnsi="Times New Roman"/>
          <w:sz w:val="20"/>
        </w:rPr>
      </w:pPr>
      <w:r>
        <w:rPr>
          <w:rFonts w:ascii="Times New Roman" w:hAnsi="Times New Roman"/>
          <w:sz w:val="20"/>
        </w:rPr>
        <w:t xml:space="preserve">JACKSON COUNTY </w:t>
      </w:r>
    </w:p>
    <w:p>
      <w:pPr>
        <w:pStyle w:val="TextBody"/>
        <w:bidi w:val="0"/>
        <w:spacing w:before="0" w:after="0"/>
        <w:jc w:val="left"/>
        <w:rPr>
          <w:rFonts w:ascii="Times New Roman" w:hAnsi="Times New Roman"/>
          <w:sz w:val="20"/>
        </w:rPr>
      </w:pPr>
      <w:r>
        <w:rPr>
          <w:rFonts w:ascii="Times New Roman" w:hAnsi="Times New Roman"/>
          <w:sz w:val="20"/>
        </w:rPr>
        <w:t xml:space="preserve">COMMISSION #14391200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938"/>
        <w:gridCol w:w="101"/>
        <w:gridCol w:w="8166"/>
      </w:tblGrid>
      <w:tr>
        <w:trPr/>
        <w:tc>
          <w:tcPr>
            <w:tcW w:w="193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8166" w:type="dxa"/>
            <w:tcBorders/>
            <w:vAlign w:val="center"/>
          </w:tcPr>
          <w:p>
            <w:pPr>
              <w:pStyle w:val="TableContents"/>
              <w:bidi w:val="0"/>
              <w:spacing w:before="0" w:after="283"/>
              <w:jc w:val="left"/>
              <w:rPr>
                <w:sz w:val="4"/>
                <w:szCs w:val="4"/>
              </w:rPr>
            </w:pPr>
            <w:r>
              <w:rPr>
                <w:sz w:val="4"/>
                <w:szCs w:val="4"/>
              </w:rPr>
            </w:r>
          </w:p>
        </w:tc>
      </w:tr>
      <w:tr>
        <w:trPr/>
        <w:tc>
          <w:tcPr>
            <w:tcW w:w="1938" w:type="dxa"/>
            <w:tcBorders/>
          </w:tcPr>
          <w:p>
            <w:pPr>
              <w:pStyle w:val="TableContents"/>
              <w:bidi w:val="0"/>
              <w:spacing w:before="0" w:after="283"/>
              <w:jc w:val="left"/>
              <w:rPr/>
            </w:pPr>
            <w:r>
              <w:rPr/>
              <w:t>STATE OF ILLINOIS</w:t>
            </w:r>
          </w:p>
        </w:tc>
        <w:tc>
          <w:tcPr>
            <w:tcW w:w="101"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w:t>
            </w:r>
          </w:p>
        </w:tc>
      </w:tr>
      <w:tr>
        <w:trPr/>
        <w:tc>
          <w:tcPr>
            <w:tcW w:w="193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 ss.:</w:t>
            </w:r>
          </w:p>
        </w:tc>
      </w:tr>
      <w:tr>
        <w:trPr/>
        <w:tc>
          <w:tcPr>
            <w:tcW w:w="1938" w:type="dxa"/>
            <w:tcBorders/>
          </w:tcPr>
          <w:p>
            <w:pPr>
              <w:pStyle w:val="TableContents"/>
              <w:bidi w:val="0"/>
              <w:spacing w:before="0" w:after="283"/>
              <w:jc w:val="left"/>
              <w:rPr/>
            </w:pPr>
            <w:r>
              <w:rPr/>
              <w:t>COUNTY OF COOK</w:t>
            </w:r>
          </w:p>
        </w:tc>
        <w:tc>
          <w:tcPr>
            <w:tcW w:w="101" w:type="dxa"/>
            <w:tcBorders/>
            <w:vAlign w:val="bottom"/>
          </w:tcPr>
          <w:p>
            <w:pPr>
              <w:pStyle w:val="TableContents"/>
              <w:bidi w:val="0"/>
              <w:spacing w:before="0" w:after="283"/>
              <w:jc w:val="left"/>
              <w:rPr/>
            </w:pPr>
            <w:r>
              <w:rPr/>
              <w:t> </w:t>
            </w:r>
          </w:p>
        </w:tc>
        <w:tc>
          <w:tcPr>
            <w:tcW w:w="8166" w:type="dxa"/>
            <w:tcBorders/>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BE IT REMEMBERED, that on this 23rd day of June, 2026, before me, the undersigned, a Notary Public within and for the State aforesaid, personally came Ann M. Dolezal, Vice President of The Bank of New York Mellon Trust Company, N.A., a national banking association, who is personally known to me or proved to be on the basis of sufficient identification to be such officer, and who is personally known to me or proved to me on the basis of sufficient identification to be the same person who executed as such officer the within instrument of writing, and such person duly acknowledged the execution of the same to be the act and deed of said corporation.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Mietka Collins</w:t>
            </w:r>
          </w:p>
          <w:p>
            <w:pPr>
              <w:pStyle w:val="TableContents"/>
              <w:bidi w:val="0"/>
              <w:spacing w:before="0" w:after="20"/>
              <w:jc w:val="left"/>
              <w:rPr>
                <w:rFonts w:ascii="Times New Roman" w:hAnsi="Times New Roman"/>
                <w:sz w:val="20"/>
              </w:rPr>
            </w:pPr>
            <w:r>
              <w:rPr>
                <w:rFonts w:ascii="Times New Roman" w:hAnsi="Times New Roman"/>
                <w:sz w:val="20"/>
              </w:rPr>
              <w:t>Notary Public</w:t>
            </w:r>
          </w:p>
        </w:tc>
      </w:tr>
    </w:tbl>
    <w:p>
      <w:pPr>
        <w:pStyle w:val="TextBody"/>
        <w:bidi w:val="0"/>
        <w:spacing w:before="240" w:after="0"/>
        <w:jc w:val="left"/>
        <w:rPr>
          <w:rFonts w:ascii="Times New Roman" w:hAnsi="Times New Roman"/>
          <w:sz w:val="20"/>
        </w:rPr>
      </w:pPr>
      <w:r>
        <w:rPr>
          <w:rFonts w:ascii="Times New Roman" w:hAnsi="Times New Roman"/>
          <w:sz w:val="20"/>
        </w:rPr>
        <w:t xml:space="preserve">MIETKA COLLINS </w:t>
      </w:r>
    </w:p>
    <w:p>
      <w:pPr>
        <w:pStyle w:val="TextBody"/>
        <w:bidi w:val="0"/>
        <w:spacing w:before="0" w:after="0"/>
        <w:jc w:val="left"/>
        <w:rPr>
          <w:rFonts w:ascii="Times New Roman" w:hAnsi="Times New Roman"/>
          <w:sz w:val="20"/>
        </w:rPr>
      </w:pPr>
      <w:r>
        <w:rPr>
          <w:rFonts w:ascii="Times New Roman" w:hAnsi="Times New Roman"/>
          <w:sz w:val="20"/>
        </w:rPr>
        <w:t xml:space="preserve">OFFICIAL SEAL </w:t>
      </w:r>
    </w:p>
    <w:p>
      <w:pPr>
        <w:pStyle w:val="TextBody"/>
        <w:bidi w:val="0"/>
        <w:spacing w:before="0" w:after="0"/>
        <w:jc w:val="left"/>
        <w:rPr>
          <w:rFonts w:ascii="Times New Roman" w:hAnsi="Times New Roman"/>
          <w:sz w:val="20"/>
        </w:rPr>
      </w:pPr>
      <w:r>
        <w:rPr>
          <w:rFonts w:ascii="Times New Roman" w:hAnsi="Times New Roman"/>
          <w:sz w:val="20"/>
        </w:rPr>
        <w:t xml:space="preserve">NOTARY PUBLIC – STATE OF ILLINOIS </w:t>
      </w:r>
    </w:p>
    <w:p>
      <w:pPr>
        <w:pStyle w:val="TextBody"/>
        <w:bidi w:val="0"/>
        <w:spacing w:before="0" w:after="0"/>
        <w:jc w:val="left"/>
        <w:rPr>
          <w:rFonts w:ascii="Times New Roman" w:hAnsi="Times New Roman"/>
          <w:sz w:val="20"/>
        </w:rPr>
      </w:pPr>
      <w:r>
        <w:rPr>
          <w:rFonts w:ascii="Times New Roman" w:hAnsi="Times New Roman"/>
          <w:sz w:val="20"/>
        </w:rPr>
        <w:t xml:space="preserve">MY COMMISSION EXPIRES Nov. 28,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p>
    <w:p>
      <w:pPr>
        <w:pStyle w:val="TextBody"/>
        <w:bidi w:val="0"/>
        <w:spacing w:before="0" w:after="0"/>
        <w:jc w:val="right"/>
        <w:rPr>
          <w:rFonts w:ascii="Times New Roman" w:hAnsi="Times New Roman"/>
          <w:b/>
          <w:sz w:val="20"/>
        </w:rPr>
      </w:pPr>
      <w:bookmarkStart w:id="6" w:name="d917808dex51.htm"/>
      <w:bookmarkStart w:id="7" w:name="ksd917808dex51"/>
      <w:bookmarkEnd w:id="6"/>
      <w:bookmarkEnd w:id="7"/>
      <w:r>
        <w:rPr>
          <w:rFonts w:ascii="Times New Roman" w:hAnsi="Times New Roman"/>
          <w:b/>
          <w:sz w:val="20"/>
        </w:rPr>
        <w:t xml:space="preserve">Exhibit 5.1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July 1, 2026 </w:t>
      </w:r>
    </w:p>
    <w:p>
      <w:pPr>
        <w:pStyle w:val="TextBody"/>
        <w:bidi w:val="0"/>
        <w:spacing w:before="240" w:after="0"/>
        <w:jc w:val="left"/>
        <w:rPr>
          <w:rFonts w:ascii="Times New Roman" w:hAnsi="Times New Roman"/>
          <w:sz w:val="20"/>
        </w:rPr>
      </w:pPr>
      <w:r>
        <w:rPr>
          <w:rFonts w:ascii="Times New Roman" w:hAnsi="Times New Roman"/>
          <w:sz w:val="20"/>
        </w:rPr>
        <w:t xml:space="preserve">Evergy Kansas Central, Inc. </w:t>
      </w:r>
    </w:p>
    <w:p>
      <w:pPr>
        <w:pStyle w:val="TextBody"/>
        <w:bidi w:val="0"/>
        <w:spacing w:before="0" w:after="0"/>
        <w:jc w:val="left"/>
        <w:rPr>
          <w:rFonts w:ascii="Times New Roman" w:hAnsi="Times New Roman"/>
          <w:sz w:val="20"/>
        </w:rPr>
      </w:pPr>
      <w:r>
        <w:rPr>
          <w:rFonts w:ascii="Times New Roman" w:hAnsi="Times New Roman"/>
          <w:sz w:val="20"/>
        </w:rPr>
        <w:t xml:space="preserve">818 South Kansas Avenue </w:t>
      </w:r>
    </w:p>
    <w:p>
      <w:pPr>
        <w:pStyle w:val="TextBody"/>
        <w:bidi w:val="0"/>
        <w:spacing w:before="0" w:after="0"/>
        <w:jc w:val="left"/>
        <w:rPr>
          <w:rFonts w:ascii="Times New Roman" w:hAnsi="Times New Roman"/>
          <w:sz w:val="20"/>
        </w:rPr>
      </w:pPr>
      <w:r>
        <w:rPr>
          <w:rFonts w:ascii="Times New Roman" w:hAnsi="Times New Roman"/>
          <w:sz w:val="20"/>
        </w:rPr>
        <w:t xml:space="preserve">Topeka, Kansas 66612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5"/>
        <w:gridCol w:w="123"/>
        <w:gridCol w:w="9727"/>
      </w:tblGrid>
      <w:tr>
        <w:trPr/>
        <w:tc>
          <w:tcPr>
            <w:tcW w:w="35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9727" w:type="dxa"/>
            <w:tcBorders/>
            <w:vAlign w:val="center"/>
          </w:tcPr>
          <w:p>
            <w:pPr>
              <w:pStyle w:val="TableContents"/>
              <w:bidi w:val="0"/>
              <w:spacing w:before="0" w:after="283"/>
              <w:jc w:val="left"/>
              <w:rPr>
                <w:sz w:val="4"/>
                <w:szCs w:val="4"/>
              </w:rPr>
            </w:pPr>
            <w:r>
              <w:rPr>
                <w:sz w:val="4"/>
                <w:szCs w:val="4"/>
              </w:rPr>
            </w:r>
          </w:p>
        </w:tc>
      </w:tr>
      <w:tr>
        <w:trPr/>
        <w:tc>
          <w:tcPr>
            <w:tcW w:w="355" w:type="dxa"/>
            <w:tcBorders/>
          </w:tcPr>
          <w:p>
            <w:pPr>
              <w:pStyle w:val="TableContents"/>
              <w:bidi w:val="0"/>
              <w:spacing w:before="0" w:after="283"/>
              <w:jc w:val="left"/>
              <w:rPr/>
            </w:pPr>
            <w:r>
              <w:rPr/>
              <w:t>Re:</w:t>
            </w:r>
          </w:p>
        </w:tc>
        <w:tc>
          <w:tcPr>
            <w:tcW w:w="123" w:type="dxa"/>
            <w:tcBorders/>
            <w:vAlign w:val="bottom"/>
          </w:tcPr>
          <w:p>
            <w:pPr>
              <w:pStyle w:val="TableContents"/>
              <w:bidi w:val="0"/>
              <w:spacing w:before="0" w:after="283"/>
              <w:jc w:val="left"/>
              <w:rPr/>
            </w:pPr>
            <w:r>
              <w:rPr/>
              <w:t>  </w:t>
            </w:r>
          </w:p>
        </w:tc>
        <w:tc>
          <w:tcPr>
            <w:tcW w:w="9727" w:type="dxa"/>
            <w:tcBorders/>
          </w:tcPr>
          <w:p>
            <w:pPr>
              <w:pStyle w:val="TableContents"/>
              <w:bidi w:val="0"/>
              <w:spacing w:before="0" w:after="283"/>
              <w:jc w:val="left"/>
              <w:rPr/>
            </w:pPr>
            <w:r>
              <w:rPr/>
              <w:t xml:space="preserve">Evergy Kansas Central, Inc. </w:t>
              <w:br/>
              <w:t>$350,000,000 aggregate principal amount of First Mortgage Bonds, 5.300% Series due 2036</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 xml:space="preserve">I have served as Senior Vice President, General Counsel and Corporate Secretary of Evergy Kansas Central, Inc., a Kansas corporation (the “Company”), in connection with the issuance and sale by the Company of $350,000,000 aggregate principal amount of First Mortgage Bonds, 5.300% Series due 2036 (the “Bonds”), covered by the Registration Statement on Form S-3 (No. 333-281614-02) (the “Registration Statement”) filed on August 16, 2024 by the Company with the Securities and Exchange Commission under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Bonds were issued under and secured by the Mortgage and Deed of Trust (the “Indenture”) dated July 1, 1939, as amended and supplemented, between the Company and The Bank of New York Mellon Trust Company, N.A., as successor to BNY Midwest Trust Company, as successor to Harris Trust and Savings Bank, as trustee (the “Trustee”). The Bonds were sold by the Company pursuant to the Underwriting Agreement, dated June 22, 2026, among the Company, Barclays Capital Inc., BNY Mellon Capital Markets, LLC, Goldman Sachs &amp; Co. LLC and U.S. Bancorp Investments, Inc., as representatives of the several underwriters named therein.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 expressed below, I have examined and relied upon a copy of the Registration Statement and the exhibits filed therewith. I am familiar with the Amended and Restated Articles of Incorporation and the Amended and Restated By-laws of the Company and the resolutions of the Board of Directors of the Company relating to the Registration Statement. I have also examined originals, or copies of originals certified to my satisfaction, of such agreements, documents, certificates and statements of government officials and other instruments, and have examined such questions of law and have satisfied myself as to such matters of fact, as I have considered relevant and necessary as a basis for this opinion letter. I have assumed the authenticity of all documents submitted to me as originals, the genuineness of all signatures, the legal capacity of all persons other than the directors and officers of the Company and the conformity with the original documents of any copies thereof submitted to me for examination. I have also assumed that the Indenture is the valid and binding obligation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Based on the foregoing, and subject to the qualifications and limitations hereinafter set forth, I am of the opinion that the Bonds are legally issued and constitute the valid and binding obligations of the Company enforceable in accordance with their terms, subject to bankruptcy, insolvency or other laws affecting enforcement of mortgagees’ and other creditors’ rights generally and general principles of equity (regardless of whether enforceability is considered in a proceeding in equity or at law).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opinion letter, I have further assumed that the Bonds will be governed by the laws of the State of Kansas. I am licensed to practice law in the State of Kansas and the foregoing opinions are limited to the laws of the State of Kansas. </w:t>
      </w:r>
    </w:p>
    <w:p>
      <w:pPr>
        <w:pStyle w:val="TextBody"/>
        <w:bidi w:val="0"/>
        <w:spacing w:before="240" w:after="0"/>
        <w:jc w:val="left"/>
        <w:rPr>
          <w:rFonts w:ascii="Times New Roman" w:hAnsi="Times New Roman"/>
          <w:sz w:val="20"/>
        </w:rPr>
      </w:pPr>
      <w:r>
        <w:rPr>
          <w:rFonts w:ascii="Times New Roman" w:hAnsi="Times New Roman"/>
          <w:sz w:val="20"/>
        </w:rPr>
        <w:t xml:space="preserve">I hereby consent to the filing of this opinion letter as an exhibit to the Registration Statement and to all references to me included in or made a part of the Registration Statement.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 xml:space="preserve">Very truly yours,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Heather A. Humphrey</w:t>
            </w:r>
          </w:p>
        </w:tc>
      </w:tr>
      <w:tr>
        <w:trPr/>
        <w:tc>
          <w:tcPr>
            <w:tcW w:w="4082" w:type="dxa"/>
            <w:tcBorders/>
          </w:tcPr>
          <w:p>
            <w:pPr>
              <w:pStyle w:val="TableContents"/>
              <w:bidi w:val="0"/>
              <w:spacing w:before="0" w:after="283"/>
              <w:jc w:val="left"/>
              <w:rPr/>
            </w:pPr>
            <w:r>
              <w:rPr/>
              <w:t>Heather A. Humphrey</w:t>
            </w:r>
          </w:p>
        </w:tc>
      </w:tr>
      <w:tr>
        <w:trPr/>
        <w:tc>
          <w:tcPr>
            <w:tcW w:w="4082" w:type="dxa"/>
            <w:tcBorders/>
          </w:tcPr>
          <w:p>
            <w:pPr>
              <w:pStyle w:val="TableContents"/>
              <w:bidi w:val="0"/>
              <w:spacing w:before="0" w:after="283"/>
              <w:jc w:val="left"/>
              <w:rPr/>
            </w:pPr>
            <w:r>
              <w:rPr/>
              <w:t>Senior Vice President, General Counsel and Corporate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83</Pages>
  <Words>33589</Words>
  <Characters>176416</Characters>
  <CharactersWithSpaces>210514</CharactersWithSpaces>
  <Paragraphs>1892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