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9029d424b2.htm"/>
        <w:bookmarkStart w:id="1" w:name="ksd149029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333-281614-02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August 16, 2024)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Kansas Central, Inc. </w:t>
      </w:r>
    </w:p>
    <w:p>
      <w:pPr>
        <w:pStyle w:val="TextBody"/>
        <w:bidi w:val="0"/>
        <w:spacing w:before="240" w:after="0"/>
        <w:jc w:val="center"/>
        <w:rPr>
          <w:rFonts w:ascii="Times New Roman" w:hAnsi="Times New Roman"/>
          <w:b/>
          <w:sz w:val="28"/>
        </w:rPr>
      </w:pPr>
      <w:r>
        <w:rPr>
          <w:rFonts w:ascii="Times New Roman" w:hAnsi="Times New Roman"/>
          <w:b/>
          <w:sz w:val="28"/>
        </w:rPr>
        <w:t xml:space="preserve">$350,000,000 First Mortgage Bonds, 5.600% Series due 2034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Evergy Kansas Central, Inc. is offering $350,000,000 aggregate principal amount of First Mortgage Bonds, 5.600% Series due 2034 (the “bonds”). The bonds will bear interest at a rate of 5.600% per year and will mature on January 15, 2034. We will pay interest on the bonds semi-annually in arrears on January 15 and July 15 of each year, beginning on January 15, 2027. We may redeem the bonds at our option, in whole or in part, at any time and from time to time, at the applicable redemption price specified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redeem the bonds, in whole but not in part, at a redemption price equal to 101% of the principal amount thereof if a Tax Credit Event (as defined herein) occurs. See “Description of the Bonds—Right to Redeem for Tax Credit Event.”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be our secured obligations, equal in right of payment to all other debt currently outstanding or hereafter issued under the mortgage (as defined herein). The mortgage prohibits us from incurring other debt senior or equal to the bonds offered hereby unless certain tests are met. The bonds will be structurally subordinated to the debt of our subsidiaries. See “Description of the Bonds—Ranking”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not be listed on any securities exchange or included in any automated dealer quotation system. Currently there is no public market for the bonds. The bonds will be issued in minimum denominations of $2,000 and in integral multiples of $1,000 in excess thereof.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 bonds involves risks that are described in the section entitled “</w:t>
      </w:r>
      <w:hyperlink w:anchor="supprom149029_5">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163"/>
        <w:gridCol w:w="306"/>
        <w:gridCol w:w="140"/>
        <w:gridCol w:w="1251"/>
        <w:gridCol w:w="275"/>
        <w:gridCol w:w="231"/>
        <w:gridCol w:w="176"/>
        <w:gridCol w:w="1268"/>
        <w:gridCol w:w="275"/>
        <w:gridCol w:w="231"/>
        <w:gridCol w:w="124"/>
        <w:gridCol w:w="2853"/>
        <w:gridCol w:w="279"/>
      </w:tblGrid>
      <w:tr>
        <w:trPr/>
        <w:tc>
          <w:tcPr>
            <w:tcW w:w="116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16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the</w:t>
              <w:br/>
              <w:t>Public(1)</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977" w:type="dxa"/>
            <w:gridSpan w:val="2"/>
            <w:tcBorders>
              <w:bottom w:val="single" w:sz="8" w:space="0" w:color="000000"/>
            </w:tcBorders>
            <w:tcMar>
              <w:bottom w:w="28" w:type="dxa"/>
            </w:tcMar>
            <w:vAlign w:val="bottom"/>
          </w:tcPr>
          <w:p>
            <w:pPr>
              <w:pStyle w:val="TableContents"/>
              <w:bidi w:val="0"/>
              <w:spacing w:before="0" w:after="283"/>
              <w:jc w:val="center"/>
              <w:rPr/>
            </w:pPr>
            <w:r>
              <w:rPr>
                <w:b/>
              </w:rPr>
              <w:t>Proceeds to</w:t>
              <w:br/>
              <w:t>Evergy Kansas Central, Inc.</w:t>
            </w:r>
            <w:r>
              <w:rPr/>
              <w:br/>
            </w:r>
            <w:r>
              <w:rPr>
                <w:b/>
              </w:rPr>
              <w:t>Before Expenses</w:t>
            </w:r>
          </w:p>
        </w:tc>
        <w:tc>
          <w:tcPr>
            <w:tcW w:w="279" w:type="dxa"/>
            <w:tcBorders/>
            <w:vAlign w:val="bottom"/>
          </w:tcPr>
          <w:p>
            <w:pPr>
              <w:pStyle w:val="TableContents"/>
              <w:bidi w:val="0"/>
              <w:spacing w:before="0" w:after="283"/>
              <w:jc w:val="left"/>
              <w:rPr/>
            </w:pPr>
            <w:r>
              <w:rPr/>
              <w:t> </w:t>
            </w:r>
          </w:p>
        </w:tc>
      </w:tr>
      <w:tr>
        <w:trPr/>
        <w:tc>
          <w:tcPr>
            <w:tcW w:w="1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bond</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99.961</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0.625</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53" w:type="dxa"/>
            <w:tcBorders/>
            <w:shd w:fill="CCEEFF" w:val="clear"/>
            <w:vAlign w:val="bottom"/>
          </w:tcPr>
          <w:p>
            <w:pPr>
              <w:pStyle w:val="TableContents"/>
              <w:bidi w:val="0"/>
              <w:spacing w:before="0" w:after="283"/>
              <w:jc w:val="right"/>
              <w:rPr/>
            </w:pPr>
            <w:r>
              <w:rPr/>
              <w:t>99.336</w:t>
            </w:r>
          </w:p>
        </w:tc>
        <w:tc>
          <w:tcPr>
            <w:tcW w:w="279" w:type="dxa"/>
            <w:tcBorders/>
            <w:shd w:fill="CCEEFF" w:val="clear"/>
            <w:vAlign w:val="bottom"/>
          </w:tcPr>
          <w:p>
            <w:pPr>
              <w:pStyle w:val="TableContents"/>
              <w:bidi w:val="0"/>
              <w:spacing w:before="0" w:after="283"/>
              <w:jc w:val="left"/>
              <w:rPr/>
            </w:pPr>
            <w:r>
              <w:rPr/>
              <w:t>% </w:t>
            </w:r>
          </w:p>
        </w:tc>
      </w:tr>
      <w:tr>
        <w:trPr/>
        <w:tc>
          <w:tcPr>
            <w:tcW w:w="116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349,863,500</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2,187,500</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53" w:type="dxa"/>
            <w:tcBorders/>
            <w:vAlign w:val="bottom"/>
          </w:tcPr>
          <w:p>
            <w:pPr>
              <w:pStyle w:val="TableContents"/>
              <w:bidi w:val="0"/>
              <w:spacing w:before="0" w:after="283"/>
              <w:jc w:val="right"/>
              <w:rPr/>
            </w:pPr>
            <w:r>
              <w:rPr/>
              <w:t>$347,676,000</w:t>
            </w:r>
          </w:p>
        </w:tc>
        <w:tc>
          <w:tcPr>
            <w:tcW w:w="27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from September 16, 2026, if settlement occurs after that date.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are not intended to constitute an offer to, and the bonds should not be purchased, held or otherwise acquired by, a “specified foreign entity” as defined in Section 7701(a)(51)(B) of the Internal Revenue Code of 1986, as amended (a “specified foreign entity”). Each initial purchaser of any bonds, by accepting such bonds, will be deemed to have represented, warranted and agreed that it is not a specified foreign entity for its taxable year that includes the date of the original issuance of the bonds.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be ready for delivery in book-entry form only through the facilities of The Depository Trust Company for the accounts of its participants, including Clearstream Banking S.A. and Euroclear Bank SA/NV, as operator of the Euroclear System, on or about September 16,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0"/>
        <w:gridCol w:w="305"/>
        <w:gridCol w:w="2613"/>
        <w:gridCol w:w="305"/>
        <w:gridCol w:w="2642"/>
        <w:gridCol w:w="120"/>
        <w:gridCol w:w="1330"/>
      </w:tblGrid>
      <w:tr>
        <w:trPr/>
        <w:tc>
          <w:tcPr>
            <w:tcW w:w="289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b/>
              </w:rPr>
            </w:pPr>
            <w:r>
              <w:rPr>
                <w:b/>
              </w:rPr>
              <w:t>PNC Capital Markets LLC</w:t>
            </w:r>
          </w:p>
        </w:tc>
        <w:tc>
          <w:tcPr>
            <w:tcW w:w="305" w:type="dxa"/>
            <w:tcBorders/>
            <w:vAlign w:val="bottom"/>
          </w:tcPr>
          <w:p>
            <w:pPr>
              <w:pStyle w:val="TableContents"/>
              <w:bidi w:val="0"/>
              <w:spacing w:before="0" w:after="283"/>
              <w:jc w:val="left"/>
              <w:rPr/>
            </w:pPr>
            <w:r>
              <w:rPr/>
              <w:t>  </w:t>
            </w:r>
          </w:p>
        </w:tc>
        <w:tc>
          <w:tcPr>
            <w:tcW w:w="2613" w:type="dxa"/>
            <w:tcBorders/>
          </w:tcPr>
          <w:p>
            <w:pPr>
              <w:pStyle w:val="TableContents"/>
              <w:bidi w:val="0"/>
              <w:spacing w:before="0" w:after="283"/>
              <w:jc w:val="center"/>
              <w:rPr>
                <w:b/>
              </w:rPr>
            </w:pPr>
            <w:r>
              <w:rPr>
                <w:b/>
              </w:rPr>
              <w:t>RBC Capital Markets</w:t>
            </w:r>
          </w:p>
        </w:tc>
        <w:tc>
          <w:tcPr>
            <w:tcW w:w="305" w:type="dxa"/>
            <w:tcBorders/>
            <w:vAlign w:val="bottom"/>
          </w:tcPr>
          <w:p>
            <w:pPr>
              <w:pStyle w:val="TableContents"/>
              <w:bidi w:val="0"/>
              <w:spacing w:before="0" w:after="283"/>
              <w:jc w:val="left"/>
              <w:rPr/>
            </w:pPr>
            <w:r>
              <w:rPr/>
              <w:t>  </w:t>
            </w:r>
          </w:p>
        </w:tc>
        <w:tc>
          <w:tcPr>
            <w:tcW w:w="2642" w:type="dxa"/>
            <w:tcBorders/>
          </w:tcPr>
          <w:p>
            <w:pPr>
              <w:pStyle w:val="TableContents"/>
              <w:bidi w:val="0"/>
              <w:spacing w:before="0" w:after="283"/>
              <w:jc w:val="center"/>
              <w:rPr>
                <w:b/>
              </w:rPr>
            </w:pPr>
            <w:r>
              <w:rPr>
                <w:b/>
              </w:rPr>
              <w:t>Truist Securities</w:t>
            </w:r>
          </w:p>
        </w:tc>
        <w:tc>
          <w:tcPr>
            <w:tcW w:w="120"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right"/>
              <w:rPr>
                <w:b/>
              </w:rPr>
            </w:pPr>
            <w:r>
              <w:rPr>
                <w:b/>
              </w:rPr>
              <w:t>US Bancorp</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0"/>
        <w:gridCol w:w="202"/>
        <w:gridCol w:w="4593"/>
      </w:tblGrid>
      <w:tr>
        <w:trPr/>
        <w:tc>
          <w:tcPr>
            <w:tcW w:w="541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5410" w:type="dxa"/>
            <w:tcBorders/>
          </w:tcPr>
          <w:p>
            <w:pPr>
              <w:pStyle w:val="TableContents"/>
              <w:bidi w:val="0"/>
              <w:spacing w:before="0" w:after="283"/>
              <w:jc w:val="center"/>
              <w:rPr>
                <w:b/>
              </w:rPr>
            </w:pPr>
            <w:r>
              <w:rPr>
                <w:b/>
              </w:rPr>
              <w:t>UMB Financial Services, Inc.</w:t>
            </w:r>
          </w:p>
        </w:tc>
        <w:tc>
          <w:tcPr>
            <w:tcW w:w="202" w:type="dxa"/>
            <w:tcBorders/>
            <w:vAlign w:val="bottom"/>
          </w:tcPr>
          <w:p>
            <w:pPr>
              <w:pStyle w:val="TableContents"/>
              <w:bidi w:val="0"/>
              <w:spacing w:before="0" w:after="283"/>
              <w:jc w:val="left"/>
              <w:rPr/>
            </w:pPr>
            <w:r>
              <w:rPr/>
              <w:t> </w:t>
            </w:r>
          </w:p>
        </w:tc>
        <w:tc>
          <w:tcPr>
            <w:tcW w:w="4593" w:type="dxa"/>
            <w:tcBorders/>
          </w:tcPr>
          <w:p>
            <w:pPr>
              <w:pStyle w:val="TableContents"/>
              <w:bidi w:val="0"/>
              <w:spacing w:before="0" w:after="283"/>
              <w:jc w:val="center"/>
              <w:rPr>
                <w:b/>
              </w:rPr>
            </w:pPr>
            <w:r>
              <w:rPr>
                <w:b/>
              </w:rPr>
              <w:t>Academy Securities</w:t>
            </w:r>
          </w:p>
        </w:tc>
      </w:tr>
    </w:tbl>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Prospectus Supplement dated September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902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2">
              <w:r>
                <w:rPr>
                  <w:rStyle w:val="InternetLink"/>
                  <w:rFonts w:ascii="Times New Roman" w:hAnsi="Times New Roman"/>
                  <w:sz w:val="20"/>
                </w:rPr>
                <w:t>CAUTIONARY STATEMENTS REGARDING CERTAIN FORWARD-LOOKING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7">
              <w:r>
                <w:rPr>
                  <w:rStyle w:val="InternetLink"/>
                  <w:rFonts w:ascii="Times New Roman" w:hAnsi="Times New Roman"/>
                  <w:sz w:val="20"/>
                </w:rPr>
                <w:t>DESCRIPTION OF THE BONDS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2_2879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3">
              <w:r>
                <w:rPr>
                  <w:rStyle w:val="InternetLink"/>
                  <w:rFonts w:ascii="Times New Roman" w:hAnsi="Times New Roman"/>
                  <w:sz w:val="20"/>
                </w:rPr>
                <w:t>EVERGY KANSAS CENTRAL,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6">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7">
              <w:r>
                <w:rPr>
                  <w:rStyle w:val="InternetLink"/>
                  <w:rFonts w:ascii="Times New Roman" w:hAnsi="Times New Roman"/>
                  <w:sz w:val="20"/>
                </w:rPr>
                <w:t>DESCRIPTION OF FIRST MORTGAGE BONDS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8">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4902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bonds against payment for the bonds on or about the date specified in the last paragraph of the cover page of this prospectus supplement, which will be the fourth business day following the date of this prospectus supplement (“T+4”).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 When we refer to “you” or “your” in this prospectus supplement, we mean a prospective investor or holder of the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149029_2"/>
      <w:bookmarkEnd w:id="4"/>
      <w:r>
        <w:rPr>
          <w:rFonts w:ascii="Times New Roman" w:hAnsi="Times New Roman"/>
          <w:b/>
          <w:sz w:val="20"/>
        </w:rPr>
        <w:t xml:space="preserve">CAUTIONARY STATEMENTS REGARDING 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weather conditions and any impact on sales, prices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demand for electricity, including demand from data centers and other large load customers, and customer adoption of alternative energy sources, such as distributed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or operations, including with respect to Evergy Kansas Central’s strategy to meet demand requirements of existing and future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federal, state and local political, legislative, judicial and regulatory actions or developments, including deregulation, re-regulation, securitization and restructuring of the electric utility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prolonged or recurring U.S. federal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trade policies (including tariffs and other trade measures) and responses from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build or acquire generation, battery storage and transmission facilities to meet the future demand for electricity from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of regulators regarding, among other things, customer rates and the prudency of operational decisions such as capital expenditures and asset retirements;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regulations, rules, principles or practices, or the interpretations thereof, governing tax, accounting and environmental matters, including air and water quality and waste management and disposal;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adoption and use of artificial intelligence by Evergy Kansas Central and its third-party vendors;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change, including increased frequency and severity of significant weather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potential wildfires, including costs of litigation, potential regulatory penalties and damages in excess of insurance liability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insurance coverage, including availability, cost, coverage and terms and ability to recover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counterparties are willing to do business with, finance the operations of or purchase energy from Evergy Kansas Central due to the fact that Evergy Kansas Central operates coal-fired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and availability of electricity and natural gas in wholesale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perception of the energy industry and Evergy Kansas Central;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energy trading markets in which Evergy Kansas Central participates, including retroactive repricing of transactions by regional transmission organizations and independent system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impairments of long-lived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effectiveness of risk management policies and procedures and the ability of counterparties to satisfy their contractual commitments, including new large data center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geopolitical conflicts on the global energy market, including the ability to contract for non-Russian sourced uranium;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carry out marketing and sales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availability, quality and timely provision of equipment, supplies, labor and fuel;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achieve generation goals and the occurrence and duration of planned and unplanned generation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Central’s ability to manage its generation, transmission and distribution development plans and transmission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risks associated with the ownership and operation of a nuclear facility, including environmental, health, safety, regulatory and financial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risks, including those related to Evergy Kansas Central’s ability to attract and retain qualified personnel, maintain satisfactory relationships with their labor unions and manage costs of, or changes in, wages, retirement, health care and other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costs and uncertainties caused by or related to the actions of individuals or entities, such as activist shareholders of Evergy or special interest groups, that seek to influence Evergy Kansas Central’s strategic plan, financial results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changing expectations and demands of Evergy Kansas Central’s customers, regulators, investors and stakeholders, including differing views on environmental, social and governance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strategic initiatives, including mergers, acquisitions, joint ventures and divestitures, and long-term financial plans, may not create the value that they are expected to achieve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maintaining relationships with customers, employees, contractors, regulators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litigation involving Evergy Kansas Central;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Risk factors discussed under Item 1A of Part I of our Annual Report on Form 10-K for the year ended December 31, 2025, which is incorporated herein by reference, should be carefully read for further understanding of potential risks for Evergy Kansas Central. Other sections of our Annual Report on Form 10-K for the year ended December 31, 2025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149029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3">
              <w:r>
                <w:rPr>
                  <w:rStyle w:val="InternetLink"/>
                  <w:rFonts w:ascii="Times New Roman" w:hAnsi="Times New Roman"/>
                  <w:sz w:val="20"/>
                </w:rPr>
                <w:t>March 31, 2026</w:t>
              </w:r>
            </w:hyperlink>
            <w:r>
              <w:rPr>
                <w:rFonts w:ascii="Times New Roman" w:hAnsi="Times New Roman"/>
                <w:sz w:val="20"/>
              </w:rPr>
              <w:t xml:space="preserve"> and </w:t>
            </w:r>
            <w:hyperlink r:id="rId4">
              <w:r>
                <w:rPr>
                  <w:rStyle w:val="InternetLink"/>
                  <w:rFonts w:ascii="Times New Roman" w:hAnsi="Times New Roman"/>
                  <w:sz w:val="20"/>
                </w:rPr>
                <w:t>June 30, 2026</w:t>
              </w:r>
            </w:hyperlink>
            <w:r>
              <w:rPr>
                <w:rFonts w:ascii="Times New Roman" w:hAnsi="Times New Roman"/>
                <w:sz w:val="20"/>
              </w:rPr>
              <w:t xml:space="preserve"> filed with the SEC on May 7, 2026 and August 6, 2026,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July 1, 2026</w:t>
              </w:r>
            </w:hyperlink>
            <w:r>
              <w:rPr>
                <w:rFonts w:ascii="Times New Roman" w:hAnsi="Times New Roman"/>
                <w:sz w:val="20"/>
              </w:rPr>
              <w:t xml:space="preserve"> (Film No. 261145315) and </w:t>
            </w:r>
            <w:hyperlink r:id="rId6">
              <w:r>
                <w:rPr>
                  <w:rStyle w:val="InternetLink"/>
                  <w:rFonts w:ascii="Times New Roman" w:hAnsi="Times New Roman"/>
                  <w:sz w:val="20"/>
                </w:rPr>
                <w:t>July 1, 2026</w:t>
              </w:r>
            </w:hyperlink>
            <w:r>
              <w:rPr>
                <w:rFonts w:ascii="Times New Roman" w:hAnsi="Times New Roman"/>
                <w:sz w:val="20"/>
              </w:rPr>
              <w:t xml:space="preserve"> (Film No. 261145321).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our parent company, Evergy, and another wholly owned subsidiary of Evergy, Evergy Metro, Inc. (“Evergy Metro”), separately filed the combined Annual Report on Form 10-K and the combined Quarterly Reports on Form 10-Q and, as applicable, the combined Current Reports on Form 8-K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consolidated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 575-6300), Attention: Investor Relations, or by contacting us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149029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 should read the following summary in conjunction with the more detailed information in this prospectus supplement, the accompanying prospectus and the documents incorporated herein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751,000 customers located in central and eastern Kansas. Customers include approximately 651,100 residences, 94,800 commercial firms, and 5,100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Evergy Kansas Central,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$350,000,000 aggregate principal amount of First Mortgage Bonds, 5.600% Series due 2034 (the “bonds”).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6" w:type="dxa"/>
            <w:tcBorders/>
          </w:tcPr>
          <w:p>
            <w:pPr>
              <w:pStyle w:val="TableContents"/>
              <w:bidi w:val="0"/>
              <w:spacing w:before="0" w:after="283"/>
              <w:jc w:val="left"/>
              <w:rPr/>
            </w:pPr>
            <w:r>
              <w:rPr/>
              <w:t xml:space="preserve">The bonds will mature on January 15,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6" w:type="dxa"/>
            <w:tcBorders/>
          </w:tcPr>
          <w:p>
            <w:pPr>
              <w:pStyle w:val="TableContents"/>
              <w:bidi w:val="0"/>
              <w:spacing w:before="0" w:after="283"/>
              <w:jc w:val="left"/>
              <w:rPr/>
            </w:pPr>
            <w:r>
              <w:rPr/>
              <w:t xml:space="preserve">Interest on the bonds will accrue from September 16, 2026, at the rate of 5.600% per year, payable semi-annually in cash in arrears on each January 15 and July 15, beginning on January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Security </w:t>
            </w:r>
          </w:p>
        </w:tc>
        <w:tc>
          <w:tcPr>
            <w:tcW w:w="6329" w:type="dxa"/>
            <w:tcBorders/>
          </w:tcPr>
          <w:p>
            <w:pPr>
              <w:pStyle w:val="TableContents"/>
              <w:bidi w:val="0"/>
              <w:spacing w:before="0" w:after="283"/>
              <w:jc w:val="left"/>
              <w:rPr/>
            </w:pPr>
            <w:r>
              <w:rPr/>
              <w:t xml:space="preserve">The bonds will be secured equally and ratably with all other first mortgage bonds now outstanding or hereafter issued under the mortgage by a lien on substantially all of our fixed property and franchises, including certain after-acquired property,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June 30, 2026, after giving effect to this offering and the use of proceeds therefrom, we would have had total indebtedness on our consolidated balance sheet of approximately $6.1 billion (excluding intracompany debt, trade payables and debt of variable interest entities). Of this amount, approximately $814.4 million would have been structurally senior to the bonds because our subsidiaries are the obligors under such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Reopening of Bond Series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without the consent of the holders of the bonds offered hereby, issue additional first mortgage bonds ranking equally with first mortgage bonds of another series then outstanding, including the bonds offered hereby, having dates, maturities, interest rates, redemption prices and other terms as our board of directors may determine only if certain conditions in the mortgage are satisfied. We may, from time to time, at our option and without the consent of any holder of the bonds offered hereby, reopen this series for the issuance of additional bonds. See “Description of the Bonds—Reopening of Bond Series” and “—Amendments to Mortgage—Issuance of Additional Bonds” in this prospectus supplement. As of June 30, 2026, approximately $2.6 billion in aggregate principal amount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additional first mortgage bonds could be issued under the most restrictive provisions of the mortgage, without giving effect to the issuance of the bonds offered hereby and the use of proceeds described under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Prior to November 15, 2033 (the date that is two months prior to the maturity date of the bonds (the “Par Call Date”)), we may redeem the bonds at our option, in whole or in part, at any time and from time to time, at the redemption price (expressed as a percentage of principal amount and rounded to three decimal places) equal to the greater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(as defined herein) plus 15 basis points less (b) interest accrued to the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bonds to be redeemed, plus, in either case,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On or after the Par Call Date, we may redeem the bonds at our option, in whole or in part, at any time and from time to time, at a redemption price equal to 100% of the principal amount of the bonds to be redeemed plus accrued and unpaid interest thereon to, but excluding, the date of redemption. See “Description of the Bonds—Optional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See “Description of the Bonds—Optional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Credit Event Redemption </w:t>
            </w:r>
          </w:p>
        </w:tc>
        <w:tc>
          <w:tcPr>
            <w:tcW w:w="6328" w:type="dxa"/>
            <w:tcBorders/>
          </w:tcPr>
          <w:p>
            <w:pPr>
              <w:pStyle w:val="TableContents"/>
              <w:bidi w:val="0"/>
              <w:spacing w:before="0" w:after="283"/>
              <w:jc w:val="left"/>
              <w:rPr/>
            </w:pPr>
            <w:r>
              <w:rPr/>
              <w:t xml:space="preserve">If a Tax Credit Event (as defined herein) occurs, we may redeem, at our option, the bonds, in whole but not in part, at a redemption price equal to 101% of the principal amount of the bonds being redeemed plus accrued and unpaid interest to, but excluding, the redemption date. See “Description of the Bonds—Right to Redeem for Tax Credit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this offering, after deducting the underwriting discount and estimated expenses of this offering, are expected to be approximately $346.8 million. We intend to use the net proceeds from this offering to repay indebtedness incurred under our commercial paper program and for general corporate purposes. As of August 31, 2026, we had outstanding $511.1 million of short-term indebtedness under our commercial paper program with interest rates ranging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3.83% to 3.94%. Our commercial paper is supported by our master revolving credit facility, which we have used in the past and, depending on market conditions, may continue to use in the future to fund working capital needs. See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9" w:type="dxa"/>
            <w:tcBorders/>
          </w:tcPr>
          <w:p>
            <w:pPr>
              <w:pStyle w:val="TableContents"/>
              <w:bidi w:val="0"/>
              <w:spacing w:before="0" w:after="283"/>
              <w:jc w:val="left"/>
              <w:rPr/>
            </w:pPr>
            <w:r>
              <w:rPr/>
              <w:t xml:space="preserve">Certain of the underwriters or their affiliates may hold a portion of our outstanding commercial paper that may be repaid using the net proceeds of this offering. In such an event, it is possible that one or more of the underwriters or their affiliates could receive 5% or more of the net proceeds of this offering, and in that case such underwriter would be deemed to have a conflict of interest under Rule 5121 (Public Offerings of Securities with Conflicts of Interest) of the Financial Industry Regulatory Authority, Inc. (“FINRA Rule 5121”). In the event of any such conflict of interest, such underwriter would be required to conduct the distribution of the bonds in accordance with FINRA Rule 5121. See “Underwriting (Conflicts of Interest)—Conflicts of Interest”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Before deciding to invest in any of the bonds, you should carefully consider all of the information set forth under “Risk Factors” beginning on page S-11 of this prospectus supplement and other information incorporated by reference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of the Bonds </w:t>
            </w:r>
          </w:p>
        </w:tc>
        <w:tc>
          <w:tcPr>
            <w:tcW w:w="6328" w:type="dxa"/>
            <w:tcBorders/>
          </w:tcPr>
          <w:p>
            <w:pPr>
              <w:pStyle w:val="TableContents"/>
              <w:bidi w:val="0"/>
              <w:spacing w:before="0" w:after="283"/>
              <w:jc w:val="left"/>
              <w:rPr/>
            </w:pPr>
            <w:r>
              <w:rPr/>
              <w:t xml:space="preserve">We do not intend to list the bonds on any securities exchange or seek their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The Bank of New York Mellon Trust Company, N.A. (as successor to Harris Trust and Savings Bank)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of consolidated financial data for the years ended December 31, 2023 through December 31, 2025 has been derived from our audited consolidated financial statements and related notes, incorporated by reference in this prospectus supplement. The following summary of consolidated financial data for each of the six months ended June 30, 2026 and June 30, 2025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846"/>
        <w:gridCol w:w="195"/>
        <w:gridCol w:w="140"/>
        <w:gridCol w:w="740"/>
        <w:gridCol w:w="164"/>
        <w:gridCol w:w="153"/>
        <w:gridCol w:w="140"/>
        <w:gridCol w:w="740"/>
        <w:gridCol w:w="164"/>
        <w:gridCol w:w="153"/>
        <w:gridCol w:w="140"/>
        <w:gridCol w:w="848"/>
        <w:gridCol w:w="164"/>
        <w:gridCol w:w="153"/>
        <w:gridCol w:w="140"/>
        <w:gridCol w:w="848"/>
        <w:gridCol w:w="164"/>
        <w:gridCol w:w="153"/>
        <w:gridCol w:w="140"/>
        <w:gridCol w:w="847"/>
        <w:gridCol w:w="173"/>
      </w:tblGrid>
      <w:tr>
        <w:trPr/>
        <w:tc>
          <w:tcPr>
            <w:tcW w:w="384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991" w:type="dxa"/>
            <w:gridSpan w:val="18"/>
            <w:tcBorders/>
            <w:vAlign w:val="bottom"/>
          </w:tcPr>
          <w:p>
            <w:pPr>
              <w:pStyle w:val="TableContents"/>
              <w:bidi w:val="0"/>
              <w:spacing w:before="0" w:after="283"/>
              <w:jc w:val="center"/>
              <w:rPr>
                <w:b/>
              </w:rPr>
            </w:pPr>
            <w:r>
              <w:rPr>
                <w:b/>
              </w:rPr>
              <w:t>(in millions)</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Statement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1,542.6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1,442.6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3,060.3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3,007.1</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2,698.4</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1,134.8</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1,087.6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2,258.6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2,216.4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2,107.8</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407.8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355.0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801.7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790.7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590.6</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288.2</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234.4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563.3</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565.0</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384.5</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Kansas Central, Inc.</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282.0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228.2</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551.0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552.7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372.2</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472.7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388.9</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1,028.9</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1,040.0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1,017.9</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(632.7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(673.7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(1,176.7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(1,197.2</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(1,317.3</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161.8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287.1</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149.4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151.7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299.9</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305.5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286.3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579.2</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561.7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515.5</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nuclear fuel</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16.9</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16.1</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27.4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28.1</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30.9</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(719.7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(662.0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(1,298.3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(1,274.6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(1,196.8</w:t>
            </w:r>
          </w:p>
        </w:tc>
        <w:tc>
          <w:tcPr>
            <w:tcW w:w="17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4902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w:t>
      </w:r>
      <w:r>
        <w:rPr>
          <w:rFonts w:ascii="Times New Roman" w:hAnsi="Times New Roman"/>
          <w:sz w:val="20"/>
        </w:rPr>
        <w:t xml:space="preserve"> </w:t>
      </w:r>
      <w:r>
        <w:rPr>
          <w:rFonts w:ascii="Times New Roman" w:hAnsi="Times New Roman"/>
          <w:i/>
          <w:sz w:val="20"/>
        </w:rPr>
        <w:t xml:space="preserve">for a description of additional uncertainties associated with our business, results of operations and financial condition and the forward-looking statements included or incorporated by reference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Bonds </w:t>
      </w:r>
    </w:p>
    <w:p>
      <w:pPr>
        <w:pStyle w:val="TextBody"/>
        <w:bidi w:val="0"/>
        <w:spacing w:before="120" w:after="0"/>
        <w:jc w:val="left"/>
        <w:rPr>
          <w:rFonts w:ascii="Times New Roman" w:hAnsi="Times New Roman"/>
          <w:b/>
          <w:sz w:val="20"/>
        </w:rPr>
      </w:pPr>
      <w:r>
        <w:rPr>
          <w:rFonts w:ascii="Times New Roman" w:hAnsi="Times New Roman"/>
          <w:b/>
          <w:sz w:val="20"/>
        </w:rPr>
        <w:t xml:space="preserve">Indebtedness — Our indebtedness could adversely affect our ability to fulfill our obligations under the bonds.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indebtedness and debt service obligations are significant. Our consolidated interest expense was approximately $241.2 million for the year ended December 31, 2025 and $128.7 million for the six months ended June 30, 2026. As of June 30, 2026, our total consolidated long-term debt, including current maturities, was approximately $5.3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facility and in the mortgage, which governs the bonds being issued hereby, and any other agreements under which we incur debt. </w:t>
      </w:r>
    </w:p>
    <w:p>
      <w:pPr>
        <w:pStyle w:val="TextBody"/>
        <w:bidi w:val="0"/>
        <w:spacing w:before="240" w:after="0"/>
        <w:jc w:val="left"/>
        <w:rPr>
          <w:rFonts w:ascii="Times New Roman" w:hAnsi="Times New Roman"/>
          <w:sz w:val="20"/>
        </w:rPr>
      </w:pPr>
      <w:r>
        <w:rPr>
          <w:rFonts w:ascii="Times New Roman" w:hAnsi="Times New Roman"/>
          <w:sz w:val="20"/>
        </w:rPr>
        <w:t xml:space="preserve">Our debt could have important consequences to holders of the bonds,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prevailing interest rates increase, our interest expense could increase because some of our indebtedness bears interest at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leverage increases our vulnerability to economic downturns, and adverse competitive and industry conditions could place us at a competitive disadvantage compared to those of our competitors that are less leveraged;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Guarantees — Our parent company is not guaranteeing the bonds and you should not rely upon information relating to our parent company in determining whether to invest in the bonds.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premium, if any, or interest on, the bonds or any other amount that may be required to be paid under the mortgage or the bonds, preventing or curing an event of default under the terms of the mortgage, complying with any other obligation under the mortgage or the bonds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Prior Market for the bonds—There is no prior market for the bonds, and if a market develops, it may not be liquid and prices of the bonds may vary. </w:t>
      </w:r>
    </w:p>
    <w:p>
      <w:pPr>
        <w:pStyle w:val="TextBody"/>
        <w:bidi w:val="0"/>
        <w:spacing w:before="120" w:after="0"/>
        <w:jc w:val="left"/>
        <w:rPr>
          <w:rFonts w:ascii="Times New Roman" w:hAnsi="Times New Roman"/>
          <w:sz w:val="20"/>
        </w:rPr>
      </w:pPr>
      <w:r>
        <w:rPr>
          <w:rFonts w:ascii="Times New Roman" w:hAnsi="Times New Roman"/>
          <w:sz w:val="20"/>
        </w:rPr>
        <w:t>We do not intend to list the bonds on any securities exchange or to seek their quotation on any automated dealer quotation system</w:t>
      </w:r>
      <w:r>
        <w:rPr>
          <w:rFonts w:ascii="Times New Roman" w:hAnsi="Times New Roman"/>
          <w:i/>
          <w:sz w:val="20"/>
        </w:rPr>
        <w:t xml:space="preserve">. </w:t>
      </w:r>
      <w:r>
        <w:rPr>
          <w:rFonts w:ascii="Times New Roman" w:hAnsi="Times New Roman"/>
          <w:sz w:val="20"/>
        </w:rPr>
        <w:t>We cannot assure holders of the bonds that any liquid market for the bonds will ever develop or be maintained</w:t>
      </w:r>
      <w:r>
        <w:rPr>
          <w:rFonts w:ascii="Times New Roman" w:hAnsi="Times New Roman"/>
          <w:i/>
          <w:sz w:val="20"/>
        </w:rPr>
        <w:t xml:space="preserve">. </w:t>
      </w:r>
      <w:r>
        <w:rPr>
          <w:rFonts w:ascii="Times New Roman" w:hAnsi="Times New Roman"/>
          <w:sz w:val="20"/>
        </w:rPr>
        <w:t>The underwriters have advised us that they currently intend to make a market in the bonds following this offering</w:t>
      </w:r>
      <w:r>
        <w:rPr>
          <w:rFonts w:ascii="Times New Roman" w:hAnsi="Times New Roman"/>
          <w:i/>
          <w:sz w:val="20"/>
        </w:rPr>
        <w:t xml:space="preserve">. </w:t>
      </w:r>
      <w:r>
        <w:rPr>
          <w:rFonts w:ascii="Times New Roman" w:hAnsi="Times New Roman"/>
          <w:sz w:val="20"/>
        </w:rPr>
        <w:t>However, the underwriters have no obligation to make a market in the bonds and, at their sole discretion, they may stop at any time</w:t>
      </w:r>
      <w:r>
        <w:rPr>
          <w:rFonts w:ascii="Times New Roman" w:hAnsi="Times New Roman"/>
          <w:i/>
          <w:sz w:val="20"/>
        </w:rPr>
        <w:t xml:space="preserve">. </w:t>
      </w:r>
      <w:r>
        <w:rPr>
          <w:rFonts w:ascii="Times New Roman" w:hAnsi="Times New Roman"/>
          <w:sz w:val="20"/>
        </w:rPr>
        <w:t>Further, there can be no assurance as to the liquidity of any market that may develop for the bonds, holders’ ability to sell their bonds or the price at which holders will be able to sell their bonds</w:t>
      </w:r>
      <w:r>
        <w:rPr>
          <w:rFonts w:ascii="Times New Roman" w:hAnsi="Times New Roman"/>
          <w:i/>
          <w:sz w:val="20"/>
        </w:rPr>
        <w:t xml:space="preserve">. </w:t>
      </w:r>
      <w:r>
        <w:rPr>
          <w:rFonts w:ascii="Times New Roman" w:hAnsi="Times New Roman"/>
          <w:sz w:val="20"/>
        </w:rPr>
        <w:t>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hAnsi="Times New Roman"/>
          <w:i/>
          <w:sz w:val="20"/>
        </w:rPr>
        <w:t xml:space="preserve">. </w:t>
      </w:r>
      <w:r>
        <w:rPr>
          <w:rFonts w:ascii="Times New Roman" w:hAnsi="Times New Roman"/>
          <w:sz w:val="20"/>
        </w:rPr>
        <w:t xml:space="preserve">Any trading market that develops would be affected by many factors independent of and in addition to the foregoing,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the maturity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amount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related to optional redemption of the bonds;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direction and volatility of market interest rates generally.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and ratings on the bonds may be decreased, suspended or withdrawn and may not reflect all risks of your investment in the bonds. </w:t>
      </w:r>
    </w:p>
    <w:p>
      <w:pPr>
        <w:pStyle w:val="TextBody"/>
        <w:bidi w:val="0"/>
        <w:spacing w:before="120" w:after="0"/>
        <w:jc w:val="left"/>
        <w:rPr>
          <w:rFonts w:ascii="Times New Roman" w:hAnsi="Times New Roman"/>
          <w:sz w:val="20"/>
        </w:rPr>
      </w:pPr>
      <w:r>
        <w:rPr>
          <w:rFonts w:ascii="Times New Roman" w:hAnsi="Times New Roman"/>
          <w:sz w:val="20"/>
        </w:rPr>
        <w:t xml:space="preserve">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Tax Credit Event occurs, we may redeem the bonds.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occurs, we may redeem at our option the bonds as described under “Description of the Bonds—Right to Redeem for Tax Credit Event.” A “Tax Credit Event” occurs with respect to the bonds if, in our reasonable determination, there exists a material risk, due to the bonds (considered together with other debt) having been issued, as part of an original issuance, to one or more “specified foreign entities,”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bonds for this reason would be at a redemption price equal to 101%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Tax Credit Event occurs, and your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bonds that are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4902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after deducting the underwriting discount and estimated expenses payable by us, will be approximately $346.8 million. We intend to use the net proceeds from this offering to repay indebtedness incurred under our commercial paper program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As of August 31, 2026, we had outstanding $511.1 million of short-term indebtedness under our commercial paper program with interest rates ranging from 3.83% to 3.94%. Our commercial paper is supported by our master revolving credit facility, which we have used in the past and, depending on market conditions, may continue to use in the future to fund working capital needs. </w:t>
      </w:r>
    </w:p>
    <w:p>
      <w:pPr>
        <w:pStyle w:val="TextBody"/>
        <w:bidi w:val="0"/>
        <w:spacing w:before="240" w:after="0"/>
        <w:jc w:val="left"/>
        <w:rPr>
          <w:rFonts w:ascii="Times New Roman" w:hAnsi="Times New Roman"/>
          <w:sz w:val="20"/>
        </w:rPr>
      </w:pPr>
      <w:r>
        <w:rPr>
          <w:rFonts w:ascii="Times New Roman" w:hAnsi="Times New Roman"/>
          <w:sz w:val="20"/>
        </w:rPr>
        <w:t xml:space="preserve">A portion of the net proceeds may be invested temporarily in short-term interest-bearing accounts, securities or similar investments until they are used for their intended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affiliates may own some of our outstanding commercial paper, the repayment of which would be funded with a portion of the net proceeds from the sale of the bonds. See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49029_7"/>
      <w:bookmarkEnd w:id="9"/>
      <w:r>
        <w:rPr>
          <w:rFonts w:ascii="Times New Roman" w:hAnsi="Times New Roman"/>
          <w:b/>
          <w:sz w:val="20"/>
        </w:rPr>
        <w:t xml:space="preserve">DESCRIPTION OF THE BONDS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$350,000,000 aggregate principal amount of our First Mortgage Bonds, 5.600% Series due 2034 (the “bonds”), which will mature on January 15, 2034. The bonds will be a separate series of securities issued and secured by the Mortgage and Deed of Trust, dated as of July 1, 1939, between us and The Bank of New York Mellon Trust Company, N.A. (as successor to Harris Trust and Savings Bank), as trustee (the “trustee”), as supplemented and amended (the “mortgage”), including by the Fifty-Sixth Supplemental Indenture, to be dated as of September 16, 2026.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along with the additional information contained in the accompanying prospectus under “Description of First Mortgage Bonds” (as modified by the amendments described under “—Amendments to Mortgage” below),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 </w:t>
      </w:r>
    </w:p>
    <w:p>
      <w:pPr>
        <w:pStyle w:val="TextBody"/>
        <w:bidi w:val="0"/>
        <w:spacing w:before="360" w:after="0"/>
        <w:jc w:val="left"/>
        <w:rPr>
          <w:rFonts w:ascii="Times New Roman" w:hAnsi="Times New Roman"/>
          <w:b/>
          <w:sz w:val="20"/>
        </w:rPr>
      </w:pPr>
      <w:r>
        <w:rPr>
          <w:rFonts w:ascii="Times New Roman" w:hAnsi="Times New Roman"/>
          <w:b/>
          <w:sz w:val="20"/>
        </w:rPr>
        <w:t xml:space="preserve">Basic Terms of the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secured equally and ratably with all other bonds outstanding or hereafter issued under our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an initial aggregate principal amount of $350,000,000;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mature on January 15, 2034, with interest payable semi-annually in arrears on each January 15 and July 15, beginning on January 15, 2027,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issuable in fully-registered book-entry form, in denominations of $2,000 and in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this offering and the use of proceeds therefrom, we would have had total indebtedness on our consolidated balance sheet of approximately $6.1 billion (excluding intracompany debt, trade payables and debt of variable interest entities). Of this amount, approximately $814.4 million would have been structurally senior to the bonds because our subsidiaries are the obligors under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bonds will be computed on the basis of a 360-day year consisting of twelve 30-day months. Interest on the bonds will accrue from the date of original issuance, or from the most recent interest payment date 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payment and transfer procedures for the bonds, see “— Book-Entry System” below.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November 15, 2033 (the date that is two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bonds plus 15 basis points less (b) interest accrued to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bonds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H.15 exactly equal to the period from the redemption date to the Par Call Date (the “Remaining Life”);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our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such redemption will be mailed or electronically delivered (or otherwise transmitted in accordance with the depositary’s procedures) at least 10 days but not more than 60 days before the redemption date to each holder of the bonds.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bonds or portions of the bonds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 </w:t>
      </w:r>
    </w:p>
    <w:p>
      <w:pPr>
        <w:pStyle w:val="TextBody"/>
        <w:bidi w:val="0"/>
        <w:spacing w:before="240" w:after="0"/>
        <w:jc w:val="left"/>
        <w:rPr>
          <w:rFonts w:ascii="Times New Roman" w:hAnsi="Times New Roman"/>
          <w:sz w:val="20"/>
        </w:rPr>
      </w:pPr>
      <w:r>
        <w:rPr>
          <w:rFonts w:ascii="Times New Roman" w:hAnsi="Times New Roman"/>
          <w:sz w:val="20"/>
        </w:rPr>
        <w:t xml:space="preserve">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less than all of the outstanding bonds, the bonds to be redeemed will be selected in accordance with the policies and procedures of The Depository Trust Company (or any successor depositary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provided that in the event the bonds are no longer held in global form through DTC, the bonds to be redeemed will be selected by the trustee by lot. We will not be responsible for giving notice of a redemption of the bonds to anyone other than DTC.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to applicable law (including, without limitation, United States federal securities laws), we or our affiliates may, at any time and from time to time, purchase outstanding bonds by tender, in the open market or by private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Redeem for Tax Credit Event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(as defined below) occurs, we may redeem, upon the sending of a notice of redemption to the holders, the bonds, in whole but not in part, at a redemption price equal to 101% of the principal amount of the bonds being redeemed plus accrued and unpaid interest to, but excluding, the redemption date. A notice of redemption of the bonds upon the occurrence of a Tax Credit Event (i) may only be sent by the later of (a) the end of the calendar year in which the bonds were issued and (b) six months from the date of issuance of the bonds and (ii) shall be accompanied by a certificate from one of our officers stating that such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such redemption will be mailed or electronically delivered (or otherwise transmitted in accordance with the depositary’s procedures) at least 10 days but not more than 60 days before the redemption date to each holder of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Reopening of Bond Series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approximately $2.6 billion in aggregate principal amount of additional first mortgage bonds could be issued under the most restrictive provisions of the mortgage, without giving effect to the issuance of the bonds offered hereby and the use of proceeds described under “Use of Proceeds”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Mortgage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Fifty-Fourth Supplemental Indenture to the mortgage, dated as of November 25, 2025, between us and the trustee, certain amendments to the mortgage were effectuated (the “Mortgage Amendments”). </w:t>
      </w:r>
    </w:p>
    <w:p>
      <w:pPr>
        <w:pStyle w:val="TextBody"/>
        <w:bidi w:val="0"/>
        <w:spacing w:before="240" w:after="0"/>
        <w:jc w:val="left"/>
        <w:rPr>
          <w:rFonts w:ascii="Times New Roman" w:hAnsi="Times New Roman"/>
          <w:sz w:val="20"/>
        </w:rPr>
      </w:pPr>
      <w:r>
        <w:rPr>
          <w:rFonts w:ascii="Times New Roman" w:hAnsi="Times New Roman"/>
          <w:sz w:val="20"/>
        </w:rPr>
        <w:t xml:space="preserve">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 of the net bondable value of property additions not subject to an unfunded prior 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bonds retired or to be retired (except out of trust monies);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deposited with the trustee for such purpose, which may thereafter be withdrawn upon the same basis that additional bonds are issuable under clause (1) or (2)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bonds may not be issued on the basis of property additions subject to an unfunded prior lien.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Release and Substitution of Property </w:t>
      </w:r>
    </w:p>
    <w:p>
      <w:pPr>
        <w:pStyle w:val="TextBody"/>
        <w:bidi w:val="0"/>
        <w:spacing w:before="120" w:after="0"/>
        <w:jc w:val="left"/>
        <w:rPr>
          <w:rFonts w:ascii="Times New Roman" w:hAnsi="Times New Roman"/>
          <w:sz w:val="20"/>
        </w:rPr>
      </w:pPr>
      <w:r>
        <w:rPr>
          <w:rFonts w:ascii="Times New Roman" w:hAnsi="Times New Roman"/>
          <w:sz w:val="20"/>
        </w:rPr>
        <w:t xml:space="preserve">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 </w:t>
      </w:r>
    </w:p>
    <w:p>
      <w:pPr>
        <w:pStyle w:val="TextBody"/>
        <w:bidi w:val="0"/>
        <w:spacing w:before="240" w:after="0"/>
        <w:jc w:val="left"/>
        <w:rPr>
          <w:rFonts w:ascii="Times New Roman" w:hAnsi="Times New Roman"/>
          <w:sz w:val="20"/>
        </w:rPr>
      </w:pPr>
      <w:r>
        <w:rPr>
          <w:rFonts w:ascii="Times New Roman" w:hAnsi="Times New Roman"/>
          <w:sz w:val="20"/>
        </w:rPr>
        <w:t xml:space="preserve">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mortgage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bond when the same shall become due and payable, whether at maturity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continuing for 30 days in the payment of any installment of interest on any bond or in the payment or satisfaction of any sinking fund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Substitution of Bonds </w:t>
      </w:r>
    </w:p>
    <w:p>
      <w:pPr>
        <w:pStyle w:val="TextBody"/>
        <w:bidi w:val="0"/>
        <w:spacing w:before="120" w:after="0"/>
        <w:jc w:val="left"/>
        <w:rPr>
          <w:rFonts w:ascii="Times New Roman" w:hAnsi="Times New Roman"/>
          <w:sz w:val="20"/>
        </w:rPr>
      </w:pPr>
      <w:r>
        <w:rPr>
          <w:rFonts w:ascii="Times New Roman" w:hAnsi="Times New Roman"/>
          <w:sz w:val="20"/>
        </w:rPr>
        <w:t xml:space="preserve">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 purposes to the holders of the bonds offered hereby and (3) we deliver certain other certificates and documents, as required by the supplemental indenture to the mortgage related to the bonds offered hereby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 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and our affiliates maintain corporate trust and other banking relationships (including borrowing) with The Bank of New York Mellon Trust Company, N.A.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49029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have elected the mark-to-market method of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the bonds as part of a “straddle,” a “hedge,” a “constructive sale” transaction, or a “conversion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U.S. long-term residents or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that have a “functional currency” other than the U.S. dollar or that hold bonds through a non-U.S. broker or other non-U.S.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the bonds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accruals with respect to the bonds to their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entities or arrangements treated as partnerships for U.S. federal income tax purposes) and investors in such partnerships (or such other pass-through entities or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assumes that the bonds are held as capital assets within the meaning of Section 1221 of the Internal Revenue Code of 1986, as amended (the “Code”), for U.S. federal income tax purposes, which generally means property held for investment. In addition, this discussion only addresses the U.S. federal income tax consequences to initial investors that purchase the bonds for cash, at the offering price set forth for such bonds on the cover page of this prospectus supplement and does not discuss the tax consequences for subsequent purchasers of the bonds. It does not consider any tax consequences arising out of U.S. federal gift, generation-skipping, estate or any other U.S. federal tax laws other than U.S. federal income tax laws, under the tax laws of any foreign, state, local or other jurisdiction or pursuant to any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purposes of this discussion, any entity or arrangement that is treated as a partnership for U.S. federal income tax purposes, holds the bonds, the treatment of a partner in the partnership will generally depend on the status of the partner and the activities of the partnership. If you are a partnership that is considering purchasing bonds (or a partner in such partnership), you should consult with your tax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consult your own tax advisor about the particular U.S. federal, state, local and foreign tax consequences of the purchase, ownership and disposition of the bonds and the application of the U.S. federal income tax laws to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A “U.S. holder” is a beneficial owner of bonds that, for U.S. federal income tax purposes, is not a partnership or other pass-through entity or arrangement that is treated as a partnership (which, as indicated above, we do not address herein)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U.S. federal income tax purposes) created or organized under the laws of the United States, any of its states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If we exercise our right to redeem the bonds, we may be obligated to redeem the bonds at a redemption price in excess of the stated principal thereof and interest thereon as described under “Description of the Bonds – Optional Redemption” and “– Right to Redeem for Tax Credit Event” herein.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If the bonds are issued at a discount from their stated redemption price at maturity, it is expected, and this discussion assumes, that any such discount will be less than the statutorily defined de minimis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stated interest on the bonds generally will be taxable to a U.S. holder as ordinary interest income at the time such interest is received or accrued in accordance with the U.S. holder’s regular method of accounting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Bonds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taxable gain or loss on the sale, exchange, redemption, retirement or other taxable disposition of a bond. The amount of the U.S. holder’s gain or loss will equal the difference between the amount of cash and the fair market value of any other property received by the U.S. holder in exchange for the bond (except to the extent such amount represents accrued but unpaid interest, which will be treated as ordinary interest income to the extent the U.S. holder has not previously included the accrued interest in gross income) minus the U.S. holder’s tax basis in the bond. The U.S. holder’s tax basis in a bond generally will be the price the U.S. holder paid for the bond.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Investment Income Tax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is a beneficial owner of bonds that is neither (i) a U.S. holder nor (ii) a partnership or other pass-through entity or arrangement that is treated as a partnership for U.S. federal income tax purposes (which, as indicated above, we do not address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the Bonds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constructive owner of 10% or more of the total voting power of all our voting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related (directly or indirectly) to us through stock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receiving interest on an extension of credit made pursuant to a loan agreement with us entered into in the ordinary course of its trade or business;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our paying agent,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Non-U.S. holder, a properly completed IRS Form W-8BEN or W-8BEN-E (or substitute IRS Form W-8BEN or W-8BEN-E or the appropriate successor form), signed under penalties of perjury, which provides the Non-U.S. holder’s name and address and certifies that the Non-U.S. holder of the bond is not a United States person (as defined in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 securities clearing organization, bank or other financial institution that holds the bonds in the ordinary course of its trade or business (a “financial institution”) on behalf of the Non-U.S. holder, certification under penalties of perjury that such an IRS Form W-8BEN or W-8BEN-E (or substitute IRS Form W-8BEN or W-8BEN-E or the appropriate successor form) has been received by it, or by another such financial institution, from the Non-U.S. holder, and a copy of the IRS Form W-8BEN or W-8BEN-E (or substitute IRS Form W-8BEN or W-8BEN-E or the appropriate successor form) is furnished to the payor.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 rules may apply to holders that hold bonds through “qualified intermediaries” within the meaning of U.S. federal income tax laws. </w:t>
      </w:r>
    </w:p>
    <w:p>
      <w:pPr>
        <w:pStyle w:val="TextBody"/>
        <w:bidi w:val="0"/>
        <w:spacing w:before="240" w:after="0"/>
        <w:jc w:val="left"/>
        <w:rPr>
          <w:rFonts w:ascii="Times New Roman" w:hAnsi="Times New Roman"/>
          <w:sz w:val="20"/>
        </w:rPr>
      </w:pPr>
      <w:r>
        <w:rPr>
          <w:rFonts w:ascii="Times New Roman" w:hAnsi="Times New Roman"/>
          <w:sz w:val="20"/>
        </w:rPr>
        <w:t xml:space="preserve">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by providing an IRS Form W-8BEN or W-8BEN-E) on payments of interest on the bonds. We will not be obligated to make any “gross up” or additional payments in respect of amounts withheld on the bonds if we determine that we must so withhold in respect of the amounts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required to periodically update their IRS forms.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Bonds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withholding below, any gain realized by a Non-U.S. holder on the sale, exchange, redemption, retirement or other disposition of a bond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gain is effectively connected with the Non-U.S. holder’s conduct of a trade or business in the United States and, if the Non-U.S. holder is entitled to the benefits under an applicable tax treaty, is attributable to a permanent establishment or a fixed base in the United States;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in the taxable year of such disposition (as determined under the Code) and certain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Gain realized on a disposition of a bond will not include amounts that represent accrued but unpaid interest, which will be treated as described under “—Payments on the Bonds”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interest to a Non-U.S. holder generally will be reported to the IRS and to the Non-U.S. holder. Copies of applicable IRS information returns may be made available under the provisions of a specific tax treaty 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 (a) 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IGA. We will not be obligated to make any “gross up” or additional payments in respect of amounts withheld on the bonds if we determine that we must so withhold in order to comply with FATCA in respect of the amounts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bonds should consult their own tax advisors regarding the application of FATCA to the purchase, ownership and disposition of bonds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49029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intend to offer the bonds through the underwriters named below. Subject to the terms and conditions contained in an underwriting agreement, we have agreed to sell to the underwriters, for whom PNC Capital Markets LLC, RBC Capital Markets, LLC, Truist Securities, Inc. and U.S. Bancorp Investments, Inc. are acting as representatives, and the underwriters have agreed to purchase from us, severally and not jointly, the principal amount of the bonds listed opposite their names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09"/>
        <w:gridCol w:w="513"/>
        <w:gridCol w:w="190"/>
        <w:gridCol w:w="1864"/>
        <w:gridCol w:w="63"/>
      </w:tblGrid>
      <w:tr>
        <w:trPr/>
        <w:tc>
          <w:tcPr>
            <w:tcW w:w="430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13"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84,000,000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84,000,000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84,000,000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84,000,000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UMB Financial Services, Inc.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8,400,000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5,600,000</w:t>
            </w:r>
          </w:p>
        </w:tc>
        <w:tc>
          <w:tcPr>
            <w:tcW w:w="63"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350,000,000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8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underwriters a discount of 0.625% per bond. The following table shows the total underwriting discount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2"/>
        <w:gridCol w:w="537"/>
        <w:gridCol w:w="141"/>
        <w:gridCol w:w="989"/>
        <w:gridCol w:w="280"/>
      </w:tblGrid>
      <w:tr>
        <w:trPr/>
        <w:tc>
          <w:tcPr>
            <w:tcW w:w="4992"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992"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80"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bond</w:t>
            </w:r>
          </w:p>
        </w:tc>
        <w:tc>
          <w:tcPr>
            <w:tcW w:w="5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0.625</w:t>
            </w:r>
          </w:p>
        </w:tc>
        <w:tc>
          <w:tcPr>
            <w:tcW w:w="280"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2,187,500</w:t>
            </w:r>
          </w:p>
        </w:tc>
        <w:tc>
          <w:tcPr>
            <w:tcW w:w="28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0.350% of the principal amount of the bonds. Any such securities dealers may resell any bonds purchased from the underwriters to certain other brokers or dealers at a discount from the initial price to the public of up to 0.200% of the principal amount of the bonds. If all the bonds are not sold at the initial price to the public,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this offering, not including the underwriting discount, are estimated to be approximately $844,000 and are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bonds are a new issue of securities with no established trading market. We do not intend to list the bonds on any securities exchange or seek their quotation on any automated dealer quotation system.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advised us that they intend to make a market in the bonds, but they are not obligated to do so. 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facility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or their affiliates may hold a portion of our outstanding commercial paper that may be repaid using the net proceeds of this offering. In such an event, it is possible that one or more of the underwriters or their affiliates could receive 5% or more of the net proceeds of this offering, and in that case such underwriter would be deemed to have a conflict of interest under FINRA Rule 5121. In the event of any such conflict of interest, such underwriter would be 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Delivery of the bonds is expected to be made against payment therefor on or about the settlement date set forth on the cover page of this prospectus supplement, which will be the fourth business day following the date of this prospectus supplement (“T+4”).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bonds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bonds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bonds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bonds in any member state of the European Economic Area will be made pursuant to an exemption under the Prospectus Regulation from the requirement to publish a prospectus for offers of bonds. This prospectus supplement and the accompanying prospectus are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bonds which are the subject of the offering contemplated by this prospectus supplement to the public in the United Kingdom, except that it may make an offer of such bonds to the public in the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bonds to the public” in relation to any bonds, means the communication in any form and by any means of sufficient information on the terms of the offer and the bonds to be offered so as to enable an investor to decide to purchase or subscribe for the bonds,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POATRs.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bonds in the United Kingdom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is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 prospectus under the Israeli Securities Law, 5728-1968 (the “Securities Law”), and have not been filed with or approved by the Israel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will not be registered under the Financial Instruments and Exchange Act of Japan (Act No. 25 of 1948, as amended) (the “Financial Instruments and Exchange Act”) and the bonds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bonds may not be circulated or distributed, nor may the bonds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bonds are subscribed for or acquired pursuant to an offer made in reliance on Section 275 of the SFA by a Relevant Person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the sole purpose of which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bonds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an Accredited Investor or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b/>
          <w:sz w:val="20"/>
        </w:rPr>
        <w:t>Singapore Securities and Futures Act Product Classification—</w:t>
      </w:r>
      <w:r>
        <w:rPr>
          <w:rFonts w:ascii="Times New Roman" w:hAnsi="Times New Roman"/>
          <w:sz w:val="20"/>
        </w:rPr>
        <w:t xml:space="preserve">Solely for the purposes of obligations pursuant to Sections 309B(1)(a) and 309B(1)(c) of the SFA, we have determined, and hereby notify all relevant persons (as defined in Section 309A of the SFA), that the bonds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49029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September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 </w:t>
      </w:r>
    </w:p>
    <w:p>
      <w:pPr>
        <w:pStyle w:val="TextBody"/>
        <w:bidi w:val="0"/>
        <w:spacing w:before="480" w:after="0"/>
        <w:jc w:val="center"/>
        <w:rPr>
          <w:rFonts w:ascii="Times New Roman" w:hAnsi="Times New Roman"/>
          <w:b/>
          <w:sz w:val="20"/>
        </w:rPr>
      </w:pPr>
      <w:bookmarkStart w:id="13" w:name="supprom149029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Evergy Kansas Central, Inc. and subsidiaries as of December 31, 2025 and 2024, and for each of the three years in the period ended December 31, 2025,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KANSAS CENTRAL, INC. </w:t>
      </w:r>
    </w:p>
    <w:p>
      <w:pPr>
        <w:pStyle w:val="TextBody"/>
        <w:bidi w:val="0"/>
        <w:spacing w:before="240" w:after="0"/>
        <w:jc w:val="center"/>
        <w:rPr>
          <w:rFonts w:ascii="Times New Roman" w:hAnsi="Times New Roman"/>
          <w:b/>
          <w:sz w:val="28"/>
        </w:rPr>
      </w:pPr>
      <w:r>
        <w:rPr>
          <w:rFonts w:ascii="Times New Roman" w:hAnsi="Times New Roman"/>
          <w:b/>
          <w:sz w:val="28"/>
        </w:rPr>
        <w:t xml:space="preserve">Unsecured 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Unsecured 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First Mortgage Bonds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are not obligations of, or guaranteed by, Evergy, Inc., our corporate parent.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818 South Kansas Avenue, Topeka, Kansas 66612. Our telephone number is (785) 575-6300.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risks. You should carefully consider the information referred to under the heading “</w:t>
      </w:r>
      <w:hyperlink w:anchor="tx2_2879371_4">
        <w:r>
          <w:rPr>
            <w:rStyle w:val="InternetLink"/>
            <w:rFonts w:ascii="Times New Roman" w:hAnsi="Times New Roman"/>
            <w:b/>
            <w:sz w:val="24"/>
          </w:rPr>
          <w:t>Risk Factors</w:t>
        </w:r>
      </w:hyperlink>
      <w:r>
        <w:rPr>
          <w:rFonts w:ascii="Times New Roman" w:hAnsi="Times New Roman"/>
          <w:b/>
          <w:sz w:val="24"/>
        </w:rPr>
        <w:t xml:space="preserve">” on page 5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3">
              <w:r>
                <w:rPr>
                  <w:rStyle w:val="InternetLink"/>
                  <w:rFonts w:ascii="Times New Roman" w:hAnsi="Times New Roman"/>
                  <w:sz w:val="20"/>
                </w:rPr>
                <w:t>EVERGY KANSAS CENTRAL, INC .</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6">
              <w:r>
                <w:rPr>
                  <w:rStyle w:val="InternetLink"/>
                  <w:rFonts w:ascii="Times New Roman" w:hAnsi="Times New Roman"/>
                  <w:sz w:val="20"/>
                </w:rPr>
                <w:t xml:space="preserve">DESCRIPTION OF DEBT SECURITIES </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7">
              <w:r>
                <w:rPr>
                  <w:rStyle w:val="InternetLink"/>
                  <w:rFonts w:ascii="Times New Roman" w:hAnsi="Times New Roman"/>
                  <w:sz w:val="20"/>
                </w:rPr>
                <w:t>DESCRIPTION OF FIRST MORTGAGE BONDS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8">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_2879371_1"/>
      <w:bookmarkEnd w:id="1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_2879371_2"/>
      <w:bookmarkEnd w:id="15"/>
      <w:r>
        <w:rPr>
          <w:rFonts w:ascii="Times New Roman" w:hAnsi="Times New Roman"/>
          <w:b/>
          <w:sz w:val="20"/>
        </w:rPr>
        <w:t xml:space="preserve">CAUTIONARY STATEMENTS REGARDING </w:t>
      </w:r>
    </w:p>
    <w:p>
      <w:pPr>
        <w:pStyle w:val="TextBody"/>
        <w:bidi w:val="0"/>
        <w:spacing w:before="0" w:after="0"/>
        <w:jc w:val="center"/>
        <w:rPr>
          <w:rFonts w:ascii="Times New Roman" w:hAnsi="Times New Roman"/>
          <w:b/>
          <w:sz w:val="20"/>
        </w:rPr>
      </w:pPr>
      <w:r>
        <w:rPr>
          <w:rFonts w:ascii="Times New Roman" w:hAnsi="Times New Roman"/>
          <w:b/>
          <w:sz w:val="20"/>
        </w:rPr>
        <w:t xml:space="preserve">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_2879371_3"/>
      <w:bookmarkEnd w:id="16"/>
      <w:r>
        <w:rPr>
          <w:rFonts w:ascii="Times New Roman" w:hAnsi="Times New Roman"/>
          <w:b/>
          <w:sz w:val="20"/>
        </w:rPr>
        <w:t xml:space="preserve">EVERGY KANSAS CENTRAL, INC.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is an integrated, regulated electric utility that provides electricity to customers in the state of Kansas. Evergy Kansas Central has one active wholly owned subsidiary with significant operations, Evergy Kansas South,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_2879371_4"/>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prospectus supplement relating to any securities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filed with the SEC on </w:t>
            </w:r>
            <w:hyperlink r:id="rId7">
              <w:r>
                <w:rPr>
                  <w:rStyle w:val="InternetLink"/>
                  <w:rFonts w:ascii="Times New Roman" w:hAnsi="Times New Roman"/>
                  <w:sz w:val="20"/>
                </w:rPr>
                <w:t>February 29, 2024</w:t>
              </w:r>
            </w:hyperlink>
            <w:r>
              <w:rPr>
                <w:rFonts w:ascii="Times New Roman" w:hAnsi="Times New Roman"/>
                <w:sz w:val="20"/>
              </w:rPr>
              <w:t xml:space="preserve"> and incorporated by reference into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filed with the SEC on </w:t>
            </w:r>
            <w:hyperlink r:id="rId8">
              <w:r>
                <w:rPr>
                  <w:rStyle w:val="InternetLink"/>
                  <w:rFonts w:ascii="Times New Roman" w:hAnsi="Times New Roman"/>
                  <w:sz w:val="20"/>
                </w:rPr>
                <w:t>May  9, 2024</w:t>
              </w:r>
            </w:hyperlink>
            <w:r>
              <w:rPr>
                <w:rFonts w:ascii="Times New Roman" w:hAnsi="Times New Roman"/>
                <w:sz w:val="20"/>
              </w:rPr>
              <w:t xml:space="preserve"> and </w:t>
            </w:r>
            <w:hyperlink r:id="rId9">
              <w:r>
                <w:rPr>
                  <w:rStyle w:val="InternetLink"/>
                  <w:rFonts w:ascii="Times New Roman" w:hAnsi="Times New Roman"/>
                  <w:sz w:val="20"/>
                </w:rPr>
                <w:t>August 9, 2024</w:t>
              </w:r>
            </w:hyperlink>
            <w:r>
              <w:rPr>
                <w:rFonts w:ascii="Times New Roman" w:hAnsi="Times New Roman"/>
                <w:sz w:val="20"/>
              </w:rPr>
              <w:t xml:space="preserve">, respectively, and incorporated by reference into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documents that we file with the SEC after the date of this prospectus and that are deemed incorporated by reference into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2_2879371_5"/>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inform you otherwise in a supplement to this prospectus, we anticipate using any net proceeds received by us from the issuance of any of the offered securities for general corporate purposes,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retirement or refinancing of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of construction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2_2879371_6"/>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 of indebtedness, may be issued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senior debt securities, under a senior indenture dated August 1, 1998, which we refer to as the senior indenture, between us and Deutsche Bank Trust Company Americas, formerly known as Bankers Trust Company, as trustee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subordinated debt securities, under a subordinated indenture, which we refer to as the subordinated indenture, to be entered into between us and The Bank of New York Mellon Trust Company, N.A., as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indenture is included, and the subordinated indenture will be substantially in the form included,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the securities in a prospectus supplement. The prospectus supplement will set forth the following terms, as applicable, of the debt securities offered thereby: </w:t>
      </w:r>
    </w:p>
    <w:p>
      <w:pPr>
        <w:pStyle w:val="TextBody"/>
        <w:bidi w:val="0"/>
        <w:spacing w:before="120" w:after="0"/>
        <w:jc w:val="left"/>
        <w:rPr>
          <w:rFonts w:ascii="Times New Roman" w:hAnsi="Times New Roman"/>
          <w:sz w:val="20"/>
        </w:rPr>
      </w:pPr>
      <w:r>
        <w:rPr>
          <w:rFonts w:ascii="Times New Roman" w:hAnsi="Times New Roman"/>
          <w:sz w:val="20"/>
        </w:rPr>
        <w:t xml:space="preserve">(1) the designation, aggregate principal amount, currency or composite currency and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(2) the price at which such debt securities will be issued and, if an index formula or other method is used, the method for determining amounts of principal or interest; </w:t>
      </w:r>
    </w:p>
    <w:p>
      <w:pPr>
        <w:pStyle w:val="TextBody"/>
        <w:bidi w:val="0"/>
        <w:spacing w:before="240" w:after="0"/>
        <w:jc w:val="left"/>
        <w:rPr>
          <w:rFonts w:ascii="Times New Roman" w:hAnsi="Times New Roman"/>
          <w:sz w:val="20"/>
        </w:rPr>
      </w:pPr>
      <w:r>
        <w:rPr>
          <w:rFonts w:ascii="Times New Roman" w:hAnsi="Times New Roman"/>
          <w:sz w:val="20"/>
        </w:rPr>
        <w:t xml:space="preserve">(3) the maturity date and other dates, if any, on which principal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(4) the interest rate (which may be fixed or variable), if any; </w:t>
      </w:r>
    </w:p>
    <w:p>
      <w:pPr>
        <w:pStyle w:val="TextBody"/>
        <w:bidi w:val="0"/>
        <w:spacing w:before="240" w:after="0"/>
        <w:jc w:val="left"/>
        <w:rPr>
          <w:rFonts w:ascii="Times New Roman" w:hAnsi="Times New Roman"/>
          <w:sz w:val="20"/>
        </w:rPr>
      </w:pPr>
      <w:r>
        <w:rPr>
          <w:rFonts w:ascii="Times New Roman" w:hAnsi="Times New Roman"/>
          <w:sz w:val="20"/>
        </w:rPr>
        <w:t xml:space="preserve">(5) the date or dates from which interest will accrue and on which interest will be payable, and the record dates for the payment of interest; </w:t>
      </w:r>
    </w:p>
    <w:p>
      <w:pPr>
        <w:pStyle w:val="TextBody"/>
        <w:bidi w:val="0"/>
        <w:spacing w:before="240" w:after="0"/>
        <w:jc w:val="left"/>
        <w:rPr>
          <w:rFonts w:ascii="Times New Roman" w:hAnsi="Times New Roman"/>
          <w:sz w:val="20"/>
        </w:rPr>
      </w:pPr>
      <w:r>
        <w:rPr>
          <w:rFonts w:ascii="Times New Roman" w:hAnsi="Times New Roman"/>
          <w:sz w:val="20"/>
        </w:rPr>
        <w:t xml:space="preserve">(6) the manner of paying principal and interest; </w:t>
      </w:r>
    </w:p>
    <w:p>
      <w:pPr>
        <w:pStyle w:val="TextBody"/>
        <w:bidi w:val="0"/>
        <w:spacing w:before="240" w:after="0"/>
        <w:jc w:val="left"/>
        <w:rPr>
          <w:rFonts w:ascii="Times New Roman" w:hAnsi="Times New Roman"/>
          <w:sz w:val="20"/>
        </w:rPr>
      </w:pPr>
      <w:r>
        <w:rPr>
          <w:rFonts w:ascii="Times New Roman" w:hAnsi="Times New Roman"/>
          <w:sz w:val="20"/>
        </w:rPr>
        <w:t xml:space="preserve">(7) the place or places where principal and interest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(8) the terms of any mandatory or optional redemption by Evergy Kansas Central or any third party including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(9) the terms of any conversion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the terms of any redemption at the option of holders or put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(11) any tax indemnity provisions; </w:t>
      </w:r>
    </w:p>
    <w:p>
      <w:pPr>
        <w:pStyle w:val="TextBody"/>
        <w:bidi w:val="0"/>
        <w:spacing w:before="240" w:after="0"/>
        <w:jc w:val="left"/>
        <w:rPr>
          <w:rFonts w:ascii="Times New Roman" w:hAnsi="Times New Roman"/>
          <w:sz w:val="20"/>
        </w:rPr>
      </w:pPr>
      <w:r>
        <w:rPr>
          <w:rFonts w:ascii="Times New Roman" w:hAnsi="Times New Roman"/>
          <w:sz w:val="20"/>
        </w:rPr>
        <w:t xml:space="preserve">(12) if the debt securities provide that payments of principal or interest may be made in a currency other than that in which debt securities are denominated, the manner for determining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(13) the portion of principal payable upon acceleration of a Discounted Debt Security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(14) whether and upon what terms debt securities may be defeased; </w:t>
      </w:r>
    </w:p>
    <w:p>
      <w:pPr>
        <w:pStyle w:val="TextBody"/>
        <w:bidi w:val="0"/>
        <w:spacing w:before="240" w:after="0"/>
        <w:jc w:val="left"/>
        <w:rPr>
          <w:rFonts w:ascii="Times New Roman" w:hAnsi="Times New Roman"/>
          <w:sz w:val="20"/>
        </w:rPr>
      </w:pPr>
      <w:r>
        <w:rPr>
          <w:rFonts w:ascii="Times New Roman" w:hAnsi="Times New Roman"/>
          <w:sz w:val="20"/>
        </w:rPr>
        <w:t xml:space="preserve">(15) any events of default or covenants in addition to or in lieu of those set forth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(16) provisions for electronic issuance of debt securities or for debt securities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(17) the right, if any, to “reopen” a series of debt securities and issue additional debt securities of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(18) 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Any covenants which may apply to a particular series of senior debt securities will be described in the prospectus supplement relating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Successor Obligor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 </w:t>
      </w:r>
    </w:p>
    <w:p>
      <w:pPr>
        <w:pStyle w:val="TextBody"/>
        <w:bidi w:val="0"/>
        <w:spacing w:before="120" w:after="0"/>
        <w:jc w:val="left"/>
        <w:rPr>
          <w:rFonts w:ascii="Times New Roman" w:hAnsi="Times New Roman"/>
          <w:sz w:val="20"/>
        </w:rPr>
      </w:pPr>
      <w:r>
        <w:rPr>
          <w:rFonts w:ascii="Times New Roman" w:hAnsi="Times New Roman"/>
          <w:sz w:val="20"/>
        </w:rPr>
        <w:t xml:space="preserve">(1) the person is organized under the laws of the United States or a State thereof or is organized under the laws of a foreign jurisdiction and consents to the jurisdiction of the courts of the United States or a State thereof; </w:t>
      </w:r>
    </w:p>
    <w:p>
      <w:pPr>
        <w:pStyle w:val="TextBody"/>
        <w:bidi w:val="0"/>
        <w:spacing w:before="240" w:after="0"/>
        <w:jc w:val="left"/>
        <w:rPr>
          <w:rFonts w:ascii="Times New Roman" w:hAnsi="Times New Roman"/>
          <w:sz w:val="20"/>
        </w:rPr>
      </w:pPr>
      <w:r>
        <w:rPr>
          <w:rFonts w:ascii="Times New Roman" w:hAnsi="Times New Roman"/>
          <w:sz w:val="20"/>
        </w:rPr>
        <w:t xml:space="preserve">(2) the person assumes by supplemental indenture all of our obligations under the senior indenture, the senior debt securities and any coupons; </w:t>
      </w:r>
    </w:p>
    <w:p>
      <w:pPr>
        <w:pStyle w:val="TextBody"/>
        <w:bidi w:val="0"/>
        <w:spacing w:before="240" w:after="0"/>
        <w:jc w:val="left"/>
        <w:rPr>
          <w:rFonts w:ascii="Times New Roman" w:hAnsi="Times New Roman"/>
          <w:sz w:val="20"/>
        </w:rPr>
      </w:pPr>
      <w:r>
        <w:rPr>
          <w:rFonts w:ascii="Times New Roman" w:hAnsi="Times New Roman"/>
          <w:sz w:val="20"/>
        </w:rPr>
        <w:t xml:space="preserve">(3) all required approvals of any regulatory body having jurisdiction over the transaction shall have been obtained; and </w:t>
      </w:r>
    </w:p>
    <w:p>
      <w:pPr>
        <w:pStyle w:val="TextBody"/>
        <w:bidi w:val="0"/>
        <w:spacing w:before="240" w:after="0"/>
        <w:jc w:val="left"/>
        <w:rPr>
          <w:rFonts w:ascii="Times New Roman" w:hAnsi="Times New Roman"/>
          <w:sz w:val="20"/>
        </w:rPr>
      </w:pPr>
      <w:r>
        <w:rPr>
          <w:rFonts w:ascii="Times New Roman" w:hAnsi="Times New Roman"/>
          <w:sz w:val="20"/>
        </w:rPr>
        <w:t xml:space="preserve">(4) immediately after the transaction no Default (as defined in “—Default and Remedies”) exists. </w:t>
      </w:r>
    </w:p>
    <w:p>
      <w:pPr>
        <w:pStyle w:val="TextBody"/>
        <w:bidi w:val="0"/>
        <w:spacing w:before="240" w:after="0"/>
        <w:jc w:val="left"/>
        <w:rPr>
          <w:rFonts w:ascii="Times New Roman" w:hAnsi="Times New Roman"/>
          <w:sz w:val="20"/>
        </w:rPr>
      </w:pPr>
      <w:r>
        <w:rPr>
          <w:rFonts w:ascii="Times New Roman" w:hAnsi="Times New Roman"/>
          <w:sz w:val="20"/>
        </w:rPr>
        <w:t xml:space="preserve">The successor shall be substituted for us, and thereafter all our obligations under the senior indenture, the senior debt securities and any coupons shall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Exchange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Unless the securities resolution or supplemental indenture establishing the series otherwise provides (in which event the prospectus supplement will so state), an “Event of Default” with respect to a series of senior debt securities will occur if: </w:t>
      </w:r>
    </w:p>
    <w:p>
      <w:pPr>
        <w:pStyle w:val="TextBody"/>
        <w:bidi w:val="0"/>
        <w:spacing w:before="120" w:after="0"/>
        <w:jc w:val="left"/>
        <w:rPr>
          <w:rFonts w:ascii="Times New Roman" w:hAnsi="Times New Roman"/>
          <w:sz w:val="20"/>
        </w:rPr>
      </w:pPr>
      <w:r>
        <w:rPr>
          <w:rFonts w:ascii="Times New Roman" w:hAnsi="Times New Roman"/>
          <w:sz w:val="20"/>
        </w:rPr>
        <w:t xml:space="preserve">(1) an Obligor defaults in any payment of interest on any senior debt securities of such series when the same becomes due and payable and the default continues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(2) an Obligor defaults in the payment of the principal and premium, if any, of any senior debt securities of such series when the same becomes due and payable at maturity or upon redemption, acceleration or otherwise and such default shall continue for five or more days; </w:t>
      </w:r>
    </w:p>
    <w:p>
      <w:pPr>
        <w:pStyle w:val="TextBody"/>
        <w:bidi w:val="0"/>
        <w:spacing w:before="240" w:after="0"/>
        <w:jc w:val="left"/>
        <w:rPr>
          <w:rFonts w:ascii="Times New Roman" w:hAnsi="Times New Roman"/>
          <w:sz w:val="20"/>
        </w:rPr>
      </w:pPr>
      <w:r>
        <w:rPr>
          <w:rFonts w:ascii="Times New Roman" w:hAnsi="Times New Roman"/>
          <w:sz w:val="20"/>
        </w:rPr>
        <w:t xml:space="preserve">(3) 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(4) an Obligor defaults in the performance of any of its other agreements applicable to the series and the default continues for 90 days after the notice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(5) an Obligor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custodian for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(6)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an Obligor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Custodian for an Obligor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(C) orders the liquidation of an Obligor, and the order or decree remains unstayed and in effect for 60 days; or </w:t>
      </w:r>
    </w:p>
    <w:p>
      <w:pPr>
        <w:pStyle w:val="TextBody"/>
        <w:bidi w:val="0"/>
        <w:spacing w:before="240" w:after="0"/>
        <w:jc w:val="left"/>
        <w:rPr>
          <w:rFonts w:ascii="Times New Roman" w:hAnsi="Times New Roman"/>
          <w:sz w:val="20"/>
        </w:rPr>
      </w:pPr>
      <w:r>
        <w:rPr>
          <w:rFonts w:ascii="Times New Roman" w:hAnsi="Times New Roman"/>
          <w:sz w:val="20"/>
        </w:rPr>
        <w:t xml:space="preserve">(7) there occurs any other Event of Default provided for in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term “Bankruptcy Law” means Title 11, U.S. Code or any similar Federal or State law for the relief of debtors. The term “Custodian” means any receiver, trustee, assignee, liquidator or a similar official under any Bankruptcy Law. </w:t>
      </w:r>
    </w:p>
    <w:p>
      <w:pPr>
        <w:pStyle w:val="TextBody"/>
        <w:bidi w:val="0"/>
        <w:spacing w:before="240" w:after="0"/>
        <w:jc w:val="left"/>
        <w:rPr/>
      </w:pPr>
      <w:r>
        <w:rPr/>
        <w:t>“</w:t>
      </w:r>
      <w:r>
        <w:rPr>
          <w:rFonts w:ascii="Times New Roman" w:hAnsi="Times New Roman"/>
          <w:sz w:val="20"/>
        </w:rPr>
        <w:t xml:space="preserve">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this section, the term “Obligor” shall mean each of us and any subsidiary guarantor identified in a securities resolution or supplemental indenture, in each case excluding such entity’s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have a cross-default provision. Thus, a default by any Obligor on any other debt, including any other series of senior debt securities, would not constitute an Event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 </w:t>
      </w:r>
    </w:p>
    <w:p>
      <w:pPr>
        <w:pStyle w:val="TextBody"/>
        <w:bidi w:val="0"/>
        <w:spacing w:before="120" w:after="0"/>
        <w:jc w:val="left"/>
        <w:rPr>
          <w:rFonts w:ascii="Times New Roman" w:hAnsi="Times New Roman"/>
          <w:sz w:val="20"/>
        </w:rPr>
      </w:pPr>
      <w:r>
        <w:rPr>
          <w:rFonts w:ascii="Times New Roman" w:hAnsi="Times New Roman"/>
          <w:sz w:val="20"/>
        </w:rPr>
        <w:t xml:space="preserve">(1) reduce the amount of senior debt securities whose holders must consent to an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(2) reduce the interest on or change the time for payment of interest on any senior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(3) change the fixed maturity of any senior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principal of any non-Discounted Debt Security or reduce the amount of the principal of any Discounted Debt Security that would be due on acceleration thereof; </w:t>
      </w:r>
    </w:p>
    <w:p>
      <w:pPr>
        <w:pStyle w:val="TextBody"/>
        <w:bidi w:val="0"/>
        <w:spacing w:before="240" w:after="0"/>
        <w:jc w:val="left"/>
        <w:rPr>
          <w:rFonts w:ascii="Times New Roman" w:hAnsi="Times New Roman"/>
          <w:sz w:val="20"/>
        </w:rPr>
      </w:pPr>
      <w:r>
        <w:rPr>
          <w:rFonts w:ascii="Times New Roman" w:hAnsi="Times New Roman"/>
          <w:sz w:val="20"/>
        </w:rPr>
        <w:t xml:space="preserve">(5) change the currency in which the principal or interest on a senior debt security is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 make any change that materially adversely affects the right to convert any senior debt security; or </w:t>
      </w:r>
    </w:p>
    <w:p>
      <w:pPr>
        <w:pStyle w:val="TextBody"/>
        <w:bidi w:val="0"/>
        <w:spacing w:before="240" w:after="0"/>
        <w:jc w:val="left"/>
        <w:rPr>
          <w:rFonts w:ascii="Times New Roman" w:hAnsi="Times New Roman"/>
          <w:sz w:val="20"/>
        </w:rPr>
      </w:pPr>
      <w:r>
        <w:rPr>
          <w:rFonts w:ascii="Times New Roman" w:hAnsi="Times New Roman"/>
          <w:sz w:val="20"/>
        </w:rPr>
        <w:t xml:space="preserve">(7) 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 the senior indenture or the senior debt securities may be amended: </w:t>
      </w:r>
    </w:p>
    <w:p>
      <w:pPr>
        <w:pStyle w:val="TextBody"/>
        <w:bidi w:val="0"/>
        <w:spacing w:before="240" w:after="0"/>
        <w:jc w:val="left"/>
        <w:rPr>
          <w:rFonts w:ascii="Times New Roman" w:hAnsi="Times New Roman"/>
          <w:sz w:val="20"/>
        </w:rPr>
      </w:pPr>
      <w:r>
        <w:rPr>
          <w:rFonts w:ascii="Times New Roman" w:hAnsi="Times New Roman"/>
          <w:sz w:val="20"/>
        </w:rPr>
        <w:t xml:space="preserve">(1) to cure any ambiguity, omission,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(2) to provide for assumption of our obligations to securityholders in the event of a merger or consolidation requiring such assumption; </w:t>
      </w:r>
    </w:p>
    <w:p>
      <w:pPr>
        <w:pStyle w:val="TextBody"/>
        <w:bidi w:val="0"/>
        <w:spacing w:before="240" w:after="0"/>
        <w:jc w:val="left"/>
        <w:rPr>
          <w:rFonts w:ascii="Times New Roman" w:hAnsi="Times New Roman"/>
          <w:sz w:val="20"/>
        </w:rPr>
      </w:pPr>
      <w:r>
        <w:rPr>
          <w:rFonts w:ascii="Times New Roman" w:hAnsi="Times New Roman"/>
          <w:sz w:val="20"/>
        </w:rPr>
        <w:t xml:space="preserve">(3) to provide that specific provisions of the indenture shall not apply to a series of senior debt securities not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(4) to create a series and establish its terms; </w:t>
      </w:r>
    </w:p>
    <w:p>
      <w:pPr>
        <w:pStyle w:val="TextBody"/>
        <w:bidi w:val="0"/>
        <w:spacing w:before="240" w:after="0"/>
        <w:jc w:val="left"/>
        <w:rPr>
          <w:rFonts w:ascii="Times New Roman" w:hAnsi="Times New Roman"/>
          <w:sz w:val="20"/>
        </w:rPr>
      </w:pPr>
      <w:r>
        <w:rPr>
          <w:rFonts w:ascii="Times New Roman" w:hAnsi="Times New Roman"/>
          <w:sz w:val="20"/>
        </w:rPr>
        <w:t xml:space="preserve">(5) to provide for a separate trustee for one or more series; or </w:t>
      </w:r>
    </w:p>
    <w:p>
      <w:pPr>
        <w:pStyle w:val="TextBody"/>
        <w:bidi w:val="0"/>
        <w:spacing w:before="240" w:after="0"/>
        <w:jc w:val="left"/>
        <w:rPr>
          <w:rFonts w:ascii="Times New Roman" w:hAnsi="Times New Roman"/>
          <w:sz w:val="20"/>
        </w:rPr>
      </w:pPr>
      <w:r>
        <w:rPr>
          <w:rFonts w:ascii="Times New Roman" w:hAnsi="Times New Roman"/>
          <w:sz w:val="20"/>
        </w:rPr>
        <w:t xml:space="preserve">(6) to make any change that does not materially adversely affect the rights of any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 </w:t>
      </w:r>
    </w:p>
    <w:p>
      <w:pPr>
        <w:pStyle w:val="TextBody"/>
        <w:bidi w:val="0"/>
        <w:spacing w:before="240" w:after="0"/>
        <w:jc w:val="left"/>
        <w:rPr>
          <w:rFonts w:ascii="Times New Roman" w:hAnsi="Times New Roman"/>
          <w:sz w:val="20"/>
        </w:rPr>
      </w:pPr>
      <w:r>
        <w:rPr>
          <w:rFonts w:ascii="Times New Roman" w:hAnsi="Times New Roman"/>
          <w:sz w:val="20"/>
        </w:rPr>
        <w:t xml:space="preserve">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 </w:t>
      </w:r>
    </w:p>
    <w:p>
      <w:pPr>
        <w:pStyle w:val="TextBody"/>
        <w:bidi w:val="0"/>
        <w:spacing w:before="240" w:after="0"/>
        <w:jc w:val="left"/>
        <w:rPr/>
      </w:pPr>
      <w:r>
        <w:rPr/>
        <w:t>“</w:t>
      </w:r>
      <w:r>
        <w:rPr>
          <w:rFonts w:ascii="Times New Roman" w:hAnsi="Times New Roman"/>
          <w:sz w:val="20"/>
        </w:rPr>
        <w:t xml:space="preserve">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which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is, and any senior debt securities will be, governed by New York law. The subordinated indenture and any subordinated debt securities will be governed by New York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2_2879371_7"/>
      <w:bookmarkEnd w:id="20"/>
      <w:r>
        <w:rPr>
          <w:rFonts w:ascii="Times New Roman" w:hAnsi="Times New Roman"/>
          <w:b/>
          <w:sz w:val="20"/>
        </w:rPr>
        <w:t xml:space="preserve">DESCRIPTION OF FIRST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 </w:t>
      </w:r>
    </w:p>
    <w:p>
      <w:pPr>
        <w:pStyle w:val="TextBody"/>
        <w:bidi w:val="0"/>
        <w:spacing w:before="120" w:after="0"/>
        <w:jc w:val="left"/>
        <w:rPr>
          <w:rFonts w:ascii="Times New Roman" w:hAnsi="Times New Roman"/>
          <w:sz w:val="20"/>
        </w:rPr>
      </w:pPr>
      <w:r>
        <w:rPr>
          <w:rFonts w:ascii="Times New Roman" w:hAnsi="Times New Roman"/>
          <w:sz w:val="20"/>
        </w:rPr>
        <w:t xml:space="preserve">(1) 60% (so long as any bonds issued prior to January 1, 1997 remain outstanding, and thereafter 70%) of the net bondable value of property additions not subject to an unfunded prior lien; </w:t>
      </w:r>
    </w:p>
    <w:p>
      <w:pPr>
        <w:pStyle w:val="TextBody"/>
        <w:bidi w:val="0"/>
        <w:spacing w:before="240" w:after="0"/>
        <w:jc w:val="left"/>
        <w:rPr>
          <w:rFonts w:ascii="Times New Roman" w:hAnsi="Times New Roman"/>
          <w:sz w:val="20"/>
        </w:rPr>
      </w:pPr>
      <w:r>
        <w:rPr>
          <w:rFonts w:ascii="Times New Roman" w:hAnsi="Times New Roman"/>
          <w:sz w:val="20"/>
        </w:rPr>
        <w:t xml:space="preserve">(2) the principal amount of bonds retired or to be retired (except out of trust monies); and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cash deposited with the trustee for such purpose, which may thereafter be withdrawn upon the same basis that additional bonds are issuable under clause (1) or (2) above. </w:t>
      </w:r>
    </w:p>
    <w:p>
      <w:pPr>
        <w:pStyle w:val="TextBody"/>
        <w:bidi w:val="0"/>
        <w:spacing w:before="240" w:after="0"/>
        <w:jc w:val="left"/>
        <w:rPr>
          <w:rFonts w:ascii="Times New Roman" w:hAnsi="Times New Roman"/>
          <w:sz w:val="20"/>
        </w:rPr>
      </w:pPr>
      <w:r>
        <w:rPr>
          <w:rFonts w:ascii="Times New Roman" w:hAnsi="Times New Roman"/>
          <w:sz w:val="20"/>
        </w:rPr>
        <w:t xml:space="preserve">Additional bonds may not be issued on the basis of property additions subject to an unfunded prior lien.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The net earnings test referred to in the previous paragraph need not be satisfied to issue additional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basis of the payment at maturity of bonds heretofore issued by us, or the redemption, conversion or purchase of bonds, after a date two years prior to the date on which those bonds mature.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to amend the mortgage to eliminate the foregoing requirement. See “—Modification of the Mortgage.”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Release and Substitution of Property </w:t>
      </w:r>
    </w:p>
    <w:p>
      <w:pPr>
        <w:pStyle w:val="TextBody"/>
        <w:bidi w:val="0"/>
        <w:spacing w:before="120" w:after="0"/>
        <w:jc w:val="left"/>
        <w:rPr>
          <w:rFonts w:ascii="Times New Roman" w:hAnsi="Times New Roman"/>
          <w:sz w:val="20"/>
        </w:rPr>
      </w:pPr>
      <w:r>
        <w:rPr>
          <w:rFonts w:ascii="Times New Roman" w:hAnsi="Times New Roman"/>
          <w:sz w:val="20"/>
        </w:rPr>
        <w:t xml:space="preserve">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 </w:t>
      </w:r>
    </w:p>
    <w:p>
      <w:pPr>
        <w:pStyle w:val="TextBody"/>
        <w:bidi w:val="0"/>
        <w:spacing w:before="360" w:after="0"/>
        <w:jc w:val="left"/>
        <w:rPr>
          <w:rFonts w:ascii="Times New Roman" w:hAnsi="Times New Roman"/>
          <w:b/>
          <w:sz w:val="20"/>
        </w:rPr>
      </w:pPr>
      <w:r>
        <w:rPr>
          <w:rFonts w:ascii="Times New Roman" w:hAnsi="Times New Roman"/>
          <w:b/>
          <w:sz w:val="20"/>
        </w:rPr>
        <w:t xml:space="preserve">Priority and Security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 </w:t>
      </w:r>
    </w:p>
    <w:p>
      <w:pPr>
        <w:pStyle w:val="TextBody"/>
        <w:bidi w:val="0"/>
        <w:spacing w:before="240" w:after="0"/>
        <w:jc w:val="left"/>
        <w:rPr>
          <w:rFonts w:ascii="Times New Roman" w:hAnsi="Times New Roman"/>
          <w:sz w:val="20"/>
        </w:rPr>
      </w:pPr>
      <w:r>
        <w:rPr>
          <w:rFonts w:ascii="Times New Roman" w:hAnsi="Times New Roman"/>
          <w:sz w:val="20"/>
        </w:rPr>
        <w:t xml:space="preserve">Excepted from the lien of the mortgage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or operating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 pledged under the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electric energy, gas, water, materials and supplies held for consumption in operation or held in advance of use for fixed capital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merchandise, appliances and supplies held for resale or lease to customers. </w:t>
            </w:r>
          </w:p>
        </w:tc>
      </w:tr>
    </w:tbl>
    <w:p>
      <w:pPr>
        <w:pStyle w:val="TextBody"/>
        <w:bidi w:val="0"/>
        <w:spacing w:before="240" w:after="0"/>
        <w:jc w:val="left"/>
        <w:rPr>
          <w:rFonts w:ascii="Times New Roman" w:hAnsi="Times New Roman"/>
          <w:sz w:val="20"/>
        </w:rPr>
      </w:pPr>
      <w:r>
        <w:rPr>
          <w:rFonts w:ascii="Times New Roman" w:hAnsi="Times New Roman"/>
          <w:sz w:val="20"/>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hAnsi="Times New Roman"/>
          <w:b/>
          <w:sz w:val="20"/>
        </w:rPr>
        <w:t>-</w:t>
      </w:r>
      <w:r>
        <w:rPr>
          <w:rFonts w:ascii="Times New Roman" w:hAnsi="Times New Roman"/>
          <w:sz w:val="20"/>
        </w:rPr>
        <w:t xml:space="preserve">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Mortgage </w:t>
      </w:r>
    </w:p>
    <w:p>
      <w:pPr>
        <w:pStyle w:val="TextBody"/>
        <w:bidi w:val="0"/>
        <w:spacing w:before="120" w:after="0"/>
        <w:jc w:val="left"/>
        <w:rPr>
          <w:rFonts w:ascii="Times New Roman" w:hAnsi="Times New Roman"/>
          <w:sz w:val="20"/>
        </w:rPr>
      </w:pPr>
      <w:r>
        <w:rPr>
          <w:rFonts w:ascii="Times New Roman" w:hAnsi="Times New Roman"/>
          <w:sz w:val="20"/>
        </w:rPr>
        <w:t xml:space="preserve">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 </w:t>
      </w:r>
    </w:p>
    <w:p>
      <w:pPr>
        <w:pStyle w:val="TextBody"/>
        <w:bidi w:val="0"/>
        <w:spacing w:before="240" w:after="0"/>
        <w:jc w:val="left"/>
        <w:rPr>
          <w:rFonts w:ascii="Times New Roman" w:hAnsi="Times New Roman"/>
          <w:sz w:val="20"/>
        </w:rPr>
      </w:pPr>
      <w:r>
        <w:rPr>
          <w:rFonts w:ascii="Times New Roman" w:hAnsi="Times New Roman"/>
          <w:sz w:val="20"/>
        </w:rPr>
        <w:t xml:space="preserve">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 </w:t>
      </w:r>
    </w:p>
    <w:p>
      <w:pPr>
        <w:pStyle w:val="TextBody"/>
        <w:bidi w:val="0"/>
        <w:spacing w:before="120" w:after="0"/>
        <w:jc w:val="left"/>
        <w:rPr>
          <w:rFonts w:ascii="Times New Roman" w:hAnsi="Times New Roman"/>
          <w:sz w:val="20"/>
        </w:rPr>
      </w:pPr>
      <w:r>
        <w:rPr>
          <w:rFonts w:ascii="Times New Roman" w:hAnsi="Times New Roman"/>
          <w:sz w:val="20"/>
        </w:rPr>
        <w:t xml:space="preserve">(1)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w:t>
      </w:r>
    </w:p>
    <w:p>
      <w:pPr>
        <w:pStyle w:val="TextBody"/>
        <w:bidi w:val="0"/>
        <w:spacing w:before="240" w:after="0"/>
        <w:jc w:val="left"/>
        <w:rPr>
          <w:rFonts w:ascii="Times New Roman" w:hAnsi="Times New Roman"/>
          <w:sz w:val="20"/>
        </w:rPr>
      </w:pPr>
      <w:r>
        <w:rPr>
          <w:rFonts w:ascii="Times New Roman" w:hAnsi="Times New Roman"/>
          <w:sz w:val="20"/>
        </w:rPr>
        <w:t xml:space="preserve">(2)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 </w:t>
      </w:r>
    </w:p>
    <w:p>
      <w:pPr>
        <w:pStyle w:val="TextBody"/>
        <w:bidi w:val="0"/>
        <w:spacing w:before="240" w:after="0"/>
        <w:jc w:val="left"/>
        <w:rPr>
          <w:rFonts w:ascii="Times New Roman" w:hAnsi="Times New Roman"/>
          <w:sz w:val="20"/>
        </w:rPr>
      </w:pPr>
      <w:r>
        <w:rPr>
          <w:rFonts w:ascii="Times New Roman" w:hAnsi="Times New Roman"/>
          <w:sz w:val="20"/>
        </w:rPr>
        <w:t xml:space="preserve">(3) the deletion of the net earnings test for the issuance of additional bonds or merging into another company; </w:t>
      </w:r>
    </w:p>
    <w:p>
      <w:pPr>
        <w:pStyle w:val="TextBody"/>
        <w:bidi w:val="0"/>
        <w:spacing w:before="240" w:after="0"/>
        <w:jc w:val="left"/>
        <w:rPr>
          <w:rFonts w:ascii="Times New Roman" w:hAnsi="Times New Roman"/>
          <w:sz w:val="20"/>
        </w:rPr>
      </w:pPr>
      <w:r>
        <w:rPr>
          <w:rFonts w:ascii="Times New Roman" w:hAnsi="Times New Roman"/>
          <w:sz w:val="20"/>
        </w:rPr>
        <w:t xml:space="preserve">(4) the deletion of a financial test to be met by another corporation in the event of our consolidation or merger into or our sale of our property as an entirety or substantially as an entirety to such other corporation; and </w:t>
      </w:r>
    </w:p>
    <w:p>
      <w:pPr>
        <w:pStyle w:val="TextBody"/>
        <w:bidi w:val="0"/>
        <w:spacing w:before="240" w:after="0"/>
        <w:jc w:val="left"/>
        <w:rPr>
          <w:rFonts w:ascii="Times New Roman" w:hAnsi="Times New Roman"/>
          <w:sz w:val="20"/>
        </w:rPr>
      </w:pPr>
      <w:r>
        <w:rPr>
          <w:rFonts w:ascii="Times New Roman" w:hAnsi="Times New Roman"/>
          <w:sz w:val="20"/>
        </w:rPr>
        <w:t xml:space="preserve">(5) the deletion of the requirement to obtain an independent engineer’s certificate in connection with certain releases of property from the lien of the mortgage.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reserved the right, subject to appropriate corporate action, but without the consent or other action of holders of bonds of any series created on or after June 1, 2004, to: </w:t>
      </w:r>
    </w:p>
    <w:p>
      <w:pPr>
        <w:pStyle w:val="TextBody"/>
        <w:bidi w:val="0"/>
        <w:spacing w:before="120" w:after="0"/>
        <w:jc w:val="left"/>
        <w:rPr>
          <w:rFonts w:ascii="Times New Roman" w:hAnsi="Times New Roman"/>
          <w:sz w:val="20"/>
        </w:rPr>
      </w:pPr>
      <w:r>
        <w:rPr>
          <w:rFonts w:ascii="Times New Roman" w:hAnsi="Times New Roman"/>
          <w:sz w:val="20"/>
        </w:rPr>
        <w:t xml:space="preserve">(1) 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 </w:t>
      </w:r>
    </w:p>
    <w:p>
      <w:pPr>
        <w:pStyle w:val="TextBody"/>
        <w:bidi w:val="0"/>
        <w:spacing w:before="240" w:after="0"/>
        <w:jc w:val="left"/>
        <w:rPr>
          <w:rFonts w:ascii="Times New Roman" w:hAnsi="Times New Roman"/>
          <w:sz w:val="20"/>
        </w:rPr>
      </w:pPr>
      <w:r>
        <w:rPr>
          <w:rFonts w:ascii="Times New Roman" w:hAnsi="Times New Roman"/>
          <w:sz w:val="20"/>
        </w:rPr>
        <w:t xml:space="preserve">(2) Eliminate as an event of default the failure to discharge or stay within 30 days a final judgment against us for the payment of money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(3) Eliminate the net earnings test in connection with certain acquisitions of property; </w:t>
      </w:r>
    </w:p>
    <w:p>
      <w:pPr>
        <w:pStyle w:val="TextBody"/>
        <w:bidi w:val="0"/>
        <w:spacing w:before="240" w:after="0"/>
        <w:jc w:val="left"/>
        <w:rPr>
          <w:rFonts w:ascii="Times New Roman" w:hAnsi="Times New Roman"/>
          <w:sz w:val="20"/>
        </w:rPr>
      </w:pPr>
      <w:r>
        <w:rPr>
          <w:rFonts w:ascii="Times New Roman" w:hAnsi="Times New Roman"/>
          <w:sz w:val="20"/>
        </w:rPr>
        <w:t xml:space="preserve">(4) Add nuclear fuel to the definition of property additions; and </w:t>
      </w:r>
    </w:p>
    <w:p>
      <w:pPr>
        <w:pStyle w:val="TextBody"/>
        <w:bidi w:val="0"/>
        <w:spacing w:before="240" w:after="0"/>
        <w:jc w:val="left"/>
        <w:rPr>
          <w:rFonts w:ascii="Times New Roman" w:hAnsi="Times New Roman"/>
          <w:sz w:val="20"/>
        </w:rPr>
      </w:pPr>
      <w:r>
        <w:rPr>
          <w:rFonts w:ascii="Times New Roman" w:hAnsi="Times New Roman"/>
          <w:sz w:val="20"/>
        </w:rPr>
        <w:t xml:space="preserve">(5) 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 (vii) clarification of our ability to issue variable rate bonds under the mortgage and (viii) amendment of the definitions of excepted property and permitted liens.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mortgage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bond when the same shall become due and payable, whether at maturity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continuing for 30 days in the payment of any installment of interest on any bond or in the payment or satisfaction of any sinking fund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discharge or stay within 30 days a final judgment against us for the payment of money in excess of $100,000;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2_2879371_8"/>
      <w:bookmarkEnd w:id="21"/>
      <w:r>
        <w:rPr>
          <w:rFonts w:ascii="Times New Roman" w:hAnsi="Times New Roman"/>
          <w:b/>
          <w:sz w:val="20"/>
        </w:rPr>
        <w:t xml:space="preserve">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based solely on information furnished by DTC: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 </w:t>
      </w:r>
    </w:p>
    <w:p>
      <w:pPr>
        <w:pStyle w:val="TextBody"/>
        <w:bidi w:val="0"/>
        <w:spacing w:before="240" w:after="0"/>
        <w:jc w:val="left"/>
        <w:rPr>
          <w:rFonts w:ascii="Times New Roman" w:hAnsi="Times New Roman"/>
          <w:sz w:val="20"/>
        </w:rPr>
      </w:pPr>
      <w:r>
        <w:rPr>
          <w:rFonts w:ascii="Times New Roman" w:hAnsi="Times New Roman"/>
          <w:sz w:val="20"/>
        </w:rPr>
        <w:t xml:space="preserve">If the global securities are redeemable, redemption notices shall be sent to DTC. If less than all of the global securities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including DTC, that we believe to be reliable, but we take no responsibility for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or agents of any of the securities may be direct participants of DTC. </w:t>
      </w:r>
    </w:p>
    <w:p>
      <w:pPr>
        <w:pStyle w:val="TextBody"/>
        <w:bidi w:val="0"/>
        <w:spacing w:before="360" w:after="0"/>
        <w:jc w:val="left"/>
        <w:rPr>
          <w:rFonts w:ascii="Times New Roman" w:hAnsi="Times New Roman"/>
          <w:b/>
          <w:sz w:val="20"/>
        </w:rPr>
      </w:pPr>
      <w:r>
        <w:rPr>
          <w:rFonts w:ascii="Times New Roman" w:hAnsi="Times New Roman"/>
          <w:b/>
          <w:sz w:val="20"/>
        </w:rPr>
        <w:t xml:space="preserve">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2_2879371_9"/>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2_2879371_10"/>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 </w:t>
      </w:r>
    </w:p>
    <w:p>
      <w:pPr>
        <w:pStyle w:val="TextBody"/>
        <w:bidi w:val="0"/>
        <w:spacing w:before="480" w:after="0"/>
        <w:jc w:val="center"/>
        <w:rPr>
          <w:rFonts w:ascii="Times New Roman" w:hAnsi="Times New Roman"/>
          <w:b/>
          <w:sz w:val="20"/>
        </w:rPr>
      </w:pPr>
      <w:bookmarkStart w:id="24" w:name="tx2_2879371_11"/>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2_2879371_12"/>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publically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2023, as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as filed with the SEC on </w:t>
            </w:r>
            <w:hyperlink r:id="rId11">
              <w:r>
                <w:rPr>
                  <w:rStyle w:val="InternetLink"/>
                  <w:rFonts w:ascii="Times New Roman" w:hAnsi="Times New Roman"/>
                  <w:sz w:val="20"/>
                </w:rPr>
                <w:t>May  9, 2024</w:t>
              </w:r>
            </w:hyperlink>
            <w:r>
              <w:rPr>
                <w:rFonts w:ascii="Times New Roman" w:hAnsi="Times New Roman"/>
                <w:sz w:val="20"/>
              </w:rPr>
              <w:t xml:space="preserve"> and </w:t>
            </w:r>
            <w:hyperlink r:id="rId12">
              <w:r>
                <w:rPr>
                  <w:rStyle w:val="InternetLink"/>
                  <w:rFonts w:ascii="Times New Roman" w:hAnsi="Times New Roman"/>
                  <w:sz w:val="20"/>
                </w:rPr>
                <w:t>August 9, 2024</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as filed with the SEC on </w:t>
            </w:r>
            <w:hyperlink r:id="rId13">
              <w:r>
                <w:rPr>
                  <w:rStyle w:val="InternetLink"/>
                  <w:rFonts w:ascii="Times New Roman" w:hAnsi="Times New Roman"/>
                  <w:sz w:val="20"/>
                </w:rPr>
                <w:t>June 10,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all information appearing in this registration statement is qualified in its entirety by the information appearing in the documents incorporated by reference in this registration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0" w:after="0"/>
        <w:jc w:val="center"/>
        <w:rPr>
          <w:rFonts w:ascii="Times New Roman" w:hAnsi="Times New Roman"/>
          <w:b/>
          <w:sz w:val="32"/>
        </w:rPr>
      </w:pPr>
      <w:r>
        <w:rPr>
          <w:rFonts w:ascii="Times New Roman" w:hAnsi="Times New Roman"/>
          <w:b/>
          <w:sz w:val="32"/>
        </w:rPr>
        <w:t xml:space="preserve">Evergy Kansas Central, Inc.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6" w:name="d149029dexfilingfees.htm"/>
      <w:bookmarkStart w:id="27" w:name="ksd149029dexfilingfees"/>
      <w:bookmarkStart w:id="28" w:name="d149029dexfilingfees.htm"/>
      <w:bookmarkStart w:id="29" w:name="ksd149029dexfilingfees"/>
      <w:bookmarkEnd w:id="28"/>
      <w:bookmarkEnd w:id="29"/>
      <w:r>
        <w:br w:type="page"/>
      </w:r>
    </w:p>
    <w:tbl>
      <w:tblPr>
        <w:tblW w:w="4340" w:type="dxa"/>
        <w:jc w:val="left"/>
        <w:tblInd w:w="0" w:type="dxa"/>
        <w:tblLayout w:type="fixed"/>
        <w:tblCellMar>
          <w:top w:w="28" w:type="dxa"/>
          <w:left w:w="28" w:type="dxa"/>
          <w:bottom w:w="28" w:type="dxa"/>
          <w:right w:w="28" w:type="dxa"/>
        </w:tblCellMar>
      </w:tblPr>
      <w:tblGrid>
        <w:gridCol w:w="4186"/>
        <w:gridCol w:w="154"/>
      </w:tblGrid>
      <w:tr>
        <w:trPr/>
        <w:tc>
          <w:tcPr>
            <w:tcW w:w="43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18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b/>
              </w:rPr>
            </w:pPr>
            <w:r>
              <w:rPr>
                <w:b/>
              </w:rPr>
              <w:t xml:space="preserve">EVERGY KANSAS CENTRAL,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02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First Mortgage Bonds, 5.600% Series due 2034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350,000,000 </w:t>
            </w:r>
          </w:p>
        </w:tc>
        <w:tc>
          <w:tcPr>
            <w:tcW w:w="1156" w:type="dxa"/>
            <w:tcBorders/>
            <w:shd w:fill="E7E7E2" w:val="clear"/>
            <w:vAlign w:val="center"/>
          </w:tcPr>
          <w:p>
            <w:pPr>
              <w:pStyle w:val="TableContents"/>
              <w:bidi w:val="0"/>
              <w:spacing w:before="0" w:after="283"/>
              <w:jc w:val="right"/>
              <w:rPr/>
            </w:pPr>
            <w:r>
              <w:rPr/>
              <w:t xml:space="preserve">$ 0.99961 </w:t>
            </w:r>
          </w:p>
        </w:tc>
        <w:tc>
          <w:tcPr>
            <w:tcW w:w="1786" w:type="dxa"/>
            <w:tcBorders/>
            <w:shd w:fill="E7E7E2" w:val="clear"/>
            <w:vAlign w:val="center"/>
          </w:tcPr>
          <w:p>
            <w:pPr>
              <w:pStyle w:val="TableContents"/>
              <w:bidi w:val="0"/>
              <w:spacing w:before="0" w:after="283"/>
              <w:jc w:val="right"/>
              <w:rPr/>
            </w:pPr>
            <w:r>
              <w:rPr/>
              <w:t xml:space="preserve">$ 349,863,500.00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$ 48,316.15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0" w:name="MaxAggtOfferingPrice"/>
            <w:bookmarkEnd w:id="30"/>
            <w:r>
              <w:rPr/>
              <w:t xml:space="preserve">$ 349,863,500.00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$ 48,316.15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$ 48,316.15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3"/>
        <w:gridCol w:w="8694"/>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This "Calculation of Filing Fee Table" shall be deemed to update the "Calculation of Registration Fee" table in Registration Statement No. 333-281614-02. The prospectus supplement to which this exhibit is attached is a final prospectus for the related offering.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$349,863,500.00.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54476/000171126926000017/evrg-20251231.htm" TargetMode="External"/><Relationship Id="rId3" Type="http://schemas.openxmlformats.org/officeDocument/2006/relationships/hyperlink" Target="http://www.sec.gov/Archives/edgar/data/../../../ix?doc=/Archives/edgar/data/54476/000171126926000057/evrg-20260331.htm" TargetMode="External"/><Relationship Id="rId4" Type="http://schemas.openxmlformats.org/officeDocument/2006/relationships/hyperlink" Target="http://www.sec.gov/Archives/edgar/data/../../../ix?doc=/Archives/edgar/data/54476/000171126926000100/evrg-20260630.htm" TargetMode="External"/><Relationship Id="rId5" Type="http://schemas.openxmlformats.org/officeDocument/2006/relationships/hyperlink" Target="http://www.sec.gov/Archives/edgar/data/../../../ix?doc=/Archives/edgar/data/54476/000119312526292565/d82314d8k.htm" TargetMode="External"/><Relationship Id="rId6" Type="http://schemas.openxmlformats.org/officeDocument/2006/relationships/hyperlink" Target="http://www.sec.gov/Archives/edgar/data/../../../ix?doc=/Archives/edgar/data/54507/000119312526292566/d917808d8k.htm" TargetMode="External"/><Relationship Id="rId7" Type="http://schemas.openxmlformats.org/officeDocument/2006/relationships/hyperlink" Target="http://www.sec.gov/Archives/edgar/data/../../../ix?doc=/Archives/edgar/data/54476/000171126924000007/evrg-20231231.htm" TargetMode="External"/><Relationship Id="rId8" Type="http://schemas.openxmlformats.org/officeDocument/2006/relationships/hyperlink" Target="http://www.sec.gov/Archives/edgar/data/../../../ix?doc=/Archives/edgar/data/54476/000171126924000013/evrg-20240331.htm" TargetMode="External"/><Relationship Id="rId9" Type="http://schemas.openxmlformats.org/officeDocument/2006/relationships/hyperlink" Target="http://www.sec.gov/Archives/edgar/data/../../../ix?doc=/Archives/edgar/data/54476/000171126924000027/evrg-20240630.htm" TargetMode="External"/><Relationship Id="rId10" Type="http://schemas.openxmlformats.org/officeDocument/2006/relationships/hyperlink" Target="http://www.sec.gov/Archives/edgar/data/../../../ix?doc=/Archives/edgar/data/54476/000171126924000007/evrg-20231231.htm" TargetMode="External"/><Relationship Id="rId11" Type="http://schemas.openxmlformats.org/officeDocument/2006/relationships/hyperlink" Target="http://www.sec.gov/Archives/edgar/data/../../../ix?doc=/Archives/edgar/data/54476/000171126924000013/evrg-20240331.htm" TargetMode="External"/><Relationship Id="rId12" Type="http://schemas.openxmlformats.org/officeDocument/2006/relationships/hyperlink" Target="http://www.sec.gov/Archives/edgar/data/../../../ix?doc=/Archives/edgar/data/54476/000171126924000027/evrg-20240630.htm" TargetMode="External"/><Relationship Id="rId13" Type="http://schemas.openxmlformats.org/officeDocument/2006/relationships/hyperlink" Target="http://www.sec.gov/Archives/edgar/data/../../../ix?doc=/Archives/edgar/data/54476/000119312524157846/d819221d8k.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32261</Words>
  <Characters>169951</Characters>
  <CharactersWithSpaces>202768</CharactersWithSpaces>
  <Paragraphs>2103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