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Title of Securities: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Optional Redemption Provisions:</w:t>
      </w:r>
    </w:p>
    <w:p>
      <w:pPr>
        <w:spacing w:after="0" w:line="1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333-228179-01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May 18, 2020</w:t>
      </w:r>
    </w:p>
    <w:p>
      <w:pPr>
        <w:spacing w:after="0" w:line="207" w:lineRule="exact"/>
        <w:rPr>
          <w:sz w:val="24"/>
          <w:szCs w:val="24"/>
          <w:color w:val="auto"/>
        </w:rPr>
      </w:pPr>
    </w:p>
    <w:p>
      <w:pPr>
        <w:jc w:val="center"/>
        <w:ind w:right="2871"/>
        <w:spacing w:after="0"/>
        <w:rPr>
          <w:sz w:val="20"/>
          <w:szCs w:val="20"/>
          <w:color w:val="auto"/>
        </w:rPr>
      </w:pPr>
      <w:r>
        <w:rPr>
          <w:rFonts w:ascii="Arial" w:cs="Arial" w:eastAsia="Arial" w:hAnsi="Arial"/>
          <w:sz w:val="18"/>
          <w:szCs w:val="18"/>
          <w:b w:val="1"/>
          <w:bCs w:val="1"/>
          <w:u w:val="single" w:color="auto"/>
          <w:color w:val="auto"/>
        </w:rPr>
        <w:t>Final Term Sheet</w:t>
      </w:r>
    </w:p>
    <w:p>
      <w:pPr>
        <w:spacing w:after="0" w:line="225" w:lineRule="exact"/>
        <w:rPr>
          <w:sz w:val="24"/>
          <w:szCs w:val="24"/>
          <w:color w:val="auto"/>
        </w:rPr>
      </w:pPr>
    </w:p>
    <w:p>
      <w:pPr>
        <w:jc w:val="center"/>
        <w:ind w:right="2871"/>
        <w:spacing w:after="0"/>
        <w:rPr>
          <w:sz w:val="20"/>
          <w:szCs w:val="20"/>
          <w:color w:val="auto"/>
        </w:rPr>
      </w:pPr>
      <w:r>
        <w:rPr>
          <w:rFonts w:ascii="Arial" w:cs="Arial" w:eastAsia="Arial" w:hAnsi="Arial"/>
          <w:sz w:val="18"/>
          <w:szCs w:val="18"/>
          <w:b w:val="1"/>
          <w:bCs w:val="1"/>
          <w:color w:val="auto"/>
        </w:rPr>
        <w:t>Evergy Metro, Inc.</w:t>
      </w:r>
    </w:p>
    <w:p>
      <w:pPr>
        <w:spacing w:after="0" w:line="27" w:lineRule="exact"/>
        <w:rPr>
          <w:sz w:val="24"/>
          <w:szCs w:val="24"/>
          <w:color w:val="auto"/>
        </w:rPr>
      </w:pPr>
    </w:p>
    <w:p>
      <w:pPr>
        <w:jc w:val="center"/>
        <w:ind w:right="2871"/>
        <w:spacing w:after="0"/>
        <w:rPr>
          <w:sz w:val="20"/>
          <w:szCs w:val="20"/>
          <w:color w:val="auto"/>
        </w:rPr>
      </w:pPr>
      <w:r>
        <w:rPr>
          <w:rFonts w:ascii="Arial" w:cs="Arial" w:eastAsia="Arial" w:hAnsi="Arial"/>
          <w:sz w:val="18"/>
          <w:szCs w:val="18"/>
          <w:color w:val="auto"/>
        </w:rPr>
        <w:t>2.25% Mortgage Bonds, Series 2020 due 2030</w:t>
      </w:r>
    </w:p>
    <w:p>
      <w:pPr>
        <w:spacing w:after="0" w:line="238" w:lineRule="exact"/>
        <w:rPr>
          <w:sz w:val="24"/>
          <w:szCs w:val="24"/>
          <w:color w:val="auto"/>
        </w:rPr>
      </w:pPr>
    </w:p>
    <w:p>
      <w:pPr>
        <w:ind w:left="9"/>
        <w:spacing w:after="0"/>
        <w:rPr>
          <w:sz w:val="20"/>
          <w:szCs w:val="20"/>
          <w:color w:val="auto"/>
        </w:rPr>
      </w:pPr>
      <w:r>
        <w:rPr>
          <w:rFonts w:ascii="Arial" w:cs="Arial" w:eastAsia="Arial" w:hAnsi="Arial"/>
          <w:sz w:val="18"/>
          <w:szCs w:val="18"/>
          <w:color w:val="auto"/>
        </w:rPr>
        <w:t>Evergy Metro, Inc.</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May 18, 2020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May 26, 2020 (T+5)</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Moody’s Investors Service, Inc.: A2 (stable)</w:t>
      </w:r>
    </w:p>
    <w:p>
      <w:pPr>
        <w:spacing w:after="0" w:line="23" w:lineRule="exact"/>
        <w:rPr>
          <w:sz w:val="24"/>
          <w:szCs w:val="24"/>
          <w:color w:val="auto"/>
        </w:rPr>
      </w:pPr>
    </w:p>
    <w:p>
      <w:pPr>
        <w:ind w:left="9"/>
        <w:spacing w:after="0"/>
        <w:rPr>
          <w:sz w:val="20"/>
          <w:szCs w:val="20"/>
          <w:color w:val="auto"/>
        </w:rPr>
      </w:pPr>
      <w:r>
        <w:rPr>
          <w:rFonts w:ascii="Arial" w:cs="Arial" w:eastAsia="Arial" w:hAnsi="Arial"/>
          <w:sz w:val="18"/>
          <w:szCs w:val="18"/>
          <w:color w:val="auto"/>
        </w:rPr>
        <w:t>S&amp;P Global Ratings: A+ (stable)</w:t>
      </w:r>
    </w:p>
    <w:p>
      <w:pPr>
        <w:spacing w:after="0" w:line="116" w:lineRule="exact"/>
        <w:rPr>
          <w:sz w:val="24"/>
          <w:szCs w:val="24"/>
          <w:color w:val="auto"/>
        </w:rPr>
      </w:pPr>
    </w:p>
    <w:p>
      <w:pPr>
        <w:ind w:left="9"/>
        <w:spacing w:after="0"/>
        <w:rPr>
          <w:sz w:val="20"/>
          <w:szCs w:val="20"/>
          <w:color w:val="auto"/>
        </w:rPr>
      </w:pPr>
      <w:r>
        <w:rPr>
          <w:rFonts w:ascii="Arial" w:cs="Arial" w:eastAsia="Arial" w:hAnsi="Arial"/>
          <w:sz w:val="18"/>
          <w:szCs w:val="18"/>
          <w:color w:val="auto"/>
        </w:rPr>
        <w:t>2.25% Mortgage Bonds, Series 2020 due 2030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$400,000,000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June 1, 2030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Semi-annually on June 1 and December 1, beginning on December 1, 2020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2.25%</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0.625% due May 15, 2030</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99-05 / 0.713%</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+155 basis points</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8"/>
          <w:szCs w:val="18"/>
          <w:color w:val="auto"/>
        </w:rPr>
        <w:t>2.263%</w:t>
      </w:r>
    </w:p>
    <w:p>
      <w:pPr>
        <w:spacing w:after="0" w:line="117" w:lineRule="exact"/>
        <w:rPr>
          <w:sz w:val="24"/>
          <w:szCs w:val="24"/>
          <w:color w:val="auto"/>
        </w:rPr>
      </w:pPr>
    </w:p>
    <w:p>
      <w:pPr>
        <w:ind w:left="9"/>
        <w:spacing w:after="0"/>
        <w:rPr>
          <w:sz w:val="20"/>
          <w:szCs w:val="20"/>
          <w:color w:val="auto"/>
        </w:rPr>
      </w:pPr>
      <w:r>
        <w:rPr>
          <w:rFonts w:ascii="Arial" w:cs="Arial" w:eastAsia="Arial" w:hAnsi="Arial"/>
          <w:sz w:val="16"/>
          <w:szCs w:val="16"/>
          <w:color w:val="auto"/>
        </w:rPr>
        <w:t>99.884% of the principal amount, plus accrued interest from May 26, 2020, if settlement occurs after that date</w:t>
      </w:r>
    </w:p>
    <w:p>
      <w:pPr>
        <w:spacing w:after="0" w:line="200" w:lineRule="exact"/>
        <w:rPr>
          <w:sz w:val="24"/>
          <w:szCs w:val="24"/>
          <w:color w:val="auto"/>
        </w:rPr>
      </w:pPr>
    </w:p>
    <w:p>
      <w:pPr>
        <w:spacing w:after="0" w:line="264" w:lineRule="exact"/>
        <w:rPr>
          <w:sz w:val="24"/>
          <w:szCs w:val="24"/>
          <w:color w:val="auto"/>
        </w:rPr>
      </w:pPr>
    </w:p>
    <w:p>
      <w:pPr>
        <w:ind w:left="9" w:right="220"/>
        <w:spacing w:after="0" w:line="291" w:lineRule="auto"/>
        <w:rPr>
          <w:sz w:val="20"/>
          <w:szCs w:val="20"/>
          <w:color w:val="auto"/>
        </w:rPr>
      </w:pPr>
      <w:r>
        <w:rPr>
          <w:rFonts w:ascii="Arial" w:cs="Arial" w:eastAsia="Arial" w:hAnsi="Arial"/>
          <w:sz w:val="16"/>
          <w:szCs w:val="16"/>
          <w:color w:val="auto"/>
        </w:rPr>
        <w:t>At any time prior to March 1, 2030 (the date that is three months prior to the maturity date of the mortgage bonds (the “par call date”)), in whole or from time to time in part, at a redemption price equal to the greater of</w:t>
      </w:r>
    </w:p>
    <w:p>
      <w:pPr>
        <w:ind w:left="9" w:right="40" w:hanging="9"/>
        <w:spacing w:after="0" w:line="290"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100% of the principal amount of the mortgage bonds being redeemed and (ii) the sum of the present values of the remaining scheduled payments of principal and interest on the mortgage bonds being redeemed that would be due if the mortgage bonds matured on the par call date (not including any portion of such payments of interest accrued as of the date of redemption), discounted to the date of redemption on a semi-annual basis at the treasury rate plus 25 basis points, plus, in each case, accrued and unpaid interest on the principal amount of the mortgage bonds being redeemed to, but excluding, the redemption date</w:t>
      </w:r>
    </w:p>
    <w:p>
      <w:pPr>
        <w:sectPr>
          <w:pgSz w:w="11900" w:h="16838" w:orient="portrait"/>
          <w:cols w:equalWidth="0" w:num="2">
            <w:col w:w="2400" w:space="471"/>
            <w:col w:w="8149"/>
          </w:cols>
          <w:pgMar w:left="440" w:top="229" w:right="439" w:bottom="1440" w:gutter="0" w:footer="0" w:header="0"/>
        </w:sectPr>
      </w:pPr>
    </w:p>
    <w:bookmarkStart w:id="1" w:name="page2"/>
    <w:bookmarkEnd w:id="1"/>
    <w:p>
      <w:pPr>
        <w:ind w:left="364"/>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At any time on or after the par call date, in whole or from time to time in part, at a redemption price equal to 100% of the principal amount of the mortgage bonds being redeemed, plus accrued and unpaid interest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-585470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164" w:space="720"/>
            <w:col w:w="8140"/>
          </w:cols>
          <w:pgMar w:left="436" w:top="382" w:right="439" w:bottom="1440" w:gutter="0" w:footer="0" w:header="0"/>
        </w:sectPr>
      </w:pPr>
    </w:p>
    <w:p>
      <w:pPr>
        <w:ind w:left="4"/>
        <w:spacing w:after="0"/>
        <w:rPr>
          <w:sz w:val="20"/>
          <w:szCs w:val="20"/>
          <w:color w:val="auto"/>
        </w:rPr>
      </w:pPr>
      <w:r>
        <w:rPr>
          <w:rFonts w:ascii="Arial" w:cs="Arial" w:eastAsia="Arial" w:hAnsi="Arial"/>
          <w:sz w:val="17"/>
          <w:szCs w:val="17"/>
          <w:color w:val="auto"/>
        </w:rPr>
        <w:t>CUSIP/ISIN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30037D AA3 / US30037DAA37</w:t>
      </w:r>
    </w:p>
    <w:p>
      <w:pPr>
        <w:spacing w:after="0" w:line="129" w:lineRule="exact"/>
        <w:rPr>
          <w:sz w:val="20"/>
          <w:szCs w:val="20"/>
          <w:color w:val="auto"/>
        </w:rPr>
      </w:pPr>
    </w:p>
    <w:p>
      <w:pPr>
        <w:sectPr>
          <w:pgSz w:w="11900" w:h="16838" w:orient="portrait"/>
          <w:cols w:equalWidth="0" w:num="2">
            <w:col w:w="2164" w:space="720"/>
            <w:col w:w="8140"/>
          </w:cols>
          <w:pgMar w:left="436" w:top="382"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128" w:lineRule="exact"/>
        <w:rPr>
          <w:sz w:val="20"/>
          <w:szCs w:val="20"/>
          <w:color w:val="auto"/>
        </w:rPr>
      </w:pPr>
    </w:p>
    <w:p>
      <w:pPr>
        <w:sectPr>
          <w:pgSz w:w="11900" w:h="16838" w:orient="portrait"/>
          <w:cols w:equalWidth="0" w:num="2">
            <w:col w:w="2264" w:space="620"/>
            <w:col w:w="8140"/>
          </w:cols>
          <w:pgMar w:left="436" w:top="382"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MFR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2164" w:space="720"/>
            <w:col w:w="8140"/>
          </w:cols>
          <w:pgMar w:left="436" w:top="382" w:right="439" w:bottom="1440" w:gutter="0" w:footer="0" w:header="0"/>
          <w:type w:val="continuous"/>
        </w:sectPr>
      </w:pPr>
    </w:p>
    <w:p>
      <w:pPr>
        <w:spacing w:after="0" w:line="36"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BofA Securities, Inc., Citigroup Global Markets Inc. or J.P. Morgan Securities LLC can arrange to send you the prospectus if you request it by calling BofA Securities, Inc. toll free at 1-800-294-1322, Citigroup Global Markets Inc. toll free at 1-800-831-9146 or J.P. Morgan Securities LLC collect at 212-834-4533.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8" w:lineRule="exact"/>
        <w:rPr>
          <w:sz w:val="20"/>
          <w:szCs w:val="20"/>
          <w:color w:val="auto"/>
        </w:rPr>
      </w:pPr>
    </w:p>
    <w:p>
      <w:pPr>
        <w:ind w:left="424"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is expected that delivery of the mortgage bonds will be made against payment therefor on or about May 26, 2020, which will be the fifth business day (T+5) following the date hereof. Pursuant to Rule 15c6-1 under the Securities Exchange Act of 1934, trades in the secondary market generally are required to settle in two business days unless the parties to any such trade expressly agree otherwise. Accordingly, purchasers who wish to trade the mortgage bonds on the date hereof or the next two succeeding business days will be required, by virtue of the fact that the mortgage bonds initially will settle in T+5, to specify an alternative settlement cycle at the time of any such trade to prevent a failed settlement and should consult their own advisors.</w:t>
      </w:r>
    </w:p>
    <w:p>
      <w:pPr>
        <w:spacing w:after="0" w:line="98" w:lineRule="exact"/>
        <w:rPr>
          <w:sz w:val="20"/>
          <w:szCs w:val="20"/>
          <w:color w:val="auto"/>
        </w:rPr>
      </w:pPr>
    </w:p>
    <w:p>
      <w:pPr>
        <w:ind w:left="5464" w:right="1160" w:hanging="5464"/>
        <w:spacing w:after="0" w:line="449" w:lineRule="auto"/>
        <w:tabs>
          <w:tab w:leader="none" w:pos="433"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securities rating is not a recommendation to buy, sell or hold securities and may be subject to revision or withdrawal at any time. 2</w:t>
      </w:r>
    </w:p>
    <w:sectPr>
      <w:pgSz w:w="11900" w:h="16838" w:orient="portrait"/>
      <w:cols w:equalWidth="0" w:num="1">
        <w:col w:w="11024"/>
      </w:cols>
      <w:pgMar w:left="436" w:top="38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2020-05-18T14:15:33Z</dcterms:created>
  <dcterms:modified xsi:type="dcterms:W3CDTF">2020-05-18T14:15:33Z</dcterms:modified>
</cp:coreProperties>
</file>