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25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3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tc>
        <w:tc>
          <w:tcPr>
            <w:tcW w:w="0" w:type="dxa"/>
            <w:vAlign w:val="bottom"/>
          </w:tcPr>
          <w:p>
            <w:pPr>
              <w:spacing w:after="0"/>
              <w:rPr>
                <w:sz w:val="1"/>
                <w:szCs w:val="1"/>
                <w:color w:val="auto"/>
              </w:rPr>
            </w:pPr>
          </w:p>
        </w:tc>
      </w:tr>
      <w:tr>
        <w:trPr>
          <w:trHeight w:val="238"/>
        </w:trPr>
        <w:tc>
          <w:tcPr>
            <w:tcW w:w="300" w:type="dxa"/>
            <w:vAlign w:val="bottom"/>
            <w:vMerge w:val="restart"/>
            <w:textDirection w:val="btLr"/>
          </w:tcPr>
          <w:p>
            <w:pPr>
              <w:ind w:left="231"/>
              <w:spacing w:after="0"/>
              <w:rPr>
                <w:sz w:val="20"/>
                <w:szCs w:val="20"/>
                <w:color w:val="auto"/>
              </w:rPr>
            </w:pPr>
            <w:r>
              <w:rPr>
                <w:rFonts w:ascii="Times New Roman" w:cs="Times New Roman" w:eastAsia="Times New Roman" w:hAnsi="Times New Roman"/>
                <w:sz w:val="6"/>
                <w:szCs w:val="6"/>
                <w:b w:val="1"/>
                <w:bCs w:val="1"/>
                <w:color w:val="FF4338"/>
                <w:w w:val="73"/>
              </w:rPr>
              <w:t>statementrelatingtothesesecuritieshas</w:t>
            </w:r>
          </w:p>
        </w:tc>
        <w:tc>
          <w:tcPr>
            <w:tcW w:w="680" w:type="dxa"/>
            <w:vAlign w:val="bottom"/>
            <w:vMerge w:val="restart"/>
            <w:textDirection w:val="btLr"/>
          </w:tcPr>
          <w:p>
            <w:pPr>
              <w:ind w:left="179"/>
              <w:spacing w:after="0"/>
              <w:rPr>
                <w:sz w:val="20"/>
                <w:szCs w:val="20"/>
                <w:color w:val="auto"/>
              </w:rPr>
            </w:pPr>
            <w:r>
              <w:rPr>
                <w:rFonts w:ascii="Times New Roman" w:cs="Times New Roman" w:eastAsia="Times New Roman" w:hAnsi="Times New Roman"/>
                <w:sz w:val="6"/>
                <w:szCs w:val="6"/>
                <w:b w:val="1"/>
                <w:bCs w:val="1"/>
                <w:color w:val="FF4338"/>
                <w:w w:val="73"/>
              </w:rPr>
              <w:t>sellthesesecuritiesandarenotsoliciting</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333-281614-02</w:t>
            </w:r>
          </w:p>
        </w:tc>
        <w:tc>
          <w:tcPr>
            <w:tcW w:w="0" w:type="dxa"/>
            <w:vAlign w:val="bottom"/>
          </w:tcPr>
          <w:p>
            <w:pPr>
              <w:spacing w:after="0"/>
              <w:rPr>
                <w:sz w:val="1"/>
                <w:szCs w:val="1"/>
                <w:color w:val="auto"/>
              </w:rPr>
            </w:pPr>
          </w:p>
        </w:tc>
      </w:tr>
      <w:tr>
        <w:trPr>
          <w:trHeight w:val="459"/>
        </w:trPr>
        <w:tc>
          <w:tcPr>
            <w:tcW w:w="30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80" w:type="dxa"/>
            <w:vAlign w:val="bottom"/>
            <w:gridSpan w:val="14"/>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FF4338"/>
                <w:w w:val="99"/>
              </w:rPr>
              <w:t>SUBJECT TO COMPLETION DATED JUNE 22, 2026</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80" w:type="dxa"/>
            <w:vAlign w:val="bottom"/>
            <w:gridSpan w:val="14"/>
            <w:vMerge w:val="continue"/>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(To prospectus dated August 16, 2024)</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9"/>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920" w:type="dxa"/>
            <w:vAlign w:val="bottom"/>
            <w:gridSpan w:val="17"/>
          </w:tcPr>
          <w:p>
            <w:pPr>
              <w:jc w:val="center"/>
              <w:ind w:left="130"/>
              <w:spacing w:after="0"/>
              <w:rPr>
                <w:sz w:val="20"/>
                <w:szCs w:val="20"/>
                <w:color w:val="auto"/>
              </w:rPr>
            </w:pPr>
            <w:r>
              <w:rPr>
                <w:rFonts w:ascii="Times New Roman" w:cs="Times New Roman" w:eastAsia="Times New Roman" w:hAnsi="Times New Roman"/>
                <w:sz w:val="43"/>
                <w:szCs w:val="43"/>
                <w:b w:val="1"/>
                <w:bCs w:val="1"/>
                <w:color w:val="auto"/>
              </w:rPr>
              <w:t>Evergy Kansas Central, Inc.</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ind w:left="320"/>
              <w:spacing w:after="0"/>
              <w:rPr>
                <w:sz w:val="20"/>
                <w:szCs w:val="20"/>
                <w:color w:val="auto"/>
              </w:rPr>
            </w:pPr>
            <w:r>
              <w:rPr>
                <w:rFonts w:ascii="Times New Roman" w:cs="Times New Roman" w:eastAsia="Times New Roman" w:hAnsi="Times New Roman"/>
                <w:sz w:val="25"/>
                <w:szCs w:val="25"/>
                <w:b w:val="1"/>
                <w:bCs w:val="1"/>
                <w:color w:val="auto"/>
              </w:rPr>
              <w:t xml:space="preserve">$ </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320" w:type="dxa"/>
            <w:vAlign w:val="bottom"/>
          </w:tcPr>
          <w:p>
            <w:pPr>
              <w:jc w:val="right"/>
              <w:ind w:right="43"/>
              <w:spacing w:after="0"/>
              <w:rPr>
                <w:sz w:val="20"/>
                <w:szCs w:val="20"/>
                <w:color w:val="auto"/>
              </w:rPr>
            </w:pPr>
            <w:r>
              <w:rPr>
                <w:rFonts w:ascii="Times New Roman" w:cs="Times New Roman" w:eastAsia="Times New Roman" w:hAnsi="Times New Roman"/>
                <w:sz w:val="22"/>
                <w:szCs w:val="22"/>
                <w:b w:val="1"/>
                <w:bCs w:val="1"/>
                <w:color w:val="auto"/>
                <w:w w:val="72"/>
              </w:rPr>
              <w:t> </w:t>
            </w:r>
          </w:p>
        </w:tc>
        <w:tc>
          <w:tcPr>
            <w:tcW w:w="2620" w:type="dxa"/>
            <w:vAlign w:val="bottom"/>
            <w:gridSpan w:val="8"/>
          </w:tcPr>
          <w:p>
            <w:pPr>
              <w:jc w:val="center"/>
              <w:spacing w:after="0"/>
              <w:rPr>
                <w:sz w:val="20"/>
                <w:szCs w:val="20"/>
                <w:color w:val="auto"/>
              </w:rPr>
            </w:pPr>
            <w:r>
              <w:rPr>
                <w:rFonts w:ascii="Times New Roman" w:cs="Times New Roman" w:eastAsia="Times New Roman" w:hAnsi="Times New Roman"/>
                <w:sz w:val="25"/>
                <w:szCs w:val="25"/>
                <w:b w:val="1"/>
                <w:bCs w:val="1"/>
                <w:color w:val="auto"/>
                <w:w w:val="93"/>
              </w:rPr>
              <w:t>First Mortgage Bonds, </w:t>
            </w:r>
          </w:p>
        </w:tc>
        <w:tc>
          <w:tcPr>
            <w:tcW w:w="2160" w:type="dxa"/>
            <w:vAlign w:val="bottom"/>
            <w:gridSpan w:val="6"/>
          </w:tcPr>
          <w:p>
            <w:pPr>
              <w:ind w:left="120"/>
              <w:spacing w:after="0"/>
              <w:rPr>
                <w:sz w:val="20"/>
                <w:szCs w:val="20"/>
                <w:color w:val="auto"/>
              </w:rPr>
            </w:pPr>
            <w:r>
              <w:rPr>
                <w:rFonts w:ascii="Times New Roman" w:cs="Times New Roman" w:eastAsia="Times New Roman" w:hAnsi="Times New Roman"/>
                <w:sz w:val="25"/>
                <w:szCs w:val="25"/>
                <w:b w:val="1"/>
                <w:bCs w:val="1"/>
                <w:color w:val="auto"/>
              </w:rPr>
              <w:t>% Series due 20</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5"/>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Borders>
              <w:bottom w:val="single" w:sz="8" w:color="auto"/>
            </w:tcBorders>
            <w:gridSpan w:val="2"/>
          </w:tcPr>
          <w:p>
            <w:pPr>
              <w:spacing w:after="0"/>
              <w:rPr>
                <w:sz w:val="20"/>
                <w:szCs w:val="20"/>
                <w:color w:val="auto"/>
              </w:rPr>
            </w:pPr>
          </w:p>
        </w:tc>
        <w:tc>
          <w:tcPr>
            <w:tcW w:w="800" w:type="dxa"/>
            <w:vAlign w:val="bottom"/>
            <w:tcBorders>
              <w:bottom w:val="single" w:sz="8" w:color="auto"/>
            </w:tcBorders>
            <w:gridSpan w:val="2"/>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spacing w:after="0"/>
              <w:rPr>
                <w:sz w:val="20"/>
                <w:szCs w:val="20"/>
                <w:color w:val="auto"/>
              </w:rPr>
            </w:pPr>
          </w:p>
        </w:tc>
        <w:tc>
          <w:tcPr>
            <w:tcW w:w="1000" w:type="dxa"/>
            <w:vAlign w:val="bottom"/>
            <w:gridSpan w:val="3"/>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0" w:type="dxa"/>
            <w:vAlign w:val="bottom"/>
            <w:gridSpan w:val="8"/>
          </w:tcPr>
          <w:p>
            <w:pPr>
              <w:ind w:left="380"/>
              <w:spacing w:after="0"/>
              <w:rPr>
                <w:sz w:val="20"/>
                <w:szCs w:val="20"/>
                <w:color w:val="auto"/>
              </w:rPr>
            </w:pPr>
            <w:r>
              <w:rPr>
                <w:rFonts w:ascii="Times New Roman" w:cs="Times New Roman" w:eastAsia="Times New Roman" w:hAnsi="Times New Roman"/>
                <w:sz w:val="18"/>
                <w:szCs w:val="18"/>
                <w:color w:val="auto"/>
              </w:rPr>
              <w:t xml:space="preserve">Evergy Kansas Central, Inc. is offering $ </w:t>
            </w:r>
          </w:p>
        </w:tc>
        <w:tc>
          <w:tcPr>
            <w:tcW w:w="40" w:type="dxa"/>
            <w:vAlign w:val="bottom"/>
          </w:tcPr>
          <w:p>
            <w:pPr>
              <w:spacing w:after="0"/>
              <w:rPr>
                <w:sz w:val="24"/>
                <w:szCs w:val="24"/>
                <w:color w:val="auto"/>
              </w:rPr>
            </w:pPr>
          </w:p>
        </w:tc>
        <w:tc>
          <w:tcPr>
            <w:tcW w:w="6720" w:type="dxa"/>
            <w:vAlign w:val="bottom"/>
            <w:gridSpan w:val="17"/>
          </w:tcPr>
          <w:p>
            <w:pPr>
              <w:jc w:val="right"/>
              <w:ind w:right="1140"/>
              <w:spacing w:after="0"/>
              <w:rPr>
                <w:sz w:val="20"/>
                <w:szCs w:val="20"/>
                <w:color w:val="auto"/>
              </w:rPr>
            </w:pPr>
            <w:r>
              <w:rPr>
                <w:rFonts w:ascii="Times New Roman" w:cs="Times New Roman" w:eastAsia="Times New Roman" w:hAnsi="Times New Roman"/>
                <w:sz w:val="18"/>
                <w:szCs w:val="18"/>
                <w:color w:val="auto"/>
                <w:w w:val="97"/>
              </w:rPr>
              <w:t>      aggregate principal amount of First Mortgage Bonds,   % Series due 20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8"/>
              </w:rPr>
              <w:t>(the “bonds”). The bonds will bear interest at a rate of </w:t>
            </w:r>
          </w:p>
        </w:tc>
        <w:tc>
          <w:tcPr>
            <w:tcW w:w="2540" w:type="dxa"/>
            <w:vAlign w:val="bottom"/>
            <w:gridSpan w:val="7"/>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 per year and will mature on    </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20    </w:t>
            </w:r>
          </w:p>
        </w:tc>
        <w:tc>
          <w:tcPr>
            <w:tcW w:w="2680" w:type="dxa"/>
            <w:vAlign w:val="bottom"/>
            <w:gridSpan w:val="5"/>
          </w:tcPr>
          <w:p>
            <w:pPr>
              <w:jc w:val="right"/>
              <w:ind w:right="1040"/>
              <w:spacing w:after="0"/>
              <w:rPr>
                <w:sz w:val="20"/>
                <w:szCs w:val="20"/>
                <w:color w:val="auto"/>
              </w:rPr>
            </w:pPr>
            <w:r>
              <w:rPr>
                <w:rFonts w:ascii="Times New Roman" w:cs="Times New Roman" w:eastAsia="Times New Roman" w:hAnsi="Times New Roman"/>
                <w:sz w:val="18"/>
                <w:szCs w:val="18"/>
                <w:color w:val="auto"/>
              </w:rPr>
              <w:t>. We will pay interest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xml:space="preserve">on the bonds semi-annually in arrears on       </w:t>
            </w:r>
          </w:p>
        </w:tc>
        <w:tc>
          <w:tcPr>
            <w:tcW w:w="4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78"/>
              </w:rPr>
              <w:t>   and 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20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0"/>
              </w:rPr>
              <w:t>   of each year, beginning on </w:t>
            </w:r>
          </w:p>
        </w:tc>
        <w:tc>
          <w:tcPr>
            <w:tcW w:w="20" w:type="dxa"/>
            <w:vAlign w:val="bottom"/>
          </w:tcPr>
          <w:p>
            <w:pPr>
              <w:spacing w:after="0"/>
              <w:rPr>
                <w:sz w:val="18"/>
                <w:szCs w:val="18"/>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 </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2"/>
              </w:rPr>
              <w:t>      ,  </w:t>
            </w:r>
          </w:p>
        </w:tc>
        <w:tc>
          <w:tcPr>
            <w:tcW w:w="2680" w:type="dxa"/>
            <w:vAlign w:val="bottom"/>
            <w:gridSpan w:val="5"/>
          </w:tcPr>
          <w:p>
            <w:pPr>
              <w:jc w:val="right"/>
              <w:ind w:right="1420"/>
              <w:spacing w:after="0"/>
              <w:rPr>
                <w:sz w:val="20"/>
                <w:szCs w:val="20"/>
                <w:color w:val="auto"/>
              </w:rPr>
            </w:pPr>
            <w:r>
              <w:rPr>
                <w:rFonts w:ascii="Times New Roman" w:cs="Times New Roman" w:eastAsia="Times New Roman" w:hAnsi="Times New Roman"/>
                <w:sz w:val="18"/>
                <w:szCs w:val="18"/>
                <w:color w:val="auto"/>
              </w:rPr>
              <w:t>         . We may</w:t>
            </w:r>
          </w:p>
        </w:tc>
        <w:tc>
          <w:tcPr>
            <w:tcW w:w="0" w:type="dxa"/>
            <w:vAlign w:val="bottom"/>
          </w:tcPr>
          <w:p>
            <w:pPr>
              <w:spacing w:after="0"/>
              <w:rPr>
                <w:sz w:val="1"/>
                <w:szCs w:val="1"/>
                <w:color w:val="auto"/>
              </w:rPr>
            </w:pPr>
          </w:p>
        </w:tc>
      </w:tr>
      <w:tr>
        <w:trPr>
          <w:trHeight w:val="216"/>
        </w:trPr>
        <w:tc>
          <w:tcPr>
            <w:tcW w:w="300" w:type="dxa"/>
            <w:vAlign w:val="bottom"/>
            <w:vMerge w:val="restart"/>
            <w:textDirection w:val="btLr"/>
          </w:tcPr>
          <w:p>
            <w:pPr>
              <w:ind w:left="197"/>
              <w:spacing w:after="0"/>
              <w:rPr>
                <w:sz w:val="20"/>
                <w:szCs w:val="20"/>
                <w:color w:val="auto"/>
              </w:rPr>
            </w:pPr>
            <w:r>
              <w:rPr>
                <w:rFonts w:ascii="Times New Roman" w:cs="Times New Roman" w:eastAsia="Times New Roman" w:hAnsi="Times New Roman"/>
                <w:sz w:val="9"/>
                <w:szCs w:val="9"/>
                <w:b w:val="1"/>
                <w:bCs w:val="1"/>
                <w:color w:val="FF4338"/>
                <w:w w:val="77"/>
              </w:rPr>
              <w:t>Aregistration</w:t>
            </w:r>
          </w:p>
        </w:tc>
        <w:tc>
          <w:tcPr>
            <w:tcW w:w="680" w:type="dxa"/>
            <w:vAlign w:val="bottom"/>
            <w:vMerge w:val="restart"/>
            <w:textDirection w:val="btLr"/>
          </w:tcPr>
          <w:p>
            <w:pPr>
              <w:ind w:left="133"/>
              <w:spacing w:after="0"/>
              <w:rPr>
                <w:sz w:val="20"/>
                <w:szCs w:val="20"/>
                <w:color w:val="auto"/>
              </w:rPr>
            </w:pPr>
            <w:r>
              <w:rPr>
                <w:rFonts w:ascii="Times New Roman" w:cs="Times New Roman" w:eastAsia="Times New Roman" w:hAnsi="Times New Roman"/>
                <w:sz w:val="10"/>
                <w:szCs w:val="10"/>
                <w:b w:val="1"/>
                <w:bCs w:val="1"/>
                <w:color w:val="FF4338"/>
                <w:w w:val="71"/>
              </w:rPr>
              <w:t>notanofferto</w:t>
            </w:r>
          </w:p>
        </w:tc>
        <w:tc>
          <w:tcPr>
            <w:tcW w:w="101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redeem the bonds at our option, in whole or in part, at any time and from time to time, at the applicable redemption price</w:t>
            </w:r>
          </w:p>
        </w:tc>
        <w:tc>
          <w:tcPr>
            <w:tcW w:w="0" w:type="dxa"/>
            <w:vAlign w:val="bottom"/>
          </w:tcPr>
          <w:p>
            <w:pPr>
              <w:spacing w:after="0"/>
              <w:rPr>
                <w:sz w:val="1"/>
                <w:szCs w:val="1"/>
                <w:color w:val="auto"/>
              </w:rPr>
            </w:pPr>
          </w:p>
        </w:tc>
      </w:tr>
      <w:tr>
        <w:trPr>
          <w:trHeight w:val="180"/>
        </w:trPr>
        <w:tc>
          <w:tcPr>
            <w:tcW w:w="3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34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specified in this prospectus supplement.</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0" w:type="dxa"/>
            <w:vAlign w:val="bottom"/>
            <w:gridSpan w:val="8"/>
            <w:vMerge w:val="continue"/>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160" w:type="dxa"/>
            <w:vAlign w:val="bottom"/>
            <w:gridSpan w:val="26"/>
          </w:tcPr>
          <w:p>
            <w:pPr>
              <w:ind w:left="380"/>
              <w:spacing w:after="0"/>
              <w:rPr>
                <w:sz w:val="20"/>
                <w:szCs w:val="20"/>
                <w:color w:val="auto"/>
              </w:rPr>
            </w:pPr>
            <w:r>
              <w:rPr>
                <w:rFonts w:ascii="Times New Roman" w:cs="Times New Roman" w:eastAsia="Times New Roman" w:hAnsi="Times New Roman"/>
                <w:sz w:val="18"/>
                <w:szCs w:val="18"/>
                <w:color w:val="auto"/>
              </w:rPr>
              <w:t>We may also redeem the bonds, in whole but not in part, at a redemption price equal to 101% of the principal amount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thereof if a Tax Credit Event (as defined herein) occurs. See “Description of the Bonds—Right to Redeem for Tax Credit</w:t>
            </w:r>
          </w:p>
        </w:tc>
        <w:tc>
          <w:tcPr>
            <w:tcW w:w="0" w:type="dxa"/>
            <w:vAlign w:val="bottom"/>
          </w:tcPr>
          <w:p>
            <w:pPr>
              <w:spacing w:after="0"/>
              <w:rPr>
                <w:sz w:val="1"/>
                <w:szCs w:val="1"/>
                <w:color w:val="auto"/>
              </w:rPr>
            </w:pPr>
          </w:p>
        </w:tc>
      </w:tr>
      <w:tr>
        <w:trPr>
          <w:trHeight w:val="234"/>
        </w:trPr>
        <w:tc>
          <w:tcPr>
            <w:tcW w:w="300" w:type="dxa"/>
            <w:vAlign w:val="bottom"/>
            <w:vMerge w:val="restart"/>
            <w:textDirection w:val="btLr"/>
          </w:tcPr>
          <w:p>
            <w:pPr>
              <w:ind w:left="277"/>
              <w:spacing w:after="0"/>
              <w:rPr>
                <w:sz w:val="20"/>
                <w:szCs w:val="20"/>
                <w:color w:val="auto"/>
              </w:rPr>
            </w:pPr>
            <w:r>
              <w:rPr>
                <w:rFonts w:ascii="Times New Roman" w:cs="Times New Roman" w:eastAsia="Times New Roman" w:hAnsi="Times New Roman"/>
                <w:sz w:val="2"/>
                <w:szCs w:val="2"/>
                <w:b w:val="1"/>
                <w:bCs w:val="1"/>
                <w:color w:val="FF4338"/>
                <w:w w:val="81"/>
              </w:rPr>
              <w:t>Theinformationinthispreliminaryprospectussupplementisnotcompleteandmaybechanged.</w:t>
            </w:r>
          </w:p>
        </w:tc>
        <w:tc>
          <w:tcPr>
            <w:tcW w:w="680" w:type="dxa"/>
            <w:vAlign w:val="bottom"/>
            <w:vMerge w:val="restart"/>
            <w:textDirection w:val="btLr"/>
          </w:tcPr>
          <w:p>
            <w:pPr>
              <w:ind w:left="453"/>
              <w:spacing w:after="0"/>
              <w:rPr>
                <w:sz w:val="20"/>
                <w:szCs w:val="20"/>
                <w:color w:val="auto"/>
              </w:rPr>
            </w:pPr>
            <w:r>
              <w:rPr>
                <w:rFonts w:ascii="Times New Roman" w:cs="Times New Roman" w:eastAsia="Times New Roman" w:hAnsi="Times New Roman"/>
                <w:sz w:val="1"/>
                <w:szCs w:val="1"/>
                <w:b w:val="1"/>
                <w:bCs w:val="1"/>
                <w:color w:val="FF4338"/>
                <w:w w:val="85"/>
              </w:rPr>
              <w:t>becomeeffective.Thispreliminaryprospectussupplementandtheaccompanyingprospectusareanoffertobuythesesecuritiesinanyjurisdictionwheretheofferorsaleisnotpermitted.</w:t>
            </w:r>
          </w:p>
        </w:tc>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Event.”</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0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10160" w:type="dxa"/>
            <w:vAlign w:val="bottom"/>
            <w:gridSpan w:val="26"/>
            <w:vMerge w:val="restart"/>
          </w:tcPr>
          <w:p>
            <w:pPr>
              <w:ind w:left="380"/>
              <w:spacing w:after="0"/>
              <w:rPr>
                <w:sz w:val="20"/>
                <w:szCs w:val="20"/>
                <w:color w:val="auto"/>
              </w:rPr>
            </w:pPr>
            <w:r>
              <w:rPr>
                <w:rFonts w:ascii="Times New Roman" w:cs="Times New Roman" w:eastAsia="Times New Roman" w:hAnsi="Times New Roman"/>
                <w:sz w:val="18"/>
                <w:szCs w:val="18"/>
                <w:color w:val="auto"/>
              </w:rPr>
              <w:t>The bonds will be our secured obligations, equal in right of payment to all other debt currently outstanding or hereafter</w:t>
            </w:r>
          </w:p>
        </w:tc>
        <w:tc>
          <w:tcPr>
            <w:tcW w:w="0" w:type="dxa"/>
            <w:vAlign w:val="bottom"/>
          </w:tcPr>
          <w:p>
            <w:pPr>
              <w:spacing w:after="0"/>
              <w:rPr>
                <w:sz w:val="1"/>
                <w:szCs w:val="1"/>
                <w:color w:val="auto"/>
              </w:rPr>
            </w:pPr>
          </w:p>
        </w:tc>
      </w:tr>
      <w:tr>
        <w:trPr>
          <w:trHeight w:val="36"/>
        </w:trPr>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160" w:type="dxa"/>
            <w:vAlign w:val="bottom"/>
            <w:gridSpan w:val="2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issued under the mortgage (as defined herein). The mortgage prohibits us from incurring other debt senior or equal to the bonds</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offered hereby unless certain tests are met. The bonds will be structurally subordinated to the debt of our subsidiaries. See</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3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“Description of the Bonds—Ranking” in this prospectus supplement.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160" w:type="dxa"/>
            <w:vAlign w:val="bottom"/>
            <w:gridSpan w:val="26"/>
          </w:tcPr>
          <w:p>
            <w:pPr>
              <w:ind w:left="380"/>
              <w:spacing w:after="0"/>
              <w:rPr>
                <w:sz w:val="20"/>
                <w:szCs w:val="20"/>
                <w:color w:val="auto"/>
              </w:rPr>
            </w:pPr>
            <w:r>
              <w:rPr>
                <w:rFonts w:ascii="Times New Roman" w:cs="Times New Roman" w:eastAsia="Times New Roman" w:hAnsi="Times New Roman"/>
                <w:sz w:val="18"/>
                <w:szCs w:val="18"/>
                <w:color w:val="auto"/>
              </w:rPr>
              <w:t>The bonds will not be listed on any securities exchange or included in any automated dealer quotation system. Currently</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there is no public market for the bonds. The bonds will be issued in minimum denominations of $2,000 and in integral multiples</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$1,000 in excess thereof.</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2420" w:type="dxa"/>
            <w:vAlign w:val="bottom"/>
            <w:gridSpan w:val="6"/>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Borders>
              <w:bottom w:val="single" w:sz="8" w:color="auto"/>
            </w:tcBorders>
            <w:gridSpan w:val="2"/>
          </w:tcPr>
          <w:p>
            <w:pPr>
              <w:spacing w:after="0"/>
              <w:rPr>
                <w:sz w:val="19"/>
                <w:szCs w:val="19"/>
                <w:color w:val="auto"/>
              </w:rPr>
            </w:pPr>
          </w:p>
        </w:tc>
        <w:tc>
          <w:tcPr>
            <w:tcW w:w="800" w:type="dxa"/>
            <w:vAlign w:val="bottom"/>
            <w:tcBorders>
              <w:bottom w:val="single" w:sz="8" w:color="auto"/>
            </w:tcBorders>
            <w:gridSpan w:val="2"/>
          </w:tcPr>
          <w:p>
            <w:pPr>
              <w:spacing w:after="0"/>
              <w:rPr>
                <w:sz w:val="19"/>
                <w:szCs w:val="19"/>
                <w:color w:val="auto"/>
              </w:rPr>
            </w:pPr>
          </w:p>
        </w:tc>
        <w:tc>
          <w:tcPr>
            <w:tcW w:w="660" w:type="dxa"/>
            <w:vAlign w:val="bottom"/>
            <w:tcBorders>
              <w:bottom w:val="single" w:sz="8" w:color="auto"/>
            </w:tcBorders>
            <w:gridSpan w:val="2"/>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1000" w:type="dxa"/>
            <w:vAlign w:val="bottom"/>
            <w:gridSpan w:val="3"/>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160" w:type="dxa"/>
            <w:vAlign w:val="bottom"/>
            <w:gridSpan w:val="26"/>
          </w:tcPr>
          <w:p>
            <w:pPr>
              <w:ind w:left="380"/>
              <w:spacing w:after="0"/>
              <w:rPr>
                <w:sz w:val="20"/>
                <w:szCs w:val="20"/>
                <w:color w:val="auto"/>
              </w:rPr>
            </w:pPr>
            <w:r>
              <w:rPr>
                <w:rFonts w:ascii="Times New Roman" w:cs="Times New Roman" w:eastAsia="Times New Roman" w:hAnsi="Times New Roman"/>
                <w:sz w:val="22"/>
                <w:szCs w:val="22"/>
                <w:b w:val="1"/>
                <w:bCs w:val="1"/>
                <w:color w:val="auto"/>
              </w:rPr>
              <w:t>Investing in the bonds involves risks that are described in the section entitled “</w:t>
            </w:r>
            <w:r>
              <w:rPr>
                <w:rFonts w:ascii="Times New Roman" w:cs="Times New Roman" w:eastAsia="Times New Roman" w:hAnsi="Times New Roman"/>
                <w:sz w:val="22"/>
                <w:szCs w:val="22"/>
                <w:b w:val="1"/>
                <w:bCs w:val="1"/>
                <w:color w:val="0000EE"/>
              </w:rPr>
              <w:t>Risk Factors</w:t>
            </w:r>
            <w:r>
              <w:rPr>
                <w:rFonts w:ascii="Times New Roman" w:cs="Times New Roman" w:eastAsia="Times New Roman" w:hAnsi="Times New Roman"/>
                <w:sz w:val="22"/>
                <w:szCs w:val="22"/>
                <w:b w:val="1"/>
                <w:bCs w:val="1"/>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20" w:type="dxa"/>
            <w:vAlign w:val="bottom"/>
            <w:gridSpan w:val="15"/>
            <w:vMerge w:val="restart"/>
          </w:tcPr>
          <w:p>
            <w:pPr>
              <w:spacing w:after="0"/>
              <w:rPr>
                <w:sz w:val="20"/>
                <w:szCs w:val="20"/>
                <w:color w:val="auto"/>
              </w:rPr>
            </w:pPr>
            <w:r>
              <w:rPr>
                <w:rFonts w:ascii="Times New Roman" w:cs="Times New Roman" w:eastAsia="Times New Roman" w:hAnsi="Times New Roman"/>
                <w:sz w:val="22"/>
                <w:szCs w:val="22"/>
                <w:b w:val="1"/>
                <w:bCs w:val="1"/>
                <w:color w:val="auto"/>
              </w:rPr>
              <w:t>beginning on page S-11 of this prospectus supplement.</w:t>
            </w: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320" w:type="dxa"/>
            <w:vAlign w:val="bottom"/>
            <w:gridSpan w:val="15"/>
            <w:vMerge w:val="continue"/>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300" w:type="dxa"/>
            <w:vAlign w:val="bottom"/>
            <w:gridSpan w:val="6"/>
            <w:vMerge w:val="restart"/>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Proceeds to</w:t>
            </w:r>
          </w:p>
        </w:tc>
        <w:tc>
          <w:tcPr>
            <w:tcW w:w="0" w:type="dxa"/>
            <w:vAlign w:val="bottom"/>
          </w:tcPr>
          <w:p>
            <w:pPr>
              <w:spacing w:after="0"/>
              <w:rPr>
                <w:sz w:val="1"/>
                <w:szCs w:val="1"/>
                <w:color w:val="auto"/>
              </w:rPr>
            </w:pPr>
          </w:p>
        </w:tc>
      </w:tr>
      <w:tr>
        <w:trPr>
          <w:trHeight w:val="355"/>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Price to the</w:t>
            </w:r>
          </w:p>
        </w:tc>
        <w:tc>
          <w:tcPr>
            <w:tcW w:w="2200" w:type="dxa"/>
            <w:vAlign w:val="bottom"/>
            <w:gridSpan w:val="5"/>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00" w:type="dxa"/>
            <w:vAlign w:val="bottom"/>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gridSpan w:val="5"/>
            <w:vMerge w:val="continue"/>
          </w:tcPr>
          <w:p>
            <w:pPr>
              <w:spacing w:after="0"/>
              <w:rPr>
                <w:sz w:val="12"/>
                <w:szCs w:val="12"/>
                <w:color w:val="auto"/>
              </w:rPr>
            </w:pPr>
          </w:p>
        </w:tc>
        <w:tc>
          <w:tcPr>
            <w:tcW w:w="2200" w:type="dxa"/>
            <w:vAlign w:val="bottom"/>
            <w:gridSpan w:val="5"/>
            <w:vMerge w:val="continue"/>
          </w:tcPr>
          <w:p>
            <w:pPr>
              <w:spacing w:after="0"/>
              <w:rPr>
                <w:sz w:val="12"/>
                <w:szCs w:val="12"/>
                <w:color w:val="auto"/>
              </w:rPr>
            </w:pPr>
          </w:p>
        </w:tc>
        <w:tc>
          <w:tcPr>
            <w:tcW w:w="3580" w:type="dxa"/>
            <w:vAlign w:val="bottom"/>
            <w:gridSpan w:val="8"/>
          </w:tcPr>
          <w:p>
            <w:pPr>
              <w:jc w:val="center"/>
              <w:ind w:right="1800"/>
              <w:spacing w:after="0" w:line="149" w:lineRule="exact"/>
              <w:rPr>
                <w:sz w:val="20"/>
                <w:szCs w:val="20"/>
                <w:color w:val="auto"/>
              </w:rPr>
            </w:pPr>
            <w:r>
              <w:rPr>
                <w:rFonts w:ascii="Times New Roman" w:cs="Times New Roman" w:eastAsia="Times New Roman" w:hAnsi="Times New Roman"/>
                <w:sz w:val="14"/>
                <w:szCs w:val="14"/>
                <w:b w:val="1"/>
                <w:bCs w:val="1"/>
                <w:color w:val="auto"/>
              </w:rPr>
              <w:t>Evergy Kansas Central, Inc.</w:t>
            </w: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Public(1)</w:t>
            </w:r>
          </w:p>
        </w:tc>
        <w:tc>
          <w:tcPr>
            <w:tcW w:w="580" w:type="dxa"/>
            <w:vAlign w:val="bottom"/>
          </w:tcPr>
          <w:p>
            <w:pPr>
              <w:spacing w:after="0"/>
              <w:rPr>
                <w:sz w:val="15"/>
                <w:szCs w:val="15"/>
                <w:color w:val="auto"/>
              </w:rPr>
            </w:pPr>
          </w:p>
        </w:tc>
        <w:tc>
          <w:tcPr>
            <w:tcW w:w="1620" w:type="dxa"/>
            <w:vAlign w:val="bottom"/>
            <w:gridSpan w:val="4"/>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00" w:type="dxa"/>
            <w:vAlign w:val="bottom"/>
            <w:gridSpan w:val="6"/>
          </w:tcPr>
          <w:p>
            <w:pPr>
              <w:jc w:val="center"/>
              <w:ind w:right="2100"/>
              <w:spacing w:after="0"/>
              <w:rPr>
                <w:sz w:val="20"/>
                <w:szCs w:val="20"/>
                <w:color w:val="auto"/>
              </w:rPr>
            </w:pPr>
            <w:r>
              <w:rPr>
                <w:rFonts w:ascii="Times New Roman" w:cs="Times New Roman" w:eastAsia="Times New Roman" w:hAnsi="Times New Roman"/>
                <w:sz w:val="14"/>
                <w:szCs w:val="14"/>
                <w:b w:val="1"/>
                <w:bCs w:val="1"/>
                <w:color w:val="auto"/>
              </w:rPr>
              <w:t>Before Expenses</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bond</w:t>
            </w:r>
          </w:p>
        </w:tc>
        <w:tc>
          <w:tcPr>
            <w:tcW w:w="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ind w:left="258"/>
              <w:spacing w:after="0"/>
              <w:rPr>
                <w:sz w:val="20"/>
                <w:szCs w:val="20"/>
                <w:color w:val="auto"/>
              </w:rPr>
            </w:pPr>
            <w:r>
              <w:rPr>
                <w:rFonts w:ascii="Times New Roman" w:cs="Times New Roman" w:eastAsia="Times New Roman" w:hAnsi="Times New Roman"/>
                <w:sz w:val="4"/>
                <w:szCs w:val="4"/>
                <w:color w:val="auto"/>
                <w:w w:val="98"/>
              </w:rPr>
              <w:t> </w:t>
            </w: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5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2"/>
                <w:szCs w:val="2"/>
                <w:color w:val="auto"/>
                <w:w w:val="97"/>
              </w:rPr>
              <w:t> </w:t>
            </w:r>
          </w:p>
        </w:tc>
        <w:tc>
          <w:tcPr>
            <w:tcW w:w="780" w:type="dxa"/>
            <w:vAlign w:val="bottom"/>
            <w:tcBorders>
              <w:top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xml:space="preserve">$   </w:t>
            </w:r>
          </w:p>
        </w:tc>
        <w:tc>
          <w:tcPr>
            <w:tcW w:w="1260" w:type="dxa"/>
            <w:vAlign w:val="bottom"/>
            <w:gridSpan w:val="3"/>
          </w:tcPr>
          <w:p>
            <w:pPr>
              <w:jc w:val="center"/>
              <w:ind w:right="79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Borders>
              <w:bottom w:val="single" w:sz="8" w:color="auto"/>
            </w:tcBorders>
            <w:gridSpan w:val="3"/>
          </w:tcPr>
          <w:p>
            <w:pPr>
              <w:spacing w:after="0"/>
              <w:rPr>
                <w:sz w:val="11"/>
                <w:szCs w:val="11"/>
                <w:color w:val="auto"/>
              </w:rPr>
            </w:pPr>
          </w:p>
        </w:tc>
        <w:tc>
          <w:tcPr>
            <w:tcW w:w="1360" w:type="dxa"/>
            <w:vAlign w:val="bottom"/>
            <w:gridSpan w:val="3"/>
          </w:tcPr>
          <w:p>
            <w:pPr>
              <w:spacing w:after="0"/>
              <w:rPr>
                <w:sz w:val="11"/>
                <w:szCs w:val="11"/>
                <w:color w:val="auto"/>
              </w:rPr>
            </w:pPr>
          </w:p>
        </w:tc>
        <w:tc>
          <w:tcPr>
            <w:tcW w:w="320" w:type="dxa"/>
            <w:vAlign w:val="bottom"/>
          </w:tcPr>
          <w:p>
            <w:pPr>
              <w:spacing w:after="0"/>
              <w:rPr>
                <w:sz w:val="11"/>
                <w:szCs w:val="11"/>
                <w:color w:val="auto"/>
              </w:rPr>
            </w:pPr>
          </w:p>
        </w:tc>
        <w:tc>
          <w:tcPr>
            <w:tcW w:w="3880" w:type="dxa"/>
            <w:vAlign w:val="bottom"/>
            <w:gridSpan w:val="11"/>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38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(1)  Plus accrued interest from 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3880" w:type="dxa"/>
            <w:vAlign w:val="bottom"/>
            <w:gridSpan w:val="11"/>
          </w:tcPr>
          <w:p>
            <w:pPr>
              <w:jc w:val="right"/>
              <w:ind w:right="670"/>
              <w:spacing w:after="0"/>
              <w:rPr>
                <w:sz w:val="20"/>
                <w:szCs w:val="20"/>
                <w:color w:val="auto"/>
              </w:rPr>
            </w:pPr>
            <w:r>
              <w:rPr>
                <w:rFonts w:ascii="Times New Roman" w:cs="Times New Roman" w:eastAsia="Times New Roman" w:hAnsi="Times New Roman"/>
                <w:sz w:val="18"/>
                <w:szCs w:val="18"/>
                <w:color w:val="auto"/>
              </w:rPr>
              <w:t>, 2026, if settlement occurs after that date.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160" w:type="dxa"/>
            <w:vAlign w:val="bottom"/>
            <w:gridSpan w:val="26"/>
          </w:tcPr>
          <w:p>
            <w:pPr>
              <w:ind w:left="380"/>
              <w:spacing w:after="0"/>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of these securities or determined if this prospectus supplement or the accompanying prospectus is truthful or complete.</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Any representation to the contrary is a criminal offense.</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160" w:type="dxa"/>
            <w:vAlign w:val="bottom"/>
            <w:gridSpan w:val="26"/>
          </w:tcPr>
          <w:p>
            <w:pPr>
              <w:ind w:left="380"/>
              <w:spacing w:after="0"/>
              <w:rPr>
                <w:sz w:val="20"/>
                <w:szCs w:val="20"/>
                <w:color w:val="auto"/>
              </w:rPr>
            </w:pPr>
            <w:r>
              <w:rPr>
                <w:rFonts w:ascii="Times New Roman" w:cs="Times New Roman" w:eastAsia="Times New Roman" w:hAnsi="Times New Roman"/>
                <w:sz w:val="18"/>
                <w:szCs w:val="18"/>
                <w:b w:val="1"/>
                <w:bCs w:val="1"/>
                <w:color w:val="auto"/>
              </w:rPr>
              <w:t>This prospectus supplement and the accompanying prospectus are not intended to constitute an offer to, and the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bonds should not be purchased, held or otherwise acquired by, a “specified foreign entity” as defined in Section 7701(a)</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(51)(B) of the Internal Revenue Code of 1986, as amended (a “specified foreign entity”). Each initial purchaser of any</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auto"/>
              </w:rPr>
              <w:t>bonds, by accepting such bonds, will be deemed to have represented, warranted and agreed that it is not a specified</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foreign entity for its taxable year that includes the date of the original issuance of the bonds.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160" w:type="dxa"/>
            <w:vAlign w:val="bottom"/>
            <w:gridSpan w:val="26"/>
          </w:tcPr>
          <w:p>
            <w:pPr>
              <w:ind w:left="380"/>
              <w:spacing w:after="0"/>
              <w:rPr>
                <w:sz w:val="20"/>
                <w:szCs w:val="20"/>
                <w:color w:val="auto"/>
              </w:rPr>
            </w:pPr>
            <w:r>
              <w:rPr>
                <w:rFonts w:ascii="Times New Roman" w:cs="Times New Roman" w:eastAsia="Times New Roman" w:hAnsi="Times New Roman"/>
                <w:sz w:val="18"/>
                <w:szCs w:val="18"/>
                <w:color w:val="auto"/>
              </w:rPr>
              <w:t>The bonds will be ready for delivery in book-entry form only through the facilities of The Depository Trust Company for</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the accounts of its participants, including Clearstream Banking S.A. and Euroclear Bank SA/NV, as operator of the Euroclear</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5"/>
              </w:rPr>
              <w:t>System, on or about </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2026.</w:t>
            </w: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Borders>
              <w:bottom w:val="single" w:sz="8" w:color="auto"/>
            </w:tcBorders>
            <w:gridSpan w:val="6"/>
          </w:tcPr>
          <w:p>
            <w:pPr>
              <w:spacing w:after="0"/>
              <w:rPr>
                <w:sz w:val="21"/>
                <w:szCs w:val="21"/>
                <w:color w:val="auto"/>
              </w:rPr>
            </w:pPr>
          </w:p>
        </w:tc>
        <w:tc>
          <w:tcPr>
            <w:tcW w:w="9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40" w:type="dxa"/>
            <w:vAlign w:val="bottom"/>
            <w:gridSpan w:val="9"/>
          </w:tcPr>
          <w:p>
            <w:pPr>
              <w:jc w:val="center"/>
              <w:ind w:right="630"/>
              <w:spacing w:after="0"/>
              <w:rPr>
                <w:sz w:val="20"/>
                <w:szCs w:val="20"/>
                <w:color w:val="auto"/>
              </w:rPr>
            </w:pPr>
            <w:r>
              <w:rPr>
                <w:rFonts w:ascii="Times New Roman" w:cs="Times New Roman" w:eastAsia="Times New Roman" w:hAnsi="Times New Roman"/>
                <w:sz w:val="18"/>
                <w:szCs w:val="18"/>
                <w:i w:val="1"/>
                <w:iCs w:val="1"/>
                <w:color w:val="auto"/>
                <w:w w:val="99"/>
              </w:rPr>
              <w:t>Joint Book-Running Managers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Barclays</w:t>
            </w:r>
          </w:p>
        </w:tc>
        <w:tc>
          <w:tcPr>
            <w:tcW w:w="2480" w:type="dxa"/>
            <w:vAlign w:val="bottom"/>
            <w:gridSpan w:val="7"/>
          </w:tcPr>
          <w:p>
            <w:pPr>
              <w:ind w:left="360"/>
              <w:spacing w:after="0"/>
              <w:rPr>
                <w:sz w:val="20"/>
                <w:szCs w:val="20"/>
                <w:color w:val="auto"/>
              </w:rPr>
            </w:pPr>
            <w:r>
              <w:rPr>
                <w:rFonts w:ascii="Times New Roman" w:cs="Times New Roman" w:eastAsia="Times New Roman" w:hAnsi="Times New Roman"/>
                <w:sz w:val="18"/>
                <w:szCs w:val="18"/>
                <w:b w:val="1"/>
                <w:bCs w:val="1"/>
                <w:color w:val="auto"/>
              </w:rPr>
              <w:t>BNY Capital Markets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8"/>
          </w:tcPr>
          <w:p>
            <w:pPr>
              <w:ind w:left="560"/>
              <w:spacing w:after="0"/>
              <w:rPr>
                <w:sz w:val="20"/>
                <w:szCs w:val="20"/>
                <w:color w:val="auto"/>
              </w:rPr>
            </w:pPr>
            <w:r>
              <w:rPr>
                <w:rFonts w:ascii="Times New Roman" w:cs="Times New Roman" w:eastAsia="Times New Roman" w:hAnsi="Times New Roman"/>
                <w:sz w:val="18"/>
                <w:szCs w:val="18"/>
                <w:b w:val="1"/>
                <w:bCs w:val="1"/>
                <w:color w:val="auto"/>
              </w:rPr>
              <w:t>Goldman Sachs &amp; Co. LLC</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US Bancorp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145415</wp:posOffset>
            </wp:positionV>
            <wp:extent cx="1234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11140"/>
          </w:cols>
          <w:pgMar w:left="320" w:top="216" w:right="439" w:bottom="1440" w:gutter="0" w:footer="0" w:header="0"/>
        </w:sectPr>
      </w:pPr>
    </w:p>
    <w:p>
      <w:pPr>
        <w:spacing w:after="0" w:line="33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Prospectus Supplement dated June   , 2026.</w:t>
      </w:r>
    </w:p>
    <w:p>
      <w:pPr>
        <w:sectPr>
          <w:pgSz w:w="11900" w:h="16838" w:orient="portrait"/>
          <w:cols w:equalWidth="0" w:num="1">
            <w:col w:w="11140"/>
          </w:cols>
          <w:pgMar w:left="320" w:top="21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4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6"/>
            <w:vMerge w:val="restart"/>
          </w:tcPr>
          <w:p>
            <w:pPr>
              <w:spacing w:after="0"/>
              <w:rPr>
                <w:sz w:val="15"/>
                <w:szCs w:val="15"/>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12"/>
            <w:vMerge w:val="continue"/>
          </w:tcPr>
          <w:p>
            <w:pPr>
              <w:spacing w:after="0"/>
              <w:rPr>
                <w:sz w:val="14"/>
                <w:szCs w:val="14"/>
                <w:color w:val="auto"/>
              </w:rPr>
            </w:pPr>
          </w:p>
        </w:tc>
        <w:tc>
          <w:tcPr>
            <w:tcW w:w="7120" w:type="dxa"/>
            <w:vAlign w:val="bottom"/>
            <w:gridSpan w:val="6"/>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73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CAUTIONARY STATEMENTS REGARDING CERTAIN FORWARD-LOOKING INFORMATION</w:t>
            </w: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304"/>
        </w:trPr>
        <w:tc>
          <w:tcPr>
            <w:tcW w:w="10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304"/>
        </w:trPr>
        <w:tc>
          <w:tcPr>
            <w:tcW w:w="380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PROSPECTUS SUPPLEMENT SUMMARY</w:t>
            </w:r>
          </w:p>
        </w:tc>
        <w:tc>
          <w:tcPr>
            <w:tcW w:w="676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304"/>
        </w:trPr>
        <w:tc>
          <w:tcPr>
            <w:tcW w:w="328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280" w:type="dxa"/>
            <w:vAlign w:val="bottom"/>
            <w:gridSpan w:val="7"/>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4"/>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304"/>
        </w:trPr>
        <w:tc>
          <w:tcPr>
            <w:tcW w:w="25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DESCRIPTION OF THE BONDS</w:t>
            </w:r>
          </w:p>
        </w:tc>
        <w:tc>
          <w:tcPr>
            <w:tcW w:w="8060" w:type="dxa"/>
            <w:vAlign w:val="bottom"/>
            <w:gridSpan w:val="10"/>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304"/>
        </w:trPr>
        <w:tc>
          <w:tcPr>
            <w:tcW w:w="10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S-22</w:t>
            </w:r>
          </w:p>
        </w:tc>
        <w:tc>
          <w:tcPr>
            <w:tcW w:w="0" w:type="dxa"/>
            <w:vAlign w:val="bottom"/>
          </w:tcPr>
          <w:p>
            <w:pPr>
              <w:spacing w:after="0"/>
              <w:rPr>
                <w:sz w:val="1"/>
                <w:szCs w:val="1"/>
                <w:color w:val="auto"/>
              </w:rPr>
            </w:pPr>
          </w:p>
        </w:tc>
      </w:tr>
      <w:tr>
        <w:trPr>
          <w:trHeight w:val="304"/>
        </w:trPr>
        <w:tc>
          <w:tcPr>
            <w:tcW w:w="370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UNDERWRITING (CONFLICTS OF INTEREST)</w:t>
            </w:r>
          </w:p>
        </w:tc>
        <w:tc>
          <w:tcPr>
            <w:tcW w:w="1160" w:type="dxa"/>
            <w:vAlign w:val="bottom"/>
            <w:tcBorders>
              <w:top w:val="single" w:sz="8" w:color="0000EE"/>
            </w:tcBorders>
            <w:gridSpan w:val="2"/>
          </w:tcPr>
          <w:p>
            <w:pPr>
              <w:spacing w:after="0"/>
              <w:rPr>
                <w:sz w:val="24"/>
                <w:szCs w:val="24"/>
                <w:color w:val="auto"/>
              </w:rPr>
            </w:pPr>
          </w:p>
        </w:tc>
        <w:tc>
          <w:tcPr>
            <w:tcW w:w="5700" w:type="dxa"/>
            <w:vAlign w:val="bottom"/>
            <w:gridSpan w:val="2"/>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S-28</w:t>
            </w:r>
          </w:p>
        </w:tc>
        <w:tc>
          <w:tcPr>
            <w:tcW w:w="0" w:type="dxa"/>
            <w:vAlign w:val="bottom"/>
          </w:tcPr>
          <w:p>
            <w:pPr>
              <w:spacing w:after="0"/>
              <w:rPr>
                <w:sz w:val="1"/>
                <w:szCs w:val="1"/>
                <w:color w:val="auto"/>
              </w:rPr>
            </w:pPr>
          </w:p>
        </w:tc>
      </w:tr>
      <w:tr>
        <w:trPr>
          <w:trHeight w:val="304"/>
        </w:trPr>
        <w:tc>
          <w:tcPr>
            <w:tcW w:w="14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15"/>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S-34</w:t>
            </w:r>
          </w:p>
        </w:tc>
        <w:tc>
          <w:tcPr>
            <w:tcW w:w="0" w:type="dxa"/>
            <w:vAlign w:val="bottom"/>
          </w:tcPr>
          <w:p>
            <w:pPr>
              <w:spacing w:after="0"/>
              <w:rPr>
                <w:sz w:val="1"/>
                <w:szCs w:val="1"/>
                <w:color w:val="auto"/>
              </w:rPr>
            </w:pPr>
          </w:p>
        </w:tc>
      </w:tr>
      <w:tr>
        <w:trPr>
          <w:trHeight w:val="304"/>
        </w:trPr>
        <w:tc>
          <w:tcPr>
            <w:tcW w:w="10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S-34</w:t>
            </w:r>
          </w:p>
        </w:tc>
        <w:tc>
          <w:tcPr>
            <w:tcW w:w="0" w:type="dxa"/>
            <w:vAlign w:val="bottom"/>
          </w:tcPr>
          <w:p>
            <w:pPr>
              <w:spacing w:after="0"/>
              <w:rPr>
                <w:sz w:val="1"/>
                <w:szCs w:val="1"/>
                <w:color w:val="auto"/>
              </w:rPr>
            </w:pPr>
          </w:p>
        </w:tc>
      </w:tr>
      <w:tr>
        <w:trPr>
          <w:trHeight w:val="668"/>
        </w:trPr>
        <w:tc>
          <w:tcPr>
            <w:tcW w:w="7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700" w:type="dxa"/>
            <w:vAlign w:val="bottom"/>
            <w:gridSpan w:val="2"/>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560" w:type="dxa"/>
            <w:vAlign w:val="bottom"/>
            <w:gridSpan w:val="18"/>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88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3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CAUTIONARY STATEMENTS REGARDING CERTAIN FORWARD-LOOKING INFORMATION</w:t>
            </w:r>
          </w:p>
        </w:tc>
        <w:tc>
          <w:tcPr>
            <w:tcW w:w="322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4"/>
        </w:trPr>
        <w:tc>
          <w:tcPr>
            <w:tcW w:w="10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EVERGY KANSAS CENTRAL, INC.</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28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760" w:type="dxa"/>
            <w:vAlign w:val="bottom"/>
            <w:gridSpan w:val="9"/>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88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4"/>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4"/>
        </w:trPr>
        <w:tc>
          <w:tcPr>
            <w:tcW w:w="30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40" w:type="dxa"/>
            <w:vAlign w:val="bottom"/>
            <w:gridSpan w:val="8"/>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4"/>
        </w:trPr>
        <w:tc>
          <w:tcPr>
            <w:tcW w:w="10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DESCRIPTION OF FIRST MORTGAGE BONDS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4"/>
        </w:trPr>
        <w:tc>
          <w:tcPr>
            <w:tcW w:w="19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BOOK-ENTRY SYSTEM</w:t>
            </w:r>
          </w:p>
        </w:tc>
        <w:tc>
          <w:tcPr>
            <w:tcW w:w="1760" w:type="dxa"/>
            <w:vAlign w:val="bottom"/>
            <w:tcBorders>
              <w:top w:val="single" w:sz="8" w:color="0000EE"/>
            </w:tcBorders>
            <w:gridSpan w:val="8"/>
          </w:tcPr>
          <w:p>
            <w:pPr>
              <w:spacing w:after="0"/>
              <w:rPr>
                <w:sz w:val="24"/>
                <w:szCs w:val="24"/>
                <w:color w:val="auto"/>
              </w:rPr>
            </w:pPr>
          </w:p>
        </w:tc>
        <w:tc>
          <w:tcPr>
            <w:tcW w:w="6880" w:type="dxa"/>
            <w:vAlign w:val="bottom"/>
            <w:gridSpan w:val="5"/>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04"/>
        </w:trPr>
        <w:tc>
          <w:tcPr>
            <w:tcW w:w="10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04"/>
        </w:trPr>
        <w:tc>
          <w:tcPr>
            <w:tcW w:w="14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24"/>
                <w:szCs w:val="24"/>
                <w:color w:val="auto"/>
              </w:rPr>
            </w:pPr>
          </w:p>
        </w:tc>
        <w:tc>
          <w:tcPr>
            <w:tcW w:w="8520" w:type="dxa"/>
            <w:vAlign w:val="bottom"/>
            <w:gridSpan w:val="12"/>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04"/>
        </w:trPr>
        <w:tc>
          <w:tcPr>
            <w:tcW w:w="10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9800" w:type="dxa"/>
            <w:vAlign w:val="bottom"/>
            <w:gridSpan w:val="1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5700" w:type="dxa"/>
            <w:vAlign w:val="bottom"/>
            <w:gridSpan w:val="2"/>
          </w:tcPr>
          <w:p>
            <w:pPr>
              <w:jc w:val="center"/>
              <w:ind w:right="4420"/>
              <w:spacing w:after="0"/>
              <w:rPr>
                <w:sz w:val="20"/>
                <w:szCs w:val="20"/>
                <w:color w:val="auto"/>
              </w:rPr>
            </w:pPr>
            <w:r>
              <w:rPr>
                <w:rFonts w:ascii="Times New Roman" w:cs="Times New Roman" w:eastAsia="Times New Roman" w:hAnsi="Times New Roman"/>
                <w:sz w:val="18"/>
                <w:szCs w:val="18"/>
                <w:color w:val="auto"/>
                <w:w w:val="78"/>
              </w:rPr>
              <w:t>i</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The second part is the accompanying prospectus dated August 16, 2024, which we refer to as the “accompanying prospectus.” The accompanying prospectus contains a description of the securities we may offer under the registration statement of which this prospectus supplement and the accompanying prospectus form a part and gives more general information, some of which may not apply to the bonds offered hereby.</w:t>
      </w:r>
    </w:p>
    <w:p>
      <w:pPr>
        <w:spacing w:after="0" w:line="180"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free writing prospectus that we file with the Securities and Exchange Commission (the “SEC”) contain and incorporate by reference information that you should consider when making your investment decision.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materially since those dates.</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expect to deliver the bonds against payment for the bonds on or about the date specified in the last paragraph of the cover page of this prospectus supplement, which will be the         business day following the date of this prospectus supplement (“T+  ”). Under Rule 15c6-1 under the Securities Exchange Act of 1934, as amended (the “Exchange Act”), trades in the secondary market generally are required to settle in one business day, unless the parties to a trade expressly agree otherwise. Accordingly, purchasers who wish to trade the bonds on any date prior to the first business day before delivery of the bonds will be required, by virtue of the fact that the bonds initially will settle in T+  , to specify alternative settlement arrangements to prevent a failed settlement.</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Before you invest in the bonds, you should carefully read the registration statement (including the exhibits thereto) of which this prospectus supplement and the accompanying prospectus form a part, this prospectus supplement, the accompanying prospectus and the documents incorporated by reference in this prospectus supplement. The incorporated documents are described in this prospectus supplement under “Where You Can Find More Information.”</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bonds are not guaranteed by our parent company, Evergy, Inc. (“Evergy”) or any of its other or our subsidiaries. None of those entities has any obligation to make any capital contributions or distributions or to advance funds to us for the purpose of paying the principal of, or premium, if any, or interest on, the bonds or any other amount that may be required to be paid under the mortgage (as defined herein) or the bonds, preventing or curing an event of default under the terms of the mortgage, complying with any other obligation under the mortgage or the bonds or otherwise.</w:t>
      </w:r>
    </w:p>
    <w:p>
      <w:pPr>
        <w:spacing w:after="0" w:line="180"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or as otherwise indicated, when we refer to “Evergy Kansas Central, Inc.,” “Evergy Kansas Central,” the “Company,” “we,” “us” or “our” in this prospectus supplement or the accompanying prospectus or when we otherwise refer to ourselves herein or therein, we mean Evergy Kansas Central, Inc. and not any of its subsidiaries or other affiliates, unless the context clearly indicates otherwise.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STATEMENTS REGARDING CERTAIN FORWARD-LOOKING INFORMATION</w:t>
      </w:r>
    </w:p>
    <w:p>
      <w:pPr>
        <w:spacing w:after="0" w:line="22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Statements made in this prospectus supplement, the accompanying prospectus and the documents incorporated by reference herein as described under “Where You Can Find More Information” that are not based on historical facts are forward-looking, may involve risks and uncertainties, and are intended to be as of the date when made. Forward-looking statements are often accompanied by forward-looking words such as “anticipates,” “believes,” “expects,” “estimates,” “forecasts,” “guidance,” “should,” “could,” “may,” “seeks,” “intends,” “predict,” “potential,” “opportunities,” “proposed,” “projects,” “planned,” “target,” “budget,” “outlook,” “remain confident,” “goal,” “will” or other words of similar meaning. Forward-looking statements involve risks, uncertainties and other factors that could cause actual results to differ materially from the forward-looking information.</w:t>
      </w:r>
    </w:p>
    <w:p>
      <w:pPr>
        <w:spacing w:after="0" w:line="17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safe harbor provisions of the Private Securities Litigation Reform Act of 1995, the Company is providing a number of risks, uncertainties and other factors that could cause actual results to differ from the forward-looking information. These risks, uncertainties and other factors include, but are not limited to:</w:t>
      </w:r>
    </w:p>
    <w:p>
      <w:pPr>
        <w:spacing w:after="0" w:line="81"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weather conditions and any impact on sales, prices and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demand for electricity, including demand from data centers and other large load customers;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strategy or operations, including with respect to Evergy Kansas Central’s strategy to meet demand requirements of existing and future customers;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projected rapid growth in electricity demand driven primarily by data centers and other large load customers and the related requirement for new generation and transmission investments, creating capital access, revenue recovery and customer affordability risks;</w:t>
      </w:r>
    </w:p>
    <w:p>
      <w:pPr>
        <w:spacing w:after="0" w:line="81"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federal, state and local political, legislative, judicial and regulatory actions or developments, including deregulation, re-regulation, securitization and restructuring of the electric utility industry;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prolonged or recurring U.S. federal government shutdowns;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policies (including tariffs and other trade measures) and responses from other countries;</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build or acquire generation, battery storage and transmission facilities to meet the future demand for electricity from customers;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58"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control costs, avoid cost and schedule overruns during the development, construction and operation of generation, battery storage,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w:t>
      </w:r>
    </w:p>
    <w:p>
      <w:pPr>
        <w:spacing w:after="0" w:line="88" w:lineRule="exact"/>
        <w:rPr>
          <w:rFonts w:ascii="Times New Roman" w:cs="Times New Roman" w:eastAsia="Times New Roman" w:hAnsi="Times New Roman"/>
          <w:sz w:val="18"/>
          <w:szCs w:val="18"/>
          <w:color w:val="auto"/>
        </w:rPr>
      </w:pPr>
    </w:p>
    <w:p>
      <w:pPr>
        <w:ind w:left="1080" w:right="9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of regulators regarding, among other things, customer rates and the prudency of operational decisions such as capital expenditures and asset retirements;</w:t>
      </w:r>
    </w:p>
    <w:p>
      <w:pPr>
        <w:spacing w:after="0" w:line="6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regulations, rules, principles or practices, or the interpretations thereof, governing tax, accounting and environmental matters, including air and water quality and waste management and disposal;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adoption and use of artificial intelligence by Evergy Kansas Central and its third-party vendors;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change, including increased frequency and severity of significant weather events;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potential wildfires, including costs of litigation, potential regulatory penalties and damages in excess of insurance liability coverage;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5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counterparties are willing to do business with, finance the operations of or purchase energy from Evergy Kansas Central due to the fact that Evergy Kansas Central operates coal-fired generation;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and availability of electricity and natural gas in wholesale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perception of the energy industry and Evergy Kansas Central;</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pandemic health events on, among other things, sales, results of operations, financial position, liquidity and cash flows, and also on operational issues, such as supply chain issues and the availability and ability of Evergy Kansas Central’s employees and suppliers to perform the functions that are necessary to operate Evergy Kansas Central;</w:t>
      </w:r>
    </w:p>
    <w:p>
      <w:pPr>
        <w:spacing w:after="0" w:line="81"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energy trading markets in which Evergy Kansas Central participates, including retroactive repricing of transactions by regional transmission organizations and independent system operators;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market conditions and performance, disruptions in the banking industry, including volatility in interest rates and credit spreads and in availability and cost of capital and the effects on derivatives and hedges and the ability to obtain capital to finance large construction projects, nuclear decommissioning trust and pension plan assets and costs;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long-lived assets or goodwill;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ratings;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risk management policies and procedures and the ability of counterparties to satisfy their contractual commitments including new large data center customers;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physical and cybersecurity breaches, criminal activity, terrorist attacks, acts of war and other disruptions to Evergy Kansas Central’s facilities or information technology infrastructure or the facilities and infrastructure of third-party service providers on which Evergy Kansas Central relies;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geopolitical conflicts on the global energy market, including the ability to contract for non-Russian sourced uranium;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carry out marketing and sales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availability, quality and timely provision of equipment, supplies, labor and fuel;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achieve generation goals and the occurrence and duration of planned and unplanned generation outages;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Evergy Kansas Central’s ability to manage its generation, transmission and distribution development plans and transmission joint ventures;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associated with the ownership and operation of a nuclear facility, including environmental, health, safety, regulatory and financial risks;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risks, including those related to Evergy Kansas Central’s ability to attract and retain qualified personnel, maintain satisfactory relationships with their labor unions and manage costs of, or changes in, wages, retirement, health care and other benefits;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costs and uncertainties caused by or related to the actions of individuals or entities, such as activist shareholders of Evergy or special interest groups, that seek to influence Evergy Kansas Central’s strategic plan, financial results or operations;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changing expectations and demands of Evergy Kansas Central’s customers, regulators, investors and stakeholders, including differing views on environmental, social and governance concerns;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strategic initiatives, including mergers, acquisitions, joint ventures and divestitures, and long-term financial plans, may not create the value that they are expected to achieve in a timely manner or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relationships with customers, employees, contractors, regulators or suppliers;</w:t>
      </w:r>
    </w:p>
    <w:p>
      <w:pPr>
        <w:spacing w:after="0" w:line="2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involving Evergy Kansas Central; and</w:t>
      </w:r>
    </w:p>
    <w:p>
      <w:pPr>
        <w:spacing w:after="0" w:line="11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list of factors is not all-inclusive because it is not possible to predict all factors. Risk factors discussed under Item 1A of Part I of our Annual Report on Form 10-K for the year ended December 31, 2025, which is incorporated herein by reference, should be carefully read for further understanding of potential risks for Evergy Kansas Central. Other sections of our Annual Report on Form 10-K for the year ended December 31, 2025 and other reports filed by Evergy Kansas Central with the SEC should also be read for more information regarding risk factors. New factors emerge from time to time, and it’s not possible for Evergy Kansas Central to predict all such factors, nor can Evergy Kansas Central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Evergy Kansas Central undertakes no obligation to publicly update or revise any forward-looking statement, whether as a result of new information, future events or otherwise, except as required by law.</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040"/>
          </w:cols>
          <w:pgMar w:left="320" w:top="455"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 through the SEC’s Electronic Data Gathering, Analysis and Retrieval system and these filings are publicly available through the SEC’s website (http://www.sec.gov).</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the information we file with the SEC, which means that we can disclose important information to you by referring you to the documents containing the information. The information we incorporate by reference is considered to be included in and an important part of this prospectus supplement and should be read with the same care. Information that we file later with the SEC that is incorporated by reference in this prospectus supplement will automatically update and supersede this information. We are incorporating by reference in this prospectus supplement the following documents that we have filed with the SEC and any subsequent filings we make with the SEC under Section 13(a), 13(c), 14 or 15(d) of the Exchange Act until this offering of the bonds is completed (except to the extent that any information contained in such filings is deemed “furnished” and not “filed” pursuant to Item 2.02 or Item 7.01 of any Current Report on Form 8-K and corresponding exhibits thereto or other applicable SEC rules):</w:t>
      </w:r>
    </w:p>
    <w:p>
      <w:pPr>
        <w:spacing w:after="0" w:line="97"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February 19, 2026;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May 7, 2026.</w:t>
      </w:r>
    </w:p>
    <w:p>
      <w:pPr>
        <w:spacing w:after="0" w:line="225" w:lineRule="exact"/>
        <w:rPr>
          <w:rFonts w:ascii="Times New Roman" w:cs="Times New Roman" w:eastAsia="Times New Roman" w:hAnsi="Times New Roman"/>
          <w:sz w:val="18"/>
          <w:szCs w:val="18"/>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our parent company, Evergy, and another wholly owned subsidiary of Evergy, Evergy Metro, Inc. (“Evergy Metro”), separately filed the combined Annual Report on Form 10-K and the Quarterly Report on Form 10-Q listed above. However, the information therein relating solely to our parent and its consolidated subsidiaries (other than Evergy Kansas Central and its consolidated subsidiaries), including Evergy Missouri West, Inc., was separately filed by Evergy on its behalf, the information therein relating solely to Evergy Metro and its consolidated subsidiaries was separately filed by Evergy Metro on its behalf and the information therein relating solely to Evergy Kansas Central and its consolidated subsidiaries was separately filed by us. We do not intend to incorporate by reference in this prospectus supplement the information relating to Evergy and its subsidiaries (other than Evergy Kansas Central and its consolidated subsidiaries), and we make no representation as to the information relating to Evergy and its subsidiaries (other than Evergy Kansas Central and its consolidated subsidiaries) contained therein. The only information you should rely upon in determining whether to invest in the bonds offered hereby is the information of Evergy Kansas Central and its consolidated subsidiaries contained in this prospectus supplement and the accompanying prospectus, the information separately provided by Evergy Kansas Central and its consolidated subsidiaries in the documents incorporated by reference herein and any free writing prospectus used in connection with the offering of the bonds described in this prospectus supplement and the accompanying prospectus.</w:t>
      </w:r>
    </w:p>
    <w:p>
      <w:pPr>
        <w:spacing w:after="0" w:line="190" w:lineRule="exact"/>
        <w:rPr>
          <w:rFonts w:ascii="Times New Roman" w:cs="Times New Roman" w:eastAsia="Times New Roman" w:hAnsi="Times New Roman"/>
          <w:sz w:val="18"/>
          <w:szCs w:val="18"/>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Our parent’s website is www.evergy.com. Information contained on our parent’s website is not incorporated herein. We make available, free of charge, on or through the “Investor Relations” tab on our parent’s website, our Annual Reports on Form 10-K, Quarterly Reports on Form 10-Q and Current Reports on Form 8-K, and amendments to those reports, filed or furnished pursuant to Section 13(a) or 15(d) of the Exchange Act as soon as reasonably practicable after we electronically file such material with, or furnish it to, the SEC. In addition, we make available on or through our parent’s website all other reports, notifications and certifications filed electronically with the SEC. You may obtain a free copy of our filings with the SEC by writing or telephoning us at the following address: Evergy Kansas Central, Inc., 818 South Kansas Avenue, Topeka, Kansas 66612 (Telephone No.:</w:t>
      </w:r>
    </w:p>
    <w:p>
      <w:pPr>
        <w:spacing w:after="0" w:line="5" w:lineRule="exact"/>
        <w:rPr>
          <w:rFonts w:ascii="Times New Roman" w:cs="Times New Roman" w:eastAsia="Times New Roman" w:hAnsi="Times New Roman"/>
          <w:sz w:val="18"/>
          <w:szCs w:val="18"/>
          <w:color w:val="auto"/>
        </w:rPr>
      </w:pPr>
    </w:p>
    <w:p>
      <w:pPr>
        <w:ind w:left="5500" w:right="5000" w:hanging="5384"/>
        <w:spacing w:after="0" w:line="433" w:lineRule="auto"/>
        <w:tabs>
          <w:tab w:leader="none" w:pos="5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575-6300), Attention: Investor Relations, or by contacting us on our website. S-5</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155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98970" cy="2155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1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summary in conjunction with the more detailed information in this prospectus supplement, the accompanying prospectus and the documents incorporated herein by reference.</w:t>
      </w:r>
    </w:p>
    <w:p>
      <w:pPr>
        <w:spacing w:after="0" w:line="37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Evergy Kansas Central is an integrated, regulated electric utility that provides electricity to customers in the state of Kansas. Evergy Kansas Central has one active wholly owned subsidiary with significant operations, Evergy Kansas South, Inc. (“Evergy Kansas South”). We serve approximately 751,000 customers located in central and eastern Kansas. Customers include approximately 651,100 residences, 94,800 commercial firms, and 5,100 industrials, municipalities and other electric utilities. Evergy Kansas Central and Evergy Kansas South conduct business in their respective service territories using the name Evergy. Our principal executive offices are located at 818 South Kansas Avenue, Topeka, Kansas 66612. Our telephone number is (785) 575-6300.</w:t>
      </w:r>
    </w:p>
    <w:p>
      <w:pPr>
        <w:spacing w:after="0" w:line="3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880"/>
          </w:cols>
          <w:pgMar w:left="320" w:top="455" w:right="6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62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98970" cy="65620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bonds. It does not contain all the information that is important to you. For a more complete understanding of the bonds, please refer to the section of this prospectus supplement entitled “Description of the Bonds” and the section of the accompanying prospectus entitled “Description of First Mortgage Bonds” and the information included or incorporated by reference herein before making an investment decision.</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41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Evergy Kansas Central, Inc.</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5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w:t>
            </w:r>
          </w:p>
        </w:tc>
        <w:tc>
          <w:tcPr>
            <w:tcW w:w="730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            aggregate principal amount of First Mortgage Bonds,    % Series due 20 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r>
      <w:tr>
        <w:trPr>
          <w:trHeight w:val="234"/>
        </w:trPr>
        <w:tc>
          <w:tcPr>
            <w:tcW w:w="2960" w:type="dxa"/>
            <w:vAlign w:val="bottom"/>
          </w:tcPr>
          <w:p>
            <w:pPr>
              <w:spacing w:after="0"/>
              <w:rPr>
                <w:sz w:val="20"/>
                <w:szCs w:val="20"/>
                <w:color w:val="auto"/>
              </w:rPr>
            </w:pPr>
          </w:p>
        </w:tc>
        <w:tc>
          <w:tcPr>
            <w:tcW w:w="30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“bonds”).</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5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300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3"/>
              </w:rPr>
              <w:t>The bonds will mature on </w:t>
            </w:r>
          </w:p>
        </w:tc>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         , 20   .</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5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41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 xml:space="preserve">Interest on the bonds will accrue from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2026, at the rate of    % per year, payable</w:t>
            </w:r>
          </w:p>
        </w:tc>
      </w:tr>
      <w:tr>
        <w:trPr>
          <w:trHeight w:val="216"/>
        </w:trPr>
        <w:tc>
          <w:tcPr>
            <w:tcW w:w="2960" w:type="dxa"/>
            <w:vAlign w:val="bottom"/>
          </w:tcPr>
          <w:p>
            <w:pPr>
              <w:spacing w:after="0"/>
              <w:rPr>
                <w:sz w:val="18"/>
                <w:szCs w:val="18"/>
                <w:color w:val="auto"/>
              </w:rPr>
            </w:pPr>
          </w:p>
        </w:tc>
        <w:tc>
          <w:tcPr>
            <w:tcW w:w="41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w w:val="98"/>
              </w:rPr>
              <w:t>semi-annually in cash in arrears on each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and             , beginning on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   ,</w:t>
            </w:r>
          </w:p>
        </w:tc>
      </w:tr>
      <w:tr>
        <w:trPr>
          <w:trHeight w:val="234"/>
        </w:trPr>
        <w:tc>
          <w:tcPr>
            <w:tcW w:w="2960" w:type="dxa"/>
            <w:vAlign w:val="bottom"/>
          </w:tcPr>
          <w:p>
            <w:pPr>
              <w:spacing w:after="0"/>
              <w:rPr>
                <w:sz w:val="20"/>
                <w:szCs w:val="20"/>
                <w:color w:val="auto"/>
              </w:rPr>
            </w:pPr>
          </w:p>
        </w:tc>
        <w:tc>
          <w:tcPr>
            <w:tcW w:w="30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1"/>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c>
          <w:tcPr>
            <w:tcW w:w="730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w w:val="99"/>
              </w:rPr>
              <w:t>The bonds will be secured equally and ratably with all other first mortgage bonds now</w:t>
            </w:r>
          </w:p>
        </w:tc>
        <w:tc>
          <w:tcPr>
            <w:tcW w:w="36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730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w w:val="99"/>
              </w:rPr>
              <w:t>outstanding or hereafter issued under the mortgage by a lien on substantially all of our</w:t>
            </w:r>
          </w:p>
        </w:tc>
        <w:tc>
          <w:tcPr>
            <w:tcW w:w="36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7660" w:type="dxa"/>
            <w:vAlign w:val="bottom"/>
            <w:gridSpan w:val="6"/>
          </w:tcPr>
          <w:p>
            <w:pPr>
              <w:ind w:left="1080"/>
              <w:spacing w:after="0"/>
              <w:rPr>
                <w:sz w:val="20"/>
                <w:szCs w:val="20"/>
                <w:color w:val="auto"/>
              </w:rPr>
            </w:pPr>
            <w:r>
              <w:rPr>
                <w:rFonts w:ascii="Times New Roman" w:cs="Times New Roman" w:eastAsia="Times New Roman" w:hAnsi="Times New Roman"/>
                <w:sz w:val="18"/>
                <w:szCs w:val="18"/>
                <w:color w:val="auto"/>
              </w:rPr>
              <w:t>fixed property and franchises, including certain after-acquired property, subject to certain</w:t>
            </w:r>
          </w:p>
        </w:tc>
      </w:tr>
      <w:tr>
        <w:trPr>
          <w:trHeight w:val="234"/>
        </w:trPr>
        <w:tc>
          <w:tcPr>
            <w:tcW w:w="2960" w:type="dxa"/>
            <w:vAlign w:val="bottom"/>
          </w:tcPr>
          <w:p>
            <w:pPr>
              <w:spacing w:after="0"/>
              <w:rPr>
                <w:sz w:val="20"/>
                <w:szCs w:val="20"/>
                <w:color w:val="auto"/>
              </w:rPr>
            </w:pPr>
          </w:p>
        </w:tc>
        <w:tc>
          <w:tcPr>
            <w:tcW w:w="30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exceptions.</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1"/>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730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The bonds will be our secured obligations, equal in right of payment to all other debt</w:t>
            </w:r>
          </w:p>
        </w:tc>
        <w:tc>
          <w:tcPr>
            <w:tcW w:w="36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7660" w:type="dxa"/>
            <w:vAlign w:val="bottom"/>
            <w:gridSpan w:val="6"/>
          </w:tcPr>
          <w:p>
            <w:pPr>
              <w:ind w:left="1080"/>
              <w:spacing w:after="0"/>
              <w:rPr>
                <w:sz w:val="20"/>
                <w:szCs w:val="20"/>
                <w:color w:val="auto"/>
              </w:rPr>
            </w:pPr>
            <w:r>
              <w:rPr>
                <w:rFonts w:ascii="Times New Roman" w:cs="Times New Roman" w:eastAsia="Times New Roman" w:hAnsi="Times New Roman"/>
                <w:sz w:val="18"/>
                <w:szCs w:val="18"/>
                <w:color w:val="auto"/>
              </w:rPr>
              <w:t>currently outstanding or hereafter issued under the mortgage. The mortgage prohibits us</w:t>
            </w:r>
          </w:p>
        </w:tc>
      </w:tr>
      <w:tr>
        <w:trPr>
          <w:trHeight w:val="216"/>
        </w:trPr>
        <w:tc>
          <w:tcPr>
            <w:tcW w:w="2960" w:type="dxa"/>
            <w:vAlign w:val="bottom"/>
          </w:tcPr>
          <w:p>
            <w:pPr>
              <w:spacing w:after="0"/>
              <w:rPr>
                <w:sz w:val="18"/>
                <w:szCs w:val="18"/>
                <w:color w:val="auto"/>
              </w:rPr>
            </w:pPr>
          </w:p>
        </w:tc>
        <w:tc>
          <w:tcPr>
            <w:tcW w:w="7660" w:type="dxa"/>
            <w:vAlign w:val="bottom"/>
            <w:gridSpan w:val="6"/>
          </w:tcPr>
          <w:p>
            <w:pPr>
              <w:ind w:left="1080"/>
              <w:spacing w:after="0"/>
              <w:rPr>
                <w:sz w:val="20"/>
                <w:szCs w:val="20"/>
                <w:color w:val="auto"/>
              </w:rPr>
            </w:pPr>
            <w:r>
              <w:rPr>
                <w:rFonts w:ascii="Times New Roman" w:cs="Times New Roman" w:eastAsia="Times New Roman" w:hAnsi="Times New Roman"/>
                <w:sz w:val="18"/>
                <w:szCs w:val="18"/>
                <w:color w:val="auto"/>
              </w:rPr>
              <w:t>from incurring other debt senior or equal to the bonds offered hereby unless certain tests</w:t>
            </w:r>
          </w:p>
        </w:tc>
      </w:tr>
      <w:tr>
        <w:trPr>
          <w:trHeight w:val="234"/>
        </w:trPr>
        <w:tc>
          <w:tcPr>
            <w:tcW w:w="2960" w:type="dxa"/>
            <w:vAlign w:val="bottom"/>
          </w:tcPr>
          <w:p>
            <w:pPr>
              <w:spacing w:after="0"/>
              <w:rPr>
                <w:sz w:val="20"/>
                <w:szCs w:val="20"/>
                <w:color w:val="auto"/>
              </w:rPr>
            </w:pPr>
          </w:p>
        </w:tc>
        <w:tc>
          <w:tcPr>
            <w:tcW w:w="730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are met. The bonds will be structurally subordinated to the debt of our subsidiaries.</w:t>
            </w:r>
          </w:p>
        </w:tc>
        <w:tc>
          <w:tcPr>
            <w:tcW w:w="360" w:type="dxa"/>
            <w:vAlign w:val="bottom"/>
          </w:tcPr>
          <w:p>
            <w:pPr>
              <w:spacing w:after="0"/>
              <w:rPr>
                <w:sz w:val="20"/>
                <w:szCs w:val="20"/>
                <w:color w:val="auto"/>
              </w:rPr>
            </w:pPr>
          </w:p>
        </w:tc>
      </w:tr>
      <w:tr>
        <w:trPr>
          <w:trHeight w:val="441"/>
        </w:trPr>
        <w:tc>
          <w:tcPr>
            <w:tcW w:w="2960" w:type="dxa"/>
            <w:vAlign w:val="bottom"/>
          </w:tcPr>
          <w:p>
            <w:pPr>
              <w:spacing w:after="0"/>
              <w:rPr>
                <w:sz w:val="24"/>
                <w:szCs w:val="24"/>
                <w:color w:val="auto"/>
              </w:rPr>
            </w:pPr>
          </w:p>
        </w:tc>
        <w:tc>
          <w:tcPr>
            <w:tcW w:w="730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As of March 31, 2026, after giving effect to this offering and the use of proceeds</w:t>
            </w:r>
          </w:p>
        </w:tc>
        <w:tc>
          <w:tcPr>
            <w:tcW w:w="36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730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w w:val="99"/>
              </w:rPr>
              <w:t>therefrom, we would have had total indebtedness on our consolidated balance sheet of</w:t>
            </w:r>
          </w:p>
        </w:tc>
        <w:tc>
          <w:tcPr>
            <w:tcW w:w="36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30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xml:space="preserve">approximately $          </w:t>
            </w:r>
          </w:p>
        </w:tc>
        <w:tc>
          <w:tcPr>
            <w:tcW w:w="4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9"/>
              </w:rPr>
              <w:t>billion (excluding intracompany debt, trade payables and debt of</w:t>
            </w:r>
          </w:p>
        </w:tc>
      </w:tr>
      <w:tr>
        <w:trPr>
          <w:trHeight w:val="216"/>
        </w:trPr>
        <w:tc>
          <w:tcPr>
            <w:tcW w:w="2960" w:type="dxa"/>
            <w:vAlign w:val="bottom"/>
          </w:tcPr>
          <w:p>
            <w:pPr>
              <w:spacing w:after="0"/>
              <w:rPr>
                <w:sz w:val="18"/>
                <w:szCs w:val="18"/>
                <w:color w:val="auto"/>
              </w:rPr>
            </w:pPr>
          </w:p>
        </w:tc>
        <w:tc>
          <w:tcPr>
            <w:tcW w:w="7660" w:type="dxa"/>
            <w:vAlign w:val="bottom"/>
            <w:gridSpan w:val="6"/>
          </w:tcPr>
          <w:p>
            <w:pPr>
              <w:ind w:left="1080"/>
              <w:spacing w:after="0"/>
              <w:rPr>
                <w:sz w:val="20"/>
                <w:szCs w:val="20"/>
                <w:color w:val="auto"/>
              </w:rPr>
            </w:pPr>
            <w:r>
              <w:rPr>
                <w:rFonts w:ascii="Times New Roman" w:cs="Times New Roman" w:eastAsia="Times New Roman" w:hAnsi="Times New Roman"/>
                <w:sz w:val="18"/>
                <w:szCs w:val="18"/>
                <w:color w:val="auto"/>
              </w:rPr>
              <w:t>variable interest entities). Of this amount, approximately $834.4 million would have been</w:t>
            </w:r>
          </w:p>
        </w:tc>
      </w:tr>
      <w:tr>
        <w:trPr>
          <w:trHeight w:val="216"/>
        </w:trPr>
        <w:tc>
          <w:tcPr>
            <w:tcW w:w="2960" w:type="dxa"/>
            <w:vAlign w:val="bottom"/>
          </w:tcPr>
          <w:p>
            <w:pPr>
              <w:spacing w:after="0"/>
              <w:rPr>
                <w:sz w:val="18"/>
                <w:szCs w:val="18"/>
                <w:color w:val="auto"/>
              </w:rPr>
            </w:pPr>
          </w:p>
        </w:tc>
        <w:tc>
          <w:tcPr>
            <w:tcW w:w="730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structurally senior to the bonds because our subsidiaries are the obligors under such</w:t>
            </w:r>
          </w:p>
        </w:tc>
        <w:tc>
          <w:tcPr>
            <w:tcW w:w="36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p>
        </w:tc>
        <w:tc>
          <w:tcPr>
            <w:tcW w:w="30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indebtedness.</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1"/>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Reopening of Bond Series</w:t>
            </w:r>
          </w:p>
        </w:tc>
        <w:tc>
          <w:tcPr>
            <w:tcW w:w="7660" w:type="dxa"/>
            <w:vAlign w:val="bottom"/>
            <w:gridSpan w:val="6"/>
          </w:tcPr>
          <w:p>
            <w:pPr>
              <w:ind w:left="1080"/>
              <w:spacing w:after="0"/>
              <w:rPr>
                <w:sz w:val="20"/>
                <w:szCs w:val="20"/>
                <w:color w:val="auto"/>
              </w:rPr>
            </w:pPr>
            <w:r>
              <w:rPr>
                <w:rFonts w:ascii="Times New Roman" w:cs="Times New Roman" w:eastAsia="Times New Roman" w:hAnsi="Times New Roman"/>
                <w:sz w:val="18"/>
                <w:szCs w:val="18"/>
                <w:color w:val="auto"/>
              </w:rPr>
              <w:t>We may, without the consent of the holders of the bonds offered hereby, issue additional</w:t>
            </w:r>
          </w:p>
        </w:tc>
      </w:tr>
      <w:tr>
        <w:trPr>
          <w:trHeight w:val="216"/>
        </w:trPr>
        <w:tc>
          <w:tcPr>
            <w:tcW w:w="2960" w:type="dxa"/>
            <w:vAlign w:val="bottom"/>
          </w:tcPr>
          <w:p>
            <w:pPr>
              <w:spacing w:after="0"/>
              <w:rPr>
                <w:sz w:val="18"/>
                <w:szCs w:val="18"/>
                <w:color w:val="auto"/>
              </w:rPr>
            </w:pPr>
          </w:p>
        </w:tc>
        <w:tc>
          <w:tcPr>
            <w:tcW w:w="7300" w:type="dxa"/>
            <w:vAlign w:val="bottom"/>
            <w:gridSpan w:val="5"/>
          </w:tcPr>
          <w:p>
            <w:pPr>
              <w:ind w:left="1080"/>
              <w:spacing w:after="0"/>
              <w:rPr>
                <w:sz w:val="20"/>
                <w:szCs w:val="20"/>
                <w:color w:val="auto"/>
              </w:rPr>
            </w:pPr>
            <w:r>
              <w:rPr>
                <w:rFonts w:ascii="Times New Roman" w:cs="Times New Roman" w:eastAsia="Times New Roman" w:hAnsi="Times New Roman"/>
                <w:sz w:val="18"/>
                <w:szCs w:val="18"/>
                <w:color w:val="auto"/>
              </w:rPr>
              <w:t>first mortgage bonds ranking equally with first mortgage bonds of another series then</w:t>
            </w:r>
          </w:p>
        </w:tc>
        <w:tc>
          <w:tcPr>
            <w:tcW w:w="36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7660" w:type="dxa"/>
            <w:vAlign w:val="bottom"/>
            <w:gridSpan w:val="6"/>
          </w:tcPr>
          <w:p>
            <w:pPr>
              <w:ind w:left="1080"/>
              <w:spacing w:after="0"/>
              <w:rPr>
                <w:sz w:val="20"/>
                <w:szCs w:val="20"/>
                <w:color w:val="auto"/>
              </w:rPr>
            </w:pPr>
            <w:r>
              <w:rPr>
                <w:rFonts w:ascii="Times New Roman" w:cs="Times New Roman" w:eastAsia="Times New Roman" w:hAnsi="Times New Roman"/>
                <w:sz w:val="18"/>
                <w:szCs w:val="18"/>
                <w:color w:val="auto"/>
              </w:rPr>
              <w:t>outstanding, including the bonds offered hereby, having dates, maturities, interest rates,</w:t>
            </w:r>
          </w:p>
        </w:tc>
      </w:tr>
      <w:tr>
        <w:trPr>
          <w:trHeight w:val="234"/>
        </w:trPr>
        <w:tc>
          <w:tcPr>
            <w:tcW w:w="2960" w:type="dxa"/>
            <w:vAlign w:val="bottom"/>
          </w:tcPr>
          <w:p>
            <w:pPr>
              <w:spacing w:after="0"/>
              <w:rPr>
                <w:sz w:val="20"/>
                <w:szCs w:val="20"/>
                <w:color w:val="auto"/>
              </w:rPr>
            </w:pPr>
          </w:p>
        </w:tc>
        <w:tc>
          <w:tcPr>
            <w:tcW w:w="7660" w:type="dxa"/>
            <w:vAlign w:val="bottom"/>
            <w:gridSpan w:val="6"/>
          </w:tcPr>
          <w:p>
            <w:pPr>
              <w:ind w:left="1080"/>
              <w:spacing w:after="0"/>
              <w:rPr>
                <w:sz w:val="20"/>
                <w:szCs w:val="20"/>
                <w:color w:val="auto"/>
              </w:rPr>
            </w:pPr>
            <w:r>
              <w:rPr>
                <w:rFonts w:ascii="Times New Roman" w:cs="Times New Roman" w:eastAsia="Times New Roman" w:hAnsi="Times New Roman"/>
                <w:sz w:val="18"/>
                <w:szCs w:val="18"/>
                <w:color w:val="auto"/>
              </w:rPr>
              <w:t>redemption prices and other terms as our board of directors may determine only if certain</w:t>
            </w:r>
          </w:p>
        </w:tc>
      </w:tr>
    </w:tbl>
    <w:p>
      <w:pPr>
        <w:ind w:left="4340" w:right="40"/>
        <w:spacing w:after="0" w:line="252" w:lineRule="auto"/>
        <w:rPr>
          <w:sz w:val="20"/>
          <w:szCs w:val="20"/>
          <w:color w:val="auto"/>
        </w:rPr>
      </w:pPr>
      <w:r>
        <w:rPr>
          <w:rFonts w:ascii="Times New Roman" w:cs="Times New Roman" w:eastAsia="Times New Roman" w:hAnsi="Times New Roman"/>
          <w:sz w:val="18"/>
          <w:szCs w:val="18"/>
          <w:color w:val="auto"/>
        </w:rPr>
        <w:t>conditions in the mortgage are satisfied. We may, from time to time, at our option and without the consent of any holder of the bonds offered hereby, reopen this series for the issuance of additional bonds. See “Description of the Bonds—Reopening of Bond Series” and “—Amendments to Mortgage—Issuance of Additional Bonds” in this prospectus supplement. As of May 31, 2026, approximately $2.5 billion in aggregate principal amount of</w:t>
      </w:r>
    </w:p>
    <w:p>
      <w:pPr>
        <w:spacing w:after="0" w:line="3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280" w:type="dxa"/>
            <w:vAlign w:val="bottom"/>
            <w:tcBorders>
              <w:top w:val="single" w:sz="8" w:color="auto"/>
              <w:left w:val="single" w:sz="8" w:color="auto"/>
            </w:tcBorders>
          </w:tcPr>
          <w:p>
            <w:pPr>
              <w:spacing w:after="0"/>
              <w:rPr>
                <w:sz w:val="24"/>
                <w:szCs w:val="24"/>
                <w:color w:val="auto"/>
              </w:rPr>
            </w:pPr>
          </w:p>
        </w:tc>
        <w:tc>
          <w:tcPr>
            <w:tcW w:w="7740" w:type="dxa"/>
            <w:vAlign w:val="bottom"/>
            <w:tcBorders>
              <w:top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additional first mortgage bonds could be issued under the most restrictive provisions of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mortgage, without giving effect to the issuance of the bonds offered hereby and the use of</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proceeds described under “Use of Proceeds” in this prospectus supplement.</w:t>
            </w:r>
          </w:p>
        </w:tc>
      </w:tr>
      <w:tr>
        <w:trPr>
          <w:trHeight w:val="454"/>
        </w:trPr>
        <w:tc>
          <w:tcPr>
            <w:tcW w:w="32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Prior to             , 20   (the date that is       months prior to the maturity date of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bonds (the “Par Call Date”)), we may redeem the bonds at our option, in whole or in part,</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at any time and from time to time, at the redemption price (expressed as a percentage of</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principal amount and rounded to three decimal places) equal to the greater of:</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(a) the sum of the present values of the remaining scheduled payments of principal</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and interest thereon discounted to the redemption date (assuming the bonds matured</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on the Par Call Date) on a semi-annual basis (assuming a 360-day year consisting of</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twelve 30-day months) at the Treasury Rate (as defined herein) plus       basis</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points less (b) interest accrued to the redemption date; and</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100% of the principal amount of the bonds to be redeemed, plus, in either case,</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accrued and unpaid interest thereon to, but excluding, the redemption date.</w:t>
            </w:r>
          </w:p>
        </w:tc>
      </w:tr>
      <w:tr>
        <w:trPr>
          <w:trHeight w:val="441"/>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On or after the Par Call Date, we may redeem the bonds at our option, in whole or in part,</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at any time and from time to time, at a redemption price equal to 100% of the principal</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amount of the bonds to be redeemed plus accrued and unpaid interest thereon to, but</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excluding, the date of redemption. See “Description of the Bonds—Optional Redemption”</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in this prospectus supplement.</w:t>
            </w:r>
          </w:p>
        </w:tc>
      </w:tr>
      <w:tr>
        <w:trPr>
          <w:trHeight w:val="441"/>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A notice of redemption may provide that the optional redemption described in such notice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is conditioned upon the occurrence of certain events before the redemption date. Such</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notice of conditional redemption will be of no effect unless all such conditions to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redemption have occurred before the redemption date or have been waived by us. See</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“Description of the Bonds—Optional Redemption” in this prospectus supplement.</w:t>
            </w:r>
          </w:p>
        </w:tc>
      </w:tr>
      <w:tr>
        <w:trPr>
          <w:trHeight w:val="441"/>
        </w:trPr>
        <w:tc>
          <w:tcPr>
            <w:tcW w:w="32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Tax Credit Event Redemption</w:t>
            </w: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If a Tax Credit Event (as defined herein) occurs, we may redeem, at our option, the bonds,</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in whole but not in part, at a redemption price equal to 101% of the principal amount of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bonds being redeemed plus accrued and unpaid interest to, but excluding, the redemption</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date. See “Description of the Bonds—Right to Redeem for Tax Credit Event.”</w:t>
            </w:r>
          </w:p>
        </w:tc>
      </w:tr>
      <w:tr>
        <w:trPr>
          <w:trHeight w:val="441"/>
        </w:trPr>
        <w:tc>
          <w:tcPr>
            <w:tcW w:w="32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The net proceeds from this offering, after deducting the underwriting discount and</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estimated expenses of this offering, are expected to be approximately $   . We intend to use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the net proceeds from this offering to repay at maturity $350,000,000 aggregate principal</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amount of our outstanding First Mortgage Bonds, 2.55% Series due July 1, 2026 (the</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“2026 Bonds”). See “Use of Proceeds” in this prospectus supplement.</w:t>
            </w:r>
          </w:p>
        </w:tc>
      </w:tr>
      <w:tr>
        <w:trPr>
          <w:trHeight w:val="172"/>
        </w:trPr>
        <w:tc>
          <w:tcPr>
            <w:tcW w:w="3280" w:type="dxa"/>
            <w:vAlign w:val="bottom"/>
            <w:tcBorders>
              <w:left w:val="single" w:sz="8" w:color="auto"/>
              <w:bottom w:val="single" w:sz="8" w:color="auto"/>
            </w:tcBorders>
          </w:tcPr>
          <w:p>
            <w:pPr>
              <w:spacing w:after="0"/>
              <w:rPr>
                <w:sz w:val="14"/>
                <w:szCs w:val="14"/>
                <w:color w:val="auto"/>
              </w:rPr>
            </w:pPr>
          </w:p>
        </w:tc>
        <w:tc>
          <w:tcPr>
            <w:tcW w:w="7740" w:type="dxa"/>
            <w:vAlign w:val="bottom"/>
            <w:tcBorders>
              <w:bottom w:val="single" w:sz="8" w:color="auto"/>
              <w:right w:val="single" w:sz="8" w:color="auto"/>
            </w:tcBorders>
          </w:tcPr>
          <w:p>
            <w:pPr>
              <w:spacing w:after="0"/>
              <w:rPr>
                <w:sz w:val="14"/>
                <w:szCs w:val="14"/>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S-8</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06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Conflicts of Interest</w:t>
            </w:r>
          </w:p>
        </w:tc>
        <w:tc>
          <w:tcPr>
            <w:tcW w:w="7960" w:type="dxa"/>
            <w:vAlign w:val="bottom"/>
            <w:tcBorders>
              <w:top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Certain of the underwriters or their affiliates own some of the 2026 Bonds, the repayment</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of which would be funded with the net proceeds of this offering. It is possible that one or</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more of the underwriters or their affiliates could receive 5% or more of the net proceeds of</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this offering, and in that case such underwriter would be deemed to have a conflict of</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interest under Rule 5121 (Public Offerings of Securities with Conflicts of Interest) of the</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Financial Industry Regulatory Authority, Inc. (“FINRA Rule 5121”). In the event of any</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such conflict of interest, such underwriter would be required to conduct the distribution of</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the bonds in accordance with FINRA Rule 5121. See “Underwriting (Conflicts of Interest)</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—Conflicts of Interest” in this prospectus supplement.</w:t>
            </w:r>
          </w:p>
        </w:tc>
      </w:tr>
      <w:tr>
        <w:trPr>
          <w:trHeight w:val="441"/>
        </w:trPr>
        <w:tc>
          <w:tcPr>
            <w:tcW w:w="3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Before deciding to invest in any of the bonds, you should carefully consider all of the</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information set forth under “Risk Factors” beginning on page S-11 of this prospectus</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supplement and other information incorporated by reference in this prospectus supplement.</w:t>
            </w:r>
          </w:p>
        </w:tc>
      </w:tr>
      <w:tr>
        <w:trPr>
          <w:trHeight w:val="441"/>
        </w:trPr>
        <w:tc>
          <w:tcPr>
            <w:tcW w:w="3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 Listing of the Bonds</w:t>
            </w: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We do not intend to list the bonds on any securities exchange or seek their quotation on any</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automated dealer quotation system.</w:t>
            </w:r>
          </w:p>
        </w:tc>
      </w:tr>
      <w:tr>
        <w:trPr>
          <w:trHeight w:val="441"/>
        </w:trPr>
        <w:tc>
          <w:tcPr>
            <w:tcW w:w="3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The Bank of New York Mellon Trust Company, N.A. (as successor to Harris Trust and</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Savings Bank)</w:t>
            </w:r>
          </w:p>
        </w:tc>
      </w:tr>
      <w:tr>
        <w:trPr>
          <w:trHeight w:val="172"/>
        </w:trPr>
        <w:tc>
          <w:tcPr>
            <w:tcW w:w="3060" w:type="dxa"/>
            <w:vAlign w:val="bottom"/>
            <w:tcBorders>
              <w:left w:val="single" w:sz="8" w:color="auto"/>
              <w:bottom w:val="single" w:sz="8" w:color="auto"/>
            </w:tcBorders>
          </w:tcPr>
          <w:p>
            <w:pPr>
              <w:spacing w:after="0"/>
              <w:rPr>
                <w:sz w:val="14"/>
                <w:szCs w:val="14"/>
                <w:color w:val="auto"/>
              </w:rPr>
            </w:pPr>
          </w:p>
        </w:tc>
        <w:tc>
          <w:tcPr>
            <w:tcW w:w="7960" w:type="dxa"/>
            <w:vAlign w:val="bottom"/>
            <w:tcBorders>
              <w:bottom w:val="single" w:sz="8" w:color="auto"/>
              <w:right w:val="single" w:sz="8" w:color="auto"/>
            </w:tcBorders>
          </w:tcPr>
          <w:p>
            <w:pPr>
              <w:spacing w:after="0"/>
              <w:rPr>
                <w:sz w:val="14"/>
                <w:szCs w:val="14"/>
                <w:color w:val="auto"/>
              </w:rPr>
            </w:pPr>
          </w:p>
        </w:tc>
      </w:tr>
      <w:tr>
        <w:trPr>
          <w:trHeight w:val="361"/>
        </w:trPr>
        <w:tc>
          <w:tcPr>
            <w:tcW w:w="3060" w:type="dxa"/>
            <w:vAlign w:val="bottom"/>
          </w:tcPr>
          <w:p>
            <w:pPr>
              <w:spacing w:after="0"/>
              <w:rPr>
                <w:sz w:val="24"/>
                <w:szCs w:val="24"/>
                <w:color w:val="auto"/>
              </w:rPr>
            </w:pPr>
          </w:p>
        </w:tc>
        <w:tc>
          <w:tcPr>
            <w:tcW w:w="796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S-9</w:t>
            </w: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02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6998970" cy="40246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29" w:lineRule="exact"/>
        <w:rPr>
          <w:sz w:val="20"/>
          <w:szCs w:val="20"/>
          <w:color w:val="auto"/>
        </w:rPr>
      </w:pPr>
    </w:p>
    <w:p>
      <w:pPr>
        <w:ind w:left="300" w:right="320" w:firstLine="426"/>
        <w:spacing w:after="0" w:line="255" w:lineRule="auto"/>
        <w:rPr>
          <w:sz w:val="20"/>
          <w:szCs w:val="20"/>
          <w:color w:val="auto"/>
        </w:rPr>
      </w:pPr>
      <w:r>
        <w:rPr>
          <w:rFonts w:ascii="Times New Roman" w:cs="Times New Roman" w:eastAsia="Times New Roman" w:hAnsi="Times New Roman"/>
          <w:sz w:val="18"/>
          <w:szCs w:val="18"/>
          <w:color w:val="auto"/>
        </w:rPr>
        <w:t>The following summary of consolidated financial data for the years ended December 31, 2023 through December 31, 2025 has been derived from our audited consolidated financial statements and related notes, incorporated by reference in this prospectus supplement. The following summary of consolidated financial data for each of the three months ended March 31, 2026 and March 31, 2025 has been derived from our unaudited consolidated financial statements and related notes, incorporated by reference in this prospectus supplement. The information set forth below is qualified in its entirety by reference to, and therefore should be read together with, the relevant management’s discussion and analysis of financial condition and results of operations, financial statements and related notes and other financial information incorporated by reference herein.</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4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gridSpan w:val="11"/>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4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revenues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$ 773.1</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3,060.3</w:t>
            </w:r>
          </w:p>
        </w:tc>
        <w:tc>
          <w:tcPr>
            <w:tcW w:w="2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2,107.8</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$ 201.7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Evergy Kansas Central, Inc.</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$ 143.9</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2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Data:</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$ 319.6</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2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(373.8)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(1,176.7)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(1,197.2)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(1,317.3)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flows from (used in) financing activities</w:t>
            </w:r>
          </w:p>
        </w:tc>
        <w:tc>
          <w:tcPr>
            <w:tcW w:w="2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Financial Data:</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$ 153.0</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2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nuclear fuel</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2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(367.8)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(370.1)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(1,298.3)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(1,274.6)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(1,196.8)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80" w:type="dxa"/>
            <w:vAlign w:val="bottom"/>
            <w:tcBorders>
              <w:bottom w:val="single" w:sz="8" w:color="auto"/>
            </w:tcBorders>
          </w:tcPr>
          <w:p>
            <w:pPr>
              <w:spacing w:after="0"/>
              <w:rPr>
                <w:sz w:val="13"/>
                <w:szCs w:val="13"/>
                <w:color w:val="auto"/>
              </w:rPr>
            </w:pPr>
          </w:p>
        </w:tc>
        <w:tc>
          <w:tcPr>
            <w:tcW w:w="47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6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S-10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the bonds is subject to various risks. These risks should be considered carefully with the information provided elsewhere and incorporated by reference in this prospectus supplement and the accompanying prospectus before deciding to invest in the bonds. In addition to the risk factors set forth below, please read the information included or incorporated by reference under “Risk Factors” and “Cautionary Statements Regarding Certain Forward-Looking Information” in this prospectus supplement and our Annual Report on Form 10-K for the year ended December 31, 2025 for a description of additional uncertainties associated with our business, results of operations and financial condition and the forward-looking statements included or incorporated by reference in this prospectus supplement and the accompanying prospectus.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Bonds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Indebtedness — Our indebtedness could adversely affect our ability to fulfill our obligations under the bonds.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consolidated indebtedness and debt service obligations are significant. Our consolidated interest expense was approximately $241.2 million for the year ended December 31, 2025 and $64.2 million for the three months ended March 31, 2026. As of March 31, 2026, our total consolidated long-term debt, including current maturities, was approximately $5.3 billion, excluding debt of variable interest entities, contractual obligations and other commitments. We may incur additional short-term and long-term debt from time to time to finance our construction requirements, pension benefit plan funding requirements, dividends to our parent company, working capital or capital expenditures or for other general corporate purposes, subject to the restrictions contained in our master revolving credit agreement that governs our senior unsecured revolving credit facility and in the mortgage, which governs the bonds being issued hereby, and any other agreements under which we incur debt.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debt could have important consequences to holders of the bonds, including the following:</w:t>
      </w:r>
    </w:p>
    <w:p>
      <w:pPr>
        <w:spacing w:after="0" w:line="131" w:lineRule="exact"/>
        <w:rPr>
          <w:sz w:val="20"/>
          <w:szCs w:val="20"/>
          <w:color w:val="auto"/>
        </w:rPr>
      </w:pPr>
    </w:p>
    <w:p>
      <w:pPr>
        <w:ind w:left="1080" w:right="2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use a substantial portion of our consolidated cash flow from operations to pay principal and interest on our debt, thereby reducing the availability of our consolidated cash flow to fund our construction requirements, pension benefit plan funding requirements, dividends to our parent company, working capital and capital expenditures and for other general corporate purposes;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prevailing interest rates increase, our interest expense could increase because some of our indebtedness bears interest at floating rates;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leverage increases our vulnerability to economic downturns, and adverse competitive and industry conditions could place us at a competitive disadvantage compared to those of our competitors that are less leveraged;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service obligations could limit our flexibility in planning for, or reacting to, changes in our business and our industry and could limit our ability to pursue other business opportunities, borrow more money for operations or raise capital in the future and implement our business strategies.</w:t>
      </w:r>
    </w:p>
    <w:p>
      <w:pPr>
        <w:spacing w:after="0" w:line="280"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color w:val="auto"/>
        </w:rPr>
        <w:t>No Guarantees — Our parent company is not guaranteeing the bonds and you should not rely upon information relating to our parent company in determining whether to invest in the bonds.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described in more detail under “Where You Can Find More Information,” we and our parent company, Evergy, separately file combined annual and quarterly and, at times, combined current reports. However, only the information related to Evergy Kansas Central and its consolidated subsidiaries is incorporated by reference in this prospectus supplement. You should not rely on any information relating solely to Evergy or its subsidiaries (other than Evergy Kansas Central and its subsidiaries) in determining whether to invest in the bonds. The bonds are not guaranteed by Evergy or any of its or our subsidiaries. None of those entities has any obligation to make any capital contribution or distributions or to advance funds to us for the purpose of paying the principal of, or premium, if any, or interest on, the bonds or any other amount that may be required to be paid under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mortgage or the bonds, preventing or curing an event of default under the terms of the mortgage, complying with any other obligation under the mortgage or the bonds or otherwise.</w:t>
      </w:r>
    </w:p>
    <w:p>
      <w:pPr>
        <w:spacing w:after="0" w:line="26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No Prior Market for the bonds — There is no prior market for the bonds, and if a market develops, it may not be liquid and prices of the bonds may vary.</w:t>
      </w:r>
    </w:p>
    <w:p>
      <w:pPr>
        <w:spacing w:after="0" w:line="4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do not intend to list the bonds on any securities exchange or to seek their quotation on any automated dealer quotation system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cannot assure holders of the bonds that any liquid market for the bonds will ever develop or be maintained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underwriters have advised us that they currently intend to make a market in the bonds following this offering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the underwriters have no obligation to make a market in the bonds and, at their sole discretion, they may stop at any time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Further, there can be no assurance as to the liquidity of any market that may develop for the bonds, holders’ ability to sell their bonds or the price at which holders will be able to sell their bonds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Future trading prices of the bonds will depend on many factors, including prevailing interest rates (which have fluctuated in the past and are likely to fluctuate in the future), our financial condition and results of operations, the then-current ratings assigned to the bonds and the market for similar securities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trading market that develops would be affected by many factors independent of and in addition to the foregoing, including:</w:t>
      </w:r>
    </w:p>
    <w:p>
      <w:pPr>
        <w:spacing w:after="0" w:line="92"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remaining to the maturity of the bonds;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amount of the bonds;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related to optional redemption of the bonds;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direction and volatility of market interest rates generally.</w:t>
      </w:r>
    </w:p>
    <w:p>
      <w:pPr>
        <w:spacing w:after="0" w:line="329"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color w:val="auto"/>
        </w:rPr>
        <w:t>Our credit ratings and ratings on the bonds may be decreased, suspended or withdrawn and may not reflect all risks of your investment in the bonds.</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Evergy Kansas Central and certain of its securities are rated by Moody’s Investors Service, Inc. and S&amp;P Global Ratings. There is no assurance that such credit ratings will be issued or remain in effect for any given period of time or that such ratings will not be decreased, suspended or withdrawn entirely by the rating agencies, if, in each rating agency’s judgment, circumstances so warrant. Evergy Kansas Central’s credit ratings could decrease as a result of events directly affecting Evergy and its subsidiaries (other than Evergy Kansas Central and its subsidiaries), even though Evergy is not guaranteeing the bonds and is not generally obligated to provide credit support to us. Holders of bonds will have no recourse against us or any other parties in the event of a change in or suspension or withdrawal of such ratings. Any decrease, suspension or withdrawal of such ratings may have an adverse effect on the market price or marketability of debt securities issued by us, including the bonds.</w:t>
      </w:r>
    </w:p>
    <w:p>
      <w:pPr>
        <w:spacing w:after="0" w:line="18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Evergy Kansas Central’s credit ratings are an assessment by rating agencies of our ability to pay our debts when due. Consequently, real or anticipated changes in our credit ratings will generally affect the market value of the bonds. These credit ratings may not reflect the potential impact of risks relating to the terms or market for the bonds. Credit ratings are not a recommendation to buy, sell or hold any security, and may be revised or withdrawn at any time by the issuing organization. Each rating agency’s rating should be evaluated independently of any other rating agency’s rating.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a Tax Credit Event occurs, we may redeem the bonds.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If a Tax Credit Event occurs, we may redeem at our option the bonds as described under “Description of the Bonds—Right to Redeem for Tax Credit Event.” A “Tax Credit Event” occurs with respect to the bonds if, in our reasonable determination, there exists a material risk, due to the bonds (considered together with other debt) having been issued, as part of an original issuance, to one or more “specified foreign entities,” as defined in Section 7701(a)(51)(B) of the Internal Revenue Code of 1986, as amended (the “Code”), that we or any of our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affiliates would be unable to utilize or otherwise ineligible to claim any tax credits otherwise allowed under Section 38 of the Code. “Specified foreign entities,” as further defined in Section 7701(a)(51)(B) of the Code, generally include, among other entities: (i) the governments of China, Iran, North Korea or Russia or their agencies or instrumentalities, (ii) certain citizens or nationals of such countries, (iii) entities organized under the laws of, or having their principal place of business in, such countries, (iv) entities controlled by any of the above, including certain subsidiaries, measured by more than 50% ownership of stock (by vote or value) in a corporation, profits interests or capital interests in a partnership, or beneficial interests in another entity, (v) certain Chinese military companies described under Section 1260H of the William M. (Mac) Thornberry National Defense Authorization Act for Fiscal Year 2021, (vi) Contemporary Amperex Technology Company (CATL), BYD Company, Envision Energy, EVE Energy Company, Gotion High-tech Company, Hithium Energy Storage Technology Company, or any successor company to the foregoing, (vii) certain companies that violate the Uyghur Forced Labor Prevention Act of 2021 and (viii) entities that the Office of Foreign Assets Control of the Department of the Treasury (“OFAC”) have included on the list of specially designated nationals and blocked persons maintained by OFAC. A redemption of the bonds for this reason would be at a redemption price equal to 101% of the principal amount of the bonds to be redeemed plus accrued and unpaid interest thereon to, but excluding, the redemption date.</w:t>
      </w:r>
    </w:p>
    <w:p>
      <w:pPr>
        <w:spacing w:after="0" w:line="19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a Tax Credit Event occurs, and your bonds are redeemed, such redemption may adversely affect your anticipated return. We may exercise such redemption right when prevailing interest rates are relatively low. As a result, you may not be able to reinvest the redemption proceeds in a comparable security at an interest rate as high as that of the bonds that are redeemed.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net proceeds from this offering, after deducting the underwriting discount and estimated expenses payable by us, will be approximately $        million. We intend to use the net proceeds from this offering to repay at maturity $350,000,000 aggregate principal amount of the 2026 Bonds.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 portion of the net proceeds may be invested temporarily in short-term interest-bearing accounts, securities or similar investments until they are used for their intended purposes.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Certain of the underwriters or their affiliates own some of the 2026 Bonds, the repayment of which would be funded with the net proceeds from this offering. See “Underwriting (Conflicts of Interest)—Conflicts of Interest.”</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000"/>
          </w:cols>
          <w:pgMar w:left="320" w:top="455" w:right="5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THE BONDS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offering $        aggregate principal amount of our First Mortgage Bonds,        % Series due 20  (the “bonds”), which will mature on        , 20  . The bonds will be a separate series of securities issued and secured by the Mortgage and Deed of Trust, dated as of July 1, 1939, between us and The Bank of New York Mellon Trust Company, N.A. (as successor to Harris Trust and Savings Bank), as trustee (the “trustee”), as supplemented and amended (the “mortgage”), including by the Fifty-Fifth Supplemental Indenture, to be dated as of        , 2026. The terms of the bonds include those stated in the mortgage and those made part of the mortgage by reference to the Trust Indenture Act of 1939, as amended. The mortgage provides that we will have the ability to issue securities with terms different from those of the bonds. Copies of the mortgage and the form of bonds are available from us upon request.</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along with the additional information contained in the accompanying prospectus under “Description of First Mortgage Bonds,” is a summary of the material provisions of the mortgage and the bonds. Because this is a summary, it may not contain all the information that is important to you. For further information, you should read the mortgage and the bonds. As used in this section of this prospectus supplement, the terms “we,” “us” and “our” refer solely to Evergy Kansas Central, Inc., and such references do not include any subsidiary of Evergy Kansas Central, Inc.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Basic Terms of the Bonds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bonds:</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secured equally and ratably with all other bonds outstanding or hereafter issued under our mortgage;</w:t>
      </w:r>
    </w:p>
    <w:p>
      <w:pPr>
        <w:sectPr>
          <w:pgSz w:w="11900" w:h="16838" w:orient="portrait"/>
          <w:cols w:equalWidth="0" w:num="1">
            <w:col w:w="11120"/>
          </w:cols>
          <w:pgMar w:left="320" w:top="455" w:right="45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will be issued in an initial aggregate principal amount of $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w:t>
      </w:r>
    </w:p>
    <w:p>
      <w:pPr>
        <w:spacing w:after="0" w:line="188" w:lineRule="exact"/>
        <w:rPr>
          <w:sz w:val="20"/>
          <w:szCs w:val="20"/>
          <w:color w:val="auto"/>
        </w:rPr>
      </w:pPr>
    </w:p>
    <w:p>
      <w:pPr>
        <w:sectPr>
          <w:pgSz w:w="11900" w:h="16838" w:orient="portrait"/>
          <w:cols w:equalWidth="0" w:num="5">
            <w:col w:w="720" w:space="360"/>
            <w:col w:w="4260" w:space="120"/>
            <w:col w:w="60" w:space="120"/>
            <w:col w:w="60" w:space="120"/>
            <w:col w:w="5300"/>
          </w:cols>
          <w:pgMar w:left="320" w:top="455" w:right="4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60"/>
        <w:spacing w:after="0" w:line="258" w:lineRule="auto"/>
        <w:rPr>
          <w:sz w:val="20"/>
          <w:szCs w:val="20"/>
          <w:color w:val="auto"/>
        </w:rPr>
      </w:pPr>
      <w:r>
        <w:rPr>
          <w:rFonts w:ascii="Times New Roman" w:cs="Times New Roman" w:eastAsia="Times New Roman" w:hAnsi="Times New Roman"/>
          <w:sz w:val="18"/>
          <w:szCs w:val="18"/>
          <w:color w:val="auto"/>
        </w:rPr>
        <w:t>will mature on        , 20  , with interest payable semi-annually in arrears on each        and        , beginning on        ,       , to the persons in whose names the bonds are registered at the close of business on the record date for the interest payment date, which will be the close of business on (i) the Business Day (as defined in the mortgage) immediately preceding such interest payment date so long as all of the bonds remain in book-entry only form or (ii) the fifteenth calendar day immediately preceding each interest payment date if any of the bonds do not remain in book-entry only form; and</w:t>
      </w:r>
    </w:p>
    <w:p>
      <w:pPr>
        <w:spacing w:after="0" w:line="89" w:lineRule="exact"/>
        <w:rPr>
          <w:sz w:val="20"/>
          <w:szCs w:val="20"/>
          <w:color w:val="auto"/>
        </w:rPr>
      </w:pPr>
    </w:p>
    <w:p>
      <w:pPr>
        <w:sectPr>
          <w:pgSz w:w="11900" w:h="16838" w:orient="portrait"/>
          <w:cols w:equalWidth="0" w:num="2">
            <w:col w:w="720" w:space="360"/>
            <w:col w:w="10040"/>
          </w:cols>
          <w:pgMar w:left="320" w:top="455" w:right="459" w:bottom="1440" w:gutter="0" w:footer="0" w:header="0"/>
          <w:type w:val="continuous"/>
        </w:sect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issuable in fully-registered book-entry form, in denominations of $2,000 and in multiples of $1,000 in excess thereof.</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bonds will be our secured obligations, equal in right of payment to all other debt currently outstanding or hereafter issued under the mortgage. The mortgage prohibits us from incurring other debt senior or equal to the bonds offered hereby unless certain tests are met. The bonds will be structurally subordinated to the debt of our subsidiaries.</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2026, after giving effect to this offering and the use of proceeds therefrom, we would have had total indebtedness on our consolidated balance sheet of approximately $        billion (excluding intracompany debt, trade payables and debt of variable interest entities). Of this amount, approximately $834.4 million would have been structurally senior to the bonds because our subsidiaries are the obligors under such indebtedness.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Payments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Interest on the bonds will be computed on the basis of a 360-day year consisting of twelve 30-day months. Interest on the bonds will accrue from the date of original issuance, or from the most recent interest payment date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500"/>
        <w:spacing w:after="0" w:line="266" w:lineRule="auto"/>
        <w:rPr>
          <w:sz w:val="20"/>
          <w:szCs w:val="20"/>
          <w:color w:val="auto"/>
        </w:rPr>
      </w:pPr>
      <w:r>
        <w:rPr>
          <w:rFonts w:ascii="Times New Roman" w:cs="Times New Roman" w:eastAsia="Times New Roman" w:hAnsi="Times New Roman"/>
          <w:sz w:val="18"/>
          <w:szCs w:val="18"/>
          <w:color w:val="auto"/>
        </w:rPr>
        <w:t>on which interest has been paid and will be payable semi-annually on the interest payment dates described above. If any date on which interest is payable on the bonds is not a Business Day, then payment of the interest payable on such date will be made on the next succeeding day which is a Business Day (and without any interest or other payment in respect of any such delay), with the same force and effect as if made on such date.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on payment and transfer procedures for the bonds, see “— Book-Entry System”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Prior to        , 20  (the date that is        months prior to the maturity date of the bonds (the “Par Call Date”)), we may redeem the bonds at our option, in whole or in part, at any time and from time to time, at a redemption price (expressed as a percentage of principal amount and rounded to three decimal places) equal to the greater of:</w:t>
      </w:r>
    </w:p>
    <w:p>
      <w:pPr>
        <w:spacing w:after="0" w:line="8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w:t>
      </w:r>
    </w:p>
    <w:p>
      <w:pPr>
        <w:spacing w:after="0" w:line="27" w:lineRule="exact"/>
        <w:rPr>
          <w:sz w:val="20"/>
          <w:szCs w:val="20"/>
          <w:color w:val="auto"/>
        </w:rPr>
      </w:pPr>
    </w:p>
    <w:p>
      <w:pPr>
        <w:ind w:left="1080" w:right="100"/>
        <w:spacing w:after="0" w:line="260" w:lineRule="auto"/>
        <w:rPr>
          <w:sz w:val="20"/>
          <w:szCs w:val="20"/>
          <w:color w:val="auto"/>
        </w:rPr>
      </w:pPr>
      <w:r>
        <w:rPr>
          <w:rFonts w:ascii="Times New Roman" w:cs="Times New Roman" w:eastAsia="Times New Roman" w:hAnsi="Times New Roman"/>
          <w:sz w:val="18"/>
          <w:szCs w:val="18"/>
          <w:color w:val="auto"/>
        </w:rPr>
        <w:t>(assuming the bonds matured on the Par Call Date) on a semi-annual basis (assuming a 360-day year consisting of twelve 30-day months) at the Treasury Rate applicable to the bonds plus        basis points less (b) interest accrued to the redemption date; and</w:t>
      </w:r>
    </w:p>
    <w:p>
      <w:pPr>
        <w:spacing w:after="0" w:line="8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bonds to be redeemed,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excluding, the redemption date.</w:t>
      </w:r>
    </w:p>
    <w:p>
      <w:pPr>
        <w:spacing w:after="0" w:line="225"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On or after the Par Call Date, we may redeem the bonds at our option, in whole or in part, at any time and from time to time, at a redemption price equal to 100% of the principal amount of the bonds to be redeemed, plus accrued and unpaid interest thereon to, but excluding, the redemption date.</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optional redemption provisions, the following term has the following meaning: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us in accordance with the following two paragraphs.</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 — Nominal” (or any successor caption or heading) (“H.15 TCM”). In determining the Treasury Rate, we shall select, as applicable:</w:t>
      </w:r>
    </w:p>
    <w:p>
      <w:pPr>
        <w:spacing w:after="0" w:line="93" w:lineRule="exact"/>
        <w:rPr>
          <w:sz w:val="20"/>
          <w:szCs w:val="20"/>
          <w:color w:val="auto"/>
        </w:rPr>
      </w:pPr>
    </w:p>
    <w:p>
      <w:pPr>
        <w:ind w:left="1080" w:right="6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for the Treasury constant maturity on H.15 exactly equal to the period from the redemption date to the Par Call Date (the “Remaining Life”);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w:t>
      </w:r>
    </w:p>
    <w:p>
      <w:pPr>
        <w:spacing w:after="0" w:line="85" w:lineRule="exact"/>
        <w:rPr>
          <w:rFonts w:ascii="Times New Roman" w:cs="Times New Roman" w:eastAsia="Times New Roman" w:hAnsi="Times New Roman"/>
          <w:sz w:val="18"/>
          <w:szCs w:val="18"/>
          <w:color w:val="auto"/>
        </w:rPr>
      </w:pPr>
    </w:p>
    <w:p>
      <w:pPr>
        <w:ind w:left="1080" w:right="36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Treasury constant maturity on H.15 shorter than or longer than the Remaining Life, the yield for the single Treasury constant maturity on H.15 closest to the Remaining Life. For purposes of this clause, the applicable Treasury constant maturity or maturities on H.15 shall be deemed to have a maturity date equal to the relevant number of months or years, as applicable, of such Treasury constant maturity from the redemption date.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trustee shall have no obligation or duty whatsoever to determine, or to verify our calculations of, the redemption price.</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Notice of any such redemption will be mailed or electronically delivered (or otherwise transmitted in accordance with the depositary’s procedures) at least 10 days but not more than 60 days before the redemption date to each holder of the bonds.</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bonds or portions of the bonds called for redemption.</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bonds that are due and payable on interest payment dates falling on or prior to a redemption date will be payable on the interest payment date to the registered holders as of the close of business on the relevant record date according to the bonds and the mortgage.</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Any notice to holders of the bonds of a redemption shall state, among other things, the redemption price and date. A notice of redemption may provide that the optional redemption described in such notice is conditioned upon the occurrence of certain events before the redemption date. Such notice of conditional redemption will be of no effect unless all such conditions to the redemption have occurred before the redemption date or have been waived by us. If any of these events fail to occur and are not waived by us, we will be under no obligation to redeem the bonds or pay the holders any redemption proceeds and our failure to so redeem the bonds will not be considered a default or event of default under the mortgage. In the event that any of these conditions fail to occur or are not waived by us, we will promptly notify the trustee in writing that the conditions precedent to such redemption have failed to occur and the bonds will not be redeemed.</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we redeem less than all of the outstanding bonds, the bonds to be redeemed will be selected in accordance with the policies and procedures of The Depository Trust Company (or any successor depositary thereto) (“DTC”), provided that in the event the bonds are no longer held in global form through DTC, the bonds to be redeemed will be selected by the trustee by lot. We will not be responsible for giving notice of a redemption of the bonds to anyone other than DTC.</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Subject to the foregoing and to applicable law (including, without limitation, United States federal securities laws), we or our affiliates may, at any time and from time to time, purchase outstanding bonds by tender, in the open market or by private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 to Redeem for Tax Credit Event</w:t>
      </w:r>
    </w:p>
    <w:p>
      <w:pPr>
        <w:spacing w:after="0" w:line="121" w:lineRule="exact"/>
        <w:rPr>
          <w:sz w:val="20"/>
          <w:szCs w:val="20"/>
          <w:color w:val="auto"/>
        </w:rPr>
      </w:pPr>
    </w:p>
    <w:p>
      <w:pPr>
        <w:ind w:left="120" w:right="220" w:firstLine="440"/>
        <w:spacing w:after="0" w:line="272" w:lineRule="auto"/>
        <w:rPr>
          <w:sz w:val="20"/>
          <w:szCs w:val="20"/>
          <w:color w:val="auto"/>
        </w:rPr>
      </w:pPr>
      <w:r>
        <w:rPr>
          <w:rFonts w:ascii="Times New Roman" w:cs="Times New Roman" w:eastAsia="Times New Roman" w:hAnsi="Times New Roman"/>
          <w:sz w:val="17"/>
          <w:szCs w:val="17"/>
          <w:color w:val="auto"/>
        </w:rPr>
        <w:t>If a Tax Credit Event (as defined below) occurs, we may redeem, upon the sending of a notice of redemption to the holders, the bonds, in whole but not in part, at a redemption price equal to 101% of the principal amount of the bonds being redeemed plus accrued and unpaid interest to, but excluding, the redemption date. A notice of redemption of the bonds upon the occurrence of a Tax Credit Event (i) may only be sent by the later of</w:t>
      </w:r>
    </w:p>
    <w:p>
      <w:pPr>
        <w:spacing w:after="0" w:line="2" w:lineRule="exact"/>
        <w:rPr>
          <w:sz w:val="20"/>
          <w:szCs w:val="20"/>
          <w:color w:val="auto"/>
        </w:rPr>
      </w:pPr>
    </w:p>
    <w:p>
      <w:pPr>
        <w:ind w:left="120" w:right="120" w:hanging="4"/>
        <w:spacing w:after="0" w:line="260" w:lineRule="auto"/>
        <w:tabs>
          <w:tab w:leader="none" w:pos="3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calendar year in which the bonds were issued and (b) six months from the date of issuance of the bonds and (ii) shall be accompanied by a certificate from one of our officers stating that such Tax Credit Event has occurred.</w:t>
      </w:r>
    </w:p>
    <w:p>
      <w:pPr>
        <w:spacing w:after="0" w:line="18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consummation of a redemption upon a Tax Credit Event may be subject to the trustee’s receipt of the required redemption moneys on or before the redemption date (and in such case no such redemption shall occur unless such moneys have been received by the trustee on or before such date).</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 “Tax Credit Event” occurs with respect to the bonds if, in our reasonable determination, there exists a material risk, due to the bonds (considered together with other debt) having been issued, as part of an original issuance, to one or more “specified foreign entities,” as defined in Section 7701(a)(51)(B) of the Code, that we or any of our affiliates would be unable to utilize or otherwise ineligible to claim any tax credits otherwise allowed under Section 38 of the Code.</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Notice of any such redemption will be mailed or electronically delivered (or otherwise transmitted in accordance with the depositary’s procedures) at least 10 days but not more than 60 days before the redemption date to each holder of the bonds.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Mandatory Redemption or 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will be no mandatory redemption prior to maturity or sinking fund payments for the bonds.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Reopening of Bond Series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may, without the consent of the holders of the bonds offered hereby, issue additional bonds ranking equally with the bonds of any series under the mortgage then outstanding, including the bonds offered hereby, having dates, maturities, interest rates, redemption prices and other terms as our board of directors may determine only if certain conditions in the mortgage are satisfied. See “—Amendments to Mortgage—Issuance of Additional Bonds” below.</w:t>
      </w:r>
    </w:p>
    <w:p>
      <w:pPr>
        <w:spacing w:after="0" w:line="180"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Subject to the limits contained in the mortgage, we may, from time to time, at our option and without the consent of any holder of the bonds offered hereby, reopen this series for the issuance of additional first mortgage bonds, on the same terms and conditions (other than the issue date, the date and amount of the first interest payment, the issue price and any other changes required by law), in each case, as the bonds being offered by this prospectus supplement. We do not plan to inform the existing holders if we reopen a series of first mortgage bonds to issue and sell additional first mortgage bonds of such series in the future. Additional first mortgage bonds issued in this way will be consolidated with and form a single series with the series of bonds being offered by this prospectus supplement, provided that if any such additional first mortgage bonds are not fungible for U.S. federal income tax purposes with the bonds offered hereby, such additional first mortgage bonds will be issued under a separate CUSIP number.</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of May 31, 2026, approximately $2.5 billion principal amount of additional first mortgage bonds could be issued under the most restrictive provisions of the mortgage, without giving effect to the issuance of the bonds offered hereby and the use of proceeds described under “Use of Proceeds” in this prospectus supplement.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 to Mortgage</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Pursuant to the Fifty-Fourth Supplemental Indenture to the mortgage, dated as of November 25, 2025, between us and the trustee, certain amendments to the mortgage were effectuated (the “Mortgage Amendments”).</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Mortgage Amendments are generally described under “Description of First Mortgage Bonds” in the accompanying prospectus, including in the third and fourth paragraphs (other than, with some exceptions, clause (5) of the fourth paragraph) under “—Modification of the Mortgage” therein. As a result of the Mortgage Amendments, the three sections set forth below replace and supersede in their entireties the corresponding sections in the accompanying prospectus.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Issuance of Additional Bonds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bonds, when issued, may rank equally with the bonds of other series then outstanding, and may be issued having dates, maturities, interest rates, redemption prices and other terms as may be determined by our board of directors. Additional bonds may be issued under the mortgage in principal amounts not exceeding the sum of:</w:t>
      </w:r>
    </w:p>
    <w:p>
      <w:pPr>
        <w:spacing w:after="0" w:line="81"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of the net bondable value of property additions not subject to an unfunded prior lien;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bonds retired or to be retired (except out of trust monies); and</w:t>
      </w:r>
    </w:p>
    <w:p>
      <w:pPr>
        <w:spacing w:after="0" w:line="130"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deposited with the trustee for such purpose, which may thereafter be withdrawn upon the same basis that additional bonds are issuable under clause (1) or (2) above.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bonds may not be issued on the basis of property additions subject to an unfunded prior lien.</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Release and Substitution of Property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mortgage provides that, subject to various limitations, property may be released from the lien thereof on the basis of cash deposited with the trustee, bonds or purchase money obligations delivered to the trustee, prior lien bonds delivered to the trustee, or unfunded net property additions certified to the trustee. The mortgage also permits the withdrawal of cash against the certification to the trustee of gross property additions at 100%, or the net bondable value of property additions at 70%, or the deposit with the trustee of bonds we have acquired. The mortgage contains special provisions with respect to the release of all or substantially all of our gas and electric properties.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mortgage also permits (1) the release from the lien of the mortgage of any mortgaged property if the fair value of all of the property constituting the trust estate (excluding the mortgaged property to be released but including any mortgaged property to be acquired by us with the proceeds of, or otherwise in connection with, such release) equals or exceeds an amount equal to 10/7ths of the aggregate principal amount of outstanding bonds and any prior lien bonds outstanding at the time of such release and (2) in the event we are unable to obtain a release of property as described in clause (1), the release from the lien of the mortgage of any property constituting part of the trust estate if the fair value thereof is less than 1/2 of 1% of the aggregate principal amount of bonds and prior lien bonds outstanding at the time of such release; provided, that the aggregate fair value of the property released pursuant to this clause (2) in any period of 12 consecutive calendar months shall not exceed 1% of such bonds and prior lien bonds.</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under the mortgage includes:</w:t>
      </w:r>
    </w:p>
    <w:p>
      <w:pPr>
        <w:spacing w:after="0" w:line="131" w:lineRule="exact"/>
        <w:rPr>
          <w:sz w:val="20"/>
          <w:szCs w:val="20"/>
          <w:color w:val="auto"/>
        </w:rPr>
      </w:pPr>
    </w:p>
    <w:p>
      <w:pPr>
        <w:jc w:val="center"/>
        <w:ind w:left="5460" w:right="560" w:hanging="4804"/>
        <w:spacing w:after="0" w:line="454" w:lineRule="auto"/>
        <w:tabs>
          <w:tab w:leader="none" w:pos="109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any bond when the same shall become due and payable, whether at maturity or otherwise; S-19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continuing for 30 days in the payment of any installment of interest on any bond or in the payment or satisfaction of any sinking fund obligation;</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performance or observance of any other covenant, agreement or condition in the mortgage continuing for a period of 60 days after written notice to us thereof by the trustee or by the holders of not less than 15% of the aggregate principal amount of all bonds then outstanding;</w:t>
      </w:r>
    </w:p>
    <w:p>
      <w:pPr>
        <w:spacing w:after="0" w:line="81"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any prior lien bond when the same shall become due and payable, whether at maturity or otherwise, or default in the payment of any installment on interest on any prior lien bond beyond the applicable grace period specific in such prior lien bond;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 bankruptcy, insolvency or reorganization.</w:t>
      </w:r>
    </w:p>
    <w:p>
      <w:pPr>
        <w:spacing w:after="0" w:line="225"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The trustee is required, within 90 days after the occurrence thereof, to give to the holders of the bonds notice of all defaults known to the trustee unless such defaults shall have been cured before the giving of such notice (the term “defaults” for such purposes being defined to be the events specified above, not including any grace periods); provided, however, that except in the case of default in the payment of the principal of, and premium, if any, or interest (including additional interest) on, any of the bonds, or in the payment or satisfaction of any sinking or purchase fund installment, the trustee shall be protected in withholding notice if and so long as the trustee in good faith determines that the withholding of notice is in the interests of the holders of the bonds and, in the case of any default specified in the third bullet point above, no notice shall be given until at least 60 days after the occurrence thereof with respect to future series of bonds. The trustee is under no obligation to defend or initiate any action under the mortgage which would result in the incurring of non-reimbursable expenses unless one or more of the holders of any of the outstanding bonds furnishes the trustee with a reasonable indemnity against such expenses. In the event of a default, the trustee is not required to act unless requested to act by holders of at least 25% in aggregate principal amount of the bonds then outstanding. In addition, a majority of the holders of the bonds have the right to direct all proceedings under the mortgage provided the trustee is indemnified to its satisfaction.</w:t>
      </w:r>
    </w:p>
    <w:p>
      <w:pPr>
        <w:spacing w:after="0" w:line="192" w:lineRule="exact"/>
        <w:rPr>
          <w:sz w:val="20"/>
          <w:szCs w:val="20"/>
          <w:color w:val="auto"/>
        </w:rPr>
      </w:pPr>
    </w:p>
    <w:p>
      <w:pPr>
        <w:ind w:left="120" w:right="120" w:firstLine="991"/>
        <w:spacing w:after="0" w:line="253" w:lineRule="auto"/>
        <w:rPr>
          <w:sz w:val="20"/>
          <w:szCs w:val="20"/>
          <w:color w:val="auto"/>
        </w:rPr>
      </w:pPr>
      <w:r>
        <w:rPr>
          <w:rFonts w:ascii="Times New Roman" w:cs="Times New Roman" w:eastAsia="Times New Roman" w:hAnsi="Times New Roman"/>
          <w:sz w:val="18"/>
          <w:szCs w:val="18"/>
          <w:color w:val="auto"/>
        </w:rPr>
        <w:t>If an event of default shall have happened and be continuing, the trustee may, in its discretion and, upon written request of not less than 25% of the bondholders, shall by notice in writing delivered to us declare the principal amount of all bonds, if not already due and payable, to be immediately due and payable; and upon any such declaration, all bonds shall become and be immediately due and payable. This provision, however, is subject to the condition that, if at any time after the principal of the bonds shall have been so declared due and payable and prior to the date of maturity thereof as stated in the bonds and before any sale of the trust estate shall have been made, all arrears of interest upon all such bonds (with interest at the rate specified in such bonds on any overdue installment of interest and the expenses of the trustee, its agents and attorneys) shall either be paid by us or be collected and paid out of the trust estate, and defaults as aforesaid (other than the payment of principal which has been so declared due and payable) shall have been made good or secured to the satisfaction of the trustee or provision deemed by the trustee to be adequate shall be made therefor, then, and in every such case, a majority of the bondholders may waive such default and its consequences and rescind such declaration; but no such waiver shall extend to or affect any subsequent default or impair or exhaust any right or power consequent thereon.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Substitution of Bonds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or any successor entity will have the right to substitute mortgage bonds or other similar secured instruments for the bonds offered hereby, provided that (1) such substitute mortgage bonds or other similar secured instruments have terms that are (x) identical to those of the bonds offered hereby as to principal amount then outstanding and the then current interest rate, maturity date, interest payment dates and optional redemption provisions and (y) otherwise substantially similar to those of the bonds offered hereby and carry ratings equal to or better than the then current ratings of the bonds offered hereby, (2) we deliver to the trustee an opinion of counsel that such substitution will not result in the recognition of capital gain or loss for U.S. federal income tax</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purposes to the holders of the bonds offered hereby and (3) we deliver certain other certificates and documents, as required by the supplemental indenture to the mortgage related to the bonds offered hereby to the trustee.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Upon issuance, the bonds will be represented by one or more global securities deposited with, or on behalf of, DTC, as depositary. The global securities representing the bonds will be registered in the name of the depositary or its nominee. Except under the circumstances described in the accompanying prospectus under “Book-Entry System,” the bonds will not be issuable in definitive form. So long as the bonds are represented by one or more global securities, the depositary or its nominee will be considered the sole owner or holder of such bonds for all purposes under the mortgage, and the beneficial owners of such bonds will be entitled only to those rights and benefits afforded to them in accordance with the depositary’s regular operating procedures. The depositary has confirmed to us, the underwriters and the trustee that it intends to follow such procedures with respect to the bonds. A further description of the depositary’s procedures with respect to global securities is set forth in the accompanying prospectus under “Book-Entry System.”</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Clearance and Settlement Procedures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Secondary market trading between Clearstream Banking S.A. (“Clearstream”) participants or Euroclear Bank SA/NV, as operator of the Euroclear System (“Euroclear”) participants will occur in the ordinary way in accordance with the applicable rules and operating procedures of Clearstream and Euroclear, as applicable.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Because of time-zone differences, credits of bonds received in Clearstream or Euroclear as a result of a transaction with a DTC participant will be made during subsequent securities settlement processing and dated the business day following the DTC settlement date. Such credits or any transactions in such bonds settled during such processing will be reported to the relevant Euroclear participant or Clearstream participant on such business day. Cash received in Clearstream or Euroclear as a result of sales of the bonds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We and our affiliates maintain corporate trust and other banking relationships (including borrowing) with The Bank of New York Mellon Trust Company, N.A. and its affiliates. In addition, BNY Mellon Capital Markets, LLC, one of the underwriters for this offering, is an affiliate of the trustee.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discussion summarizes certain material U.S. federal income tax considerations that may be relevant to the purchase, ownership and disposition of the bonds. This discussion does not address all aspects of taxation that may be relevant to a particular holder of the bonds in light of the holder’s personal investment or tax circumstances, or to certain types of holders that are subject to special treatment under the U.S. federal income tax laws, such as:</w:t>
      </w:r>
    </w:p>
    <w:p>
      <w:pPr>
        <w:spacing w:after="0" w:line="85"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foreign currency;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thrifts;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have elected the mark-to-market method of accounting for their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the bonds as part of a “straddle,” a “hedge,” a “constructive sale” transaction, or a “conversion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U.S. long-term residents or expatriates;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plans;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that have a “functional currency” other than the U.S. dollar or that hold bonds through a non-U.S. broker or other non-U.S. intermediary;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the bonds in connection with employment or other performance of services;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for U.S. federal income tax purposes to conform the timing of accruals with respect to the bonds to their financial statements; and</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other entities or arrangements treated as partnerships for U.S. federal income tax purposes) and investors in such partnerships (or such other pass-through entities or arrangements).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summary assumes that the bonds are held as capital assets within the meaning of Section 1221 of the Internal Revenue Code of 1986, as amended (the “Code”), for U.S. federal income tax purposes, which generally means property held for investment. In addition, this discussion only addresses the U.S. federal income tax consequences to initial investors that purchase the bonds for cash, at their original issue price, and does not discuss the tax consequences for subsequent purchasers of the bonds. It does not consider any tax consequences arising out of U.S. federal gift, generation-skipping, estate or any other U.S. federal tax laws other than U.S. federal income tax laws, under the tax laws of any foreign, state, local or other jurisdiction or any income tax treaty.</w:t>
      </w:r>
    </w:p>
    <w:p>
      <w:pPr>
        <w:spacing w:after="0" w:line="187"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If a partnership, including, for purposes of this discussion, any entity or arrangement that is treated as a partnership for U.S. federal income tax purposes, holds the bonds, the treatment of a partner in the partnership will generally depend on the status of the partner and the activities of the partnership. If you are a partnership that is considering purchasing bonds (or a partner in such partnership), you should consult with your tax advisor.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This discussion is based upon the Code, applicable Treasury regulations promulgated thereunder, judicial authority and administrative interpretations as of the date hereof, all of which are subject to change or different interpretation, possibly with retroactive effect. There can be no assurance that the Internal Revenue Service (the “IRS”) will not challenge one or more of the tax consequences described herein and we have not obtained, nor do we intend to obtain, a ruling from the IRS with respect to the U.S. federal income tax consequences of the purchase, ownership and disposition of the bonds.</w:t>
      </w:r>
    </w:p>
    <w:p>
      <w:pPr>
        <w:spacing w:after="0" w:line="183"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We urge you to consult your own tax advisor about the particular U.S. federal, state, local and foreign tax consequences of the purchase, ownership and disposition of the bonds and the application of the U.S. federal income tax laws to your particular situation.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 “U.S. holder” is a beneficial owner of bonds that, for U.S. federal income tax purposes, is not a partnership or other pass-through entity or arrangement that is treated as a partnership (which, as indicated above, we do not address herein) and is:</w:t>
      </w:r>
    </w:p>
    <w:p>
      <w:pPr>
        <w:spacing w:after="0" w:line="67"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under the laws of the United States, any of its states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if (1) a court within the United States is able to exercise primary supervision over the administration of such trust and one or more United States persons (as defined in the Code) have the authority to control all substantial decisions of the trust or (2) it has a valid election in place to be treated as a United States person.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Contingent Payments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If we exercise our right to redeem the bonds, we may be obligated to redeem the bonds at a redemption price in excess of the stated principal thereof and interest thereon as described under “Description of the Bonds – Optional Redemption” and “– Right to Redeem for Tax Credit Event” herein. We intend to take the position that the likelihood that we will be required to make such payments is remote as of the issue date of the bonds and therefore that these provisions do not cause the bonds to be treated as “contingent payment debt instruments” for U.S. federal income tax purposes within the meaning of the applicable Treasury regulations. Assuming this position is respected, you would be required to include in income such additional amounts at the time the payments are received or accrued in accordance with your method of accounting for U.S. federal income tax purposes.</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determination that the bonds are not contingent payment debt instruments is not binding on the IRS. If the IRS were to successfully challenge our determination and the bonds were treated as contingent payment debt instruments, you would be required, among other things, to accrue interest income at a rate higher than the stated interest rate on the bonds regardless of your method of tax accounting and to treat as ordinary income, rather than capital gain, any gain recognized on a sale, exchange or redemption of a bond. Our determination that the bonds are not contingent payment debt instruments is binding on you unless you disclose your contrary position to the IRS in the manner that is required by applicable Treasury regulations. The remainder of this discussion assumes that the bonds are not treated as contingent payment debt instruments.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the bonds are issued at a discount from their stated redemption price at maturity, it is expected, and this discussion assumes, that any such discount will be less than the statutorily defined de minimis amount. Accordingly, stated interest on the bonds generally will be taxable to a U.S. holder as ordinary interest income at the time such interest is received or accrued in accordance with the U.S. holder’s regular method of accounting for U.S. federal income tax purposes.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 of Bonds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U.S. holder will generally recognize taxable gain or loss on the sale, exchange, redemption, retirement or other taxable disposition of a bond. The amount of the U.S. holder’s gain or loss will equal the difference between the amount of cash and the fair market value of any other property received by the U.S. holder in exchange for the bond (except to the extent such amount represents accrued but unpaid interest, which will be treated as ordinary interest income to the extent the U.S. holder has not previously included the accrued interest in gross income) minus the U.S. holder’s tax basis in the bond. The U.S. holder’s tax basis in a bond generally will be the price the U.S. holder paid for the bond. Any such gain or loss on a taxable disposition of a bond, as described above, will generally constitute capital gain or loss and will be long-term capital gain or loss if the U.S. holder has held such bond for more than one year at the time of disposition. Under current U.S. federal income tax law, net long-term capital gains of certain non-corporate U.S. holders (including individuals) are eligible for taxation at preferential rates. The deductibility of capital losses against ordinary income is subject to limitations. Each U.S. holder is urged to consult its tax advisor regarding the deductibility of capital losses in its particular situation.</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Tax</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Certain U.S. holders that are individuals, estates or trusts are subject to a 3.8% tax on all or a portion of their “net investment income,” which generally will include interest and gain on a sale in respect of the bonds, subject to certain exceptions. Each U.S. holder is urged to consult its tax advisor regarding the applicability of the net investment income tax to its income and gains in respect of its investment in the bonds.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Payments of principal and interest made by us on, or the proceeds of the sale or other disposition of, the bonds generally will be subject to information reporting requirements unless the U.S. holder is an exempt recipient, such as a corporation, and, if required, demonstrates its status as an exempt recipient. In addition, such payments generally will be subject to U.S. federal backup withholding tax, currently at a rate of 24%, unless the U.S. holder supplies a taxpayer identification number, certified under penalties of perjury, as well as certain other information, or otherwise establishes an exemption from backup withholding. 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A “Non-U.S. holder” is a beneficial owner of bonds that is neither (i) a U.S. holder nor (ii) a partnership or other pass-through entity or arrangement that is treated as a partnership for U.S. federal income tax purposes (which, as indicated above, we do not address herein).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Payments on the Bonds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discussions below concerning backup withholding and FATCA (as defined below) withholding, payments of interest on a bond to any Non-U.S. holder will generally not be subject to U.S. federal income or withholding tax, provided that the interest is not effectively connected with a U.S. trade or business conducted by the Non-U.S. holder and the Non-U.S. holder is not (and, if so requested by the paying agent, certifies that it is not):</w:t>
      </w:r>
    </w:p>
    <w:p>
      <w:pPr>
        <w:spacing w:after="0" w:line="85"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constructive owner of 10% or more of the total voting power of all our voting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 related (directly or indirectly) to us through stock ownership; or</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receiving interest on an extension of credit made pursuant to a loan agreement with us entered into in the ordinary course of its trade or business;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or our paying agent, receive:</w:t>
      </w:r>
    </w:p>
    <w:p>
      <w:pPr>
        <w:spacing w:after="0" w:line="131" w:lineRule="exact"/>
        <w:rPr>
          <w:sz w:val="20"/>
          <w:szCs w:val="20"/>
          <w:color w:val="auto"/>
        </w:rPr>
      </w:pPr>
    </w:p>
    <w:p>
      <w:pPr>
        <w:ind w:left="1080" w:right="2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Non-U.S. holder, a properly completed IRS Form W-8BEN or W-8BEN-E (or substitute IRS Form W-8BEN or W-8BEN-E or the appropriate successor form), signed under penalties of perjury, which provides the Non-U.S. holder’s name and address and certifies that the Non-U.S. holder of the bond is not a United States person (as defined in the Code); or</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 securities clearing organization, bank or other financial institution that holds the bonds in the ordinary course of its trade or business (a “financial institution”) on behalf of the Non-U.S. holder, certification under penalties of perjury that such an IRS Form W-8BEN or W-8BEN-E (or substitute IRS Form W-8BEN or W-8BEN-E or the appropriate successor form) has been received by it, or by another such financial institution, from the Non-U.S. holder, and a copy of the IRS Form W-8BEN or W-8BEN-E (or substitute IRS Form W-8BEN or W-8BEN-E or the appropriate successor form) is furnished to the payor.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Special rules may apply to holders that hold bonds through “qualified intermediaries” within the meaning of U.S. federal income tax laws.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interest on a bond is effectively connected with the conduct by a Non-U.S. holder of a trade or business in the United States and, if the Non-U.S. holder is entitled to the benefits under an applicable tax treaty, is attributable to a permanent establishment or a fixed base in the United States, then such income generally will be subject to U.S. federal income tax on a net income basis at the rates applicable to United States persons generally (and, if realized by corporate Non-U.S. holders, may also be subject to a branch profits tax at 30% or such lower rate as may be available pursuant to an applicable income tax treaty). If interest is subject to U.S. federal income tax on a net income basis in accordance with the rules described in the preceding sentence, payments of such interest will not be subject to U.S. federal withholding tax so long as the holder provides us or the paying agent with a properly completed IRS Form W-8ECI.</w:t>
      </w:r>
    </w:p>
    <w:p>
      <w:pPr>
        <w:spacing w:after="0" w:line="189" w:lineRule="exact"/>
        <w:rPr>
          <w:sz w:val="20"/>
          <w:szCs w:val="20"/>
          <w:color w:val="auto"/>
        </w:rPr>
      </w:pPr>
    </w:p>
    <w:p>
      <w:pPr>
        <w:ind w:left="120" w:right="420" w:firstLine="440"/>
        <w:spacing w:after="0" w:line="258" w:lineRule="auto"/>
        <w:rPr>
          <w:sz w:val="20"/>
          <w:szCs w:val="20"/>
          <w:color w:val="auto"/>
        </w:rPr>
      </w:pPr>
      <w:r>
        <w:rPr>
          <w:rFonts w:ascii="Times New Roman" w:cs="Times New Roman" w:eastAsia="Times New Roman" w:hAnsi="Times New Roman"/>
          <w:sz w:val="18"/>
          <w:szCs w:val="18"/>
          <w:color w:val="auto"/>
        </w:rPr>
        <w:t>A Non-U.S. holder that does not qualify for an exemption from withholding under the preceding paragraphs generally will be subject to withholding of U.S. federal income tax at the rate of 30% (or lower applicable treaty rate if the Non-U.S. holder qualifies for such applicable treaty benefit and certifies such qualification by providing an IRS Form W-8BEN or W-8BEN-E) on payments of interest on the bonds. We will not be obligated to make any “gross up” or additional payments in respect of amounts withheld on the bonds if we determine that we must so withhold in respect of the amounts described above.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Non-U.S. holders may be required to periodically update their IRS forms.</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Non-U.S. holders should consult their tax advisors concerning certification requirements and about any applicable income tax treaties, which may provide for an exemption from or a lower rate of withholding tax, exemption from or reduction of branch profits tax, or other rules different from those described above.</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 of Bonds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discussions of backup withholding and FATCA withholding below, any gain realized by a Non-U.S. holder on the sale, exchange, redemption, retirement or other disposition of a bond generally will not be subject to U.S. federal income tax, unless:</w:t>
      </w:r>
    </w:p>
    <w:p>
      <w:pPr>
        <w:spacing w:after="0" w:line="67" w:lineRule="exact"/>
        <w:rPr>
          <w:sz w:val="20"/>
          <w:szCs w:val="20"/>
          <w:color w:val="auto"/>
        </w:rPr>
      </w:pPr>
    </w:p>
    <w:p>
      <w:pPr>
        <w:ind w:left="1080" w:right="30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gain is effectively connected with the Non-U.S. holder’s conduct of a trade or business in the United States and, if the Non-U.S. holder is entitled to the benefits under an applicable tax treaty, is attributable to a permanent establishment or a fixed base in the United States; or</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in the taxable year of such disposition (as determined under the Code) and certain other conditions are satisfied.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first bullet point applies, the Non-U.S. holder generally will be subject to U.S. federal income tax with respect to such gain in the same manner as U.S. holders, as described above, unless an applicable income tax treaty provides otherwise. In addition, if such Non-U.S. holder is classified as a corporation, such Non-U.S. holder may also be subject to the branch profits tax described above. If the second bullet point applies, the Non-U.S. holder generally will be subject to U.S. federal income tax at a rate of 30% (or at a reduced rate under an applicable income tax treaty) on the amount by which capital gains from U.S. sources (including gains from the sale, exchange, redemption, retirement or other disposition of the bonds) exceed capital losses allocable to U.S. sources arising in the taxable year.</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Gain realized on a disposition of a bond will not include amounts that represent accrued but unpaid interest, which will be treated as described under “—Payments on the Bonds” herein.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Payments of interest to a Non-U.S. holder generally will be reported to the IRS and to the Non-U.S. holder. Copies of applicable IRS information returns may be made available under the provisions of a specific tax treaty or agreement to the tax authorities of the country in which the Non-U.S. holder resides. Non-U.S. holders are generally exempt from backup withholding, currently at a rate of 24%, and additional information reporting on payments of principal, premium (if any), or interest on a bond and the payment of proceeds from the sale of a bond, provided that the Non-U.S. holder</w:t>
      </w:r>
    </w:p>
    <w:p>
      <w:pPr>
        <w:spacing w:after="0" w:line="3" w:lineRule="exact"/>
        <w:rPr>
          <w:sz w:val="20"/>
          <w:szCs w:val="20"/>
          <w:color w:val="auto"/>
        </w:rPr>
      </w:pPr>
    </w:p>
    <w:p>
      <w:pPr>
        <w:ind w:left="120" w:right="160" w:hanging="4"/>
        <w:spacing w:after="0" w:line="255" w:lineRule="auto"/>
        <w:tabs>
          <w:tab w:leader="none" w:pos="3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its nonresident status on the appropriate IRS form (or a suitable substitute form) and certain other conditions are met or (b) otherwise establishes an exemption. Backup withholding is not an additional tax. Any backup withholding generally will be allowed as a credit or refund against the Non-U.S. holder’s U.S. federal income tax liability provided that the required information is timely furnished to the IRS.</w:t>
      </w: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FATCA Withholding</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Foreign Account Tax Compliance Act provisions of the Code and related Treasury guidance (“FATCA”), a U.S. federal withholding tax of 30% will be imposed in certain circumstances on payments of interest on the bonds.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a bond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We will not be obligated to make any “gross up” or additional payments in respect of amounts withheld on the bonds if we determine that we must so withhold in order to comply with FATCA in respect of the amounts described above.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current provisions of the Code, FATCA withholding tax also can apply to payments of the gross proceeds from a sale or other disposition of obligations that produce U.S.-source interest, such as the bonds. Treasury regulations have been proposed, however, that would eliminate FATCA withholding tax on such gross proceeds. According to the preamble to such proposed Treasury regulations, taxpayers generally may rely on the proposed Treasury regulations until final Treasury regulations are issued (which regulations could be subject to change).</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Prospective purchasers of the bonds should consult their own tax advisors regarding the application of FATCA to the purchase, ownership and disposition of bonds in their particular circumstances.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intend to offer the bonds through the underwriters named below. Subject to the terms and conditions contained in an underwriting agreement, we have agreed to sell to the underwriters, for whom Barclays Capital Inc., BNY Mellon Capital Markets, LLC, Goldman Sachs &amp; Co. LLC and U.S. Bancorp Investments, Inc. are acting as representatives, and the underwriters have agreed to purchase from us, severally and not jointly, the principal amount of the bonds listed opposite their names below.</w:t>
      </w:r>
    </w:p>
    <w:p>
      <w:pPr>
        <w:spacing w:after="0" w:line="200"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6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Principal Amount</w:t>
            </w:r>
          </w:p>
        </w:tc>
      </w:tr>
      <w:tr>
        <w:trPr>
          <w:trHeight w:val="203"/>
        </w:trPr>
        <w:tc>
          <w:tcPr>
            <w:tcW w:w="4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Barclays Capital Inc.</w:t>
            </w:r>
          </w:p>
        </w:tc>
        <w:tc>
          <w:tcPr>
            <w:tcW w:w="18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BNY Mellon Capital Markets, LLC</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18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gridSpan w:val="2"/>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have agreed to purchase all of the bonds sold pursuant to the underwriting agreement if any of these bonds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bonds, subject to prior sale, when, as and if issued to and accepted by them, subject to approval of legal matters by their counsel, including the validity of the bonds,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4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06"/>
        </w:trPr>
        <w:tc>
          <w:tcPr>
            <w:tcW w:w="3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6"/>
              </w:rPr>
              <w:t>We will pay the underwriters a discount of </w:t>
            </w:r>
          </w:p>
        </w:tc>
        <w:tc>
          <w:tcPr>
            <w:tcW w:w="72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9"/>
              </w:rPr>
              <w:t>         % per bond. The following table shows the total underwriting discount that we are to pay to</w:t>
            </w:r>
          </w:p>
        </w:tc>
      </w:tr>
      <w:tr>
        <w:trPr>
          <w:trHeight w:val="234"/>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underwriters in connection with this offering.</w:t>
            </w:r>
          </w:p>
        </w:tc>
        <w:tc>
          <w:tcPr>
            <w:tcW w:w="4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91"/>
        </w:trPr>
        <w:tc>
          <w:tcPr>
            <w:tcW w:w="17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 by Us</w:t>
            </w:r>
          </w:p>
        </w:tc>
      </w:tr>
      <w:tr>
        <w:trPr>
          <w:trHeight w:val="210"/>
        </w:trPr>
        <w:tc>
          <w:tcPr>
            <w:tcW w:w="1760" w:type="dxa"/>
            <w:vAlign w:val="bottom"/>
          </w:tcPr>
          <w:p>
            <w:pPr>
              <w:spacing w:after="0"/>
              <w:rPr>
                <w:sz w:val="18"/>
                <w:szCs w:val="18"/>
                <w:color w:val="auto"/>
              </w:rPr>
            </w:pPr>
          </w:p>
        </w:tc>
        <w:tc>
          <w:tcPr>
            <w:tcW w:w="1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bond</w:t>
            </w:r>
          </w:p>
        </w:tc>
        <w:tc>
          <w:tcPr>
            <w:tcW w:w="47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580" w:type="dxa"/>
            <w:vAlign w:val="bottom"/>
          </w:tcPr>
          <w:p>
            <w:pPr>
              <w:spacing w:after="0"/>
              <w:rPr>
                <w:sz w:val="18"/>
                <w:szCs w:val="18"/>
                <w:color w:val="auto"/>
              </w:rPr>
            </w:pPr>
          </w:p>
        </w:tc>
      </w:tr>
      <w:tr>
        <w:trPr>
          <w:trHeight w:val="234"/>
        </w:trPr>
        <w:tc>
          <w:tcPr>
            <w:tcW w:w="1760" w:type="dxa"/>
            <w:vAlign w:val="bottom"/>
          </w:tcPr>
          <w:p>
            <w:pPr>
              <w:spacing w:after="0"/>
              <w:rPr>
                <w:sz w:val="20"/>
                <w:szCs w:val="20"/>
                <w:color w:val="auto"/>
              </w:rPr>
            </w:pPr>
          </w:p>
        </w:tc>
        <w:tc>
          <w:tcPr>
            <w:tcW w:w="1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640" w:type="dxa"/>
            <w:vAlign w:val="bottom"/>
            <w:gridSpan w:val="3"/>
          </w:tcPr>
          <w:p>
            <w:pPr>
              <w:ind w:left="4760"/>
              <w:spacing w:after="0"/>
              <w:rPr>
                <w:sz w:val="20"/>
                <w:szCs w:val="20"/>
                <w:color w:val="auto"/>
              </w:rPr>
            </w:pPr>
            <w:r>
              <w:rPr>
                <w:rFonts w:ascii="Times New Roman" w:cs="Times New Roman" w:eastAsia="Times New Roman" w:hAnsi="Times New Roman"/>
                <w:sz w:val="18"/>
                <w:szCs w:val="18"/>
                <w:color w:val="auto"/>
              </w:rPr>
              <w:t xml:space="preserve">$       </w:t>
            </w:r>
          </w:p>
        </w:tc>
        <w:tc>
          <w:tcPr>
            <w:tcW w:w="1580" w:type="dxa"/>
            <w:vAlign w:val="bottom"/>
          </w:tcPr>
          <w:p>
            <w:pPr>
              <w:spacing w:after="0"/>
              <w:rPr>
                <w:sz w:val="20"/>
                <w:szCs w:val="20"/>
                <w:color w:val="auto"/>
              </w:rPr>
            </w:pPr>
          </w:p>
        </w:tc>
      </w:tr>
    </w:tbl>
    <w:p>
      <w:pPr>
        <w:spacing w:after="0" w:line="17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Bonds sold by the underwriters to the public will initially be offered at the initial price to the public set forth on the cover of this prospectus supplement. Any bonds sold by the underwriters to securities dealers may be sold at a discount from the initial price to the public of up to  % of the principal amount of the bonds. Any such securities dealers may resell any bonds purchased from the underwriters to certain other brokers or dealers at a discount from the initial price to the public of up to  % of the principal amount of the bonds. If all the bonds are not sold at the initial price to the public, the underwriters may change the offering price and the other selling terms.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expenses of this offering, not including the underwriting discount, are estimated to be approximately $            and are payable by us.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bonds are a new issue of securities with no established trading market. We do not intend to list the bonds on any securities exchange or seek their quotation on any automated dealer quotation system. The underwriters have advised us that they intend to make a market in the bonds, but they are not obligated to do so.</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At their sole discretion, the underwriters may discontinue any market making in the bonds at any time without notice. Accordingly, we cannot assure you that a liquid trading market will develop for the bonds, that you will be able to sell your bonds at a particular time or that the price you receive when you sell will be favorable.</w:t>
      </w:r>
    </w:p>
    <w:p>
      <w:pPr>
        <w:spacing w:after="0" w:line="176"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offering of the bonds, the underwriters may engage in transactions that stabilize, maintain or otherwise affect the price of the bonds. Specifically, the underwriters may overallot in connection with the offering of the bonds, creating syndicate short positions. In addition, the underwriters may bid for and purchase bonds in the open market to cover syndicate short positions or to stabilize the price of the bonds. Finally, the underwriting syndicate may reclaim selling concessions allowed for distributing the bonds in this offering if the syndicate repurchases previously distributed bonds in syndicate covering transactions, stabilizing transactions or otherwise. Any of these activities may stabilize or maintain the market price of the bonds above independent market levels. The underwriters are not required to engage in any of these activities, and may end any of them at any time without notice.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corporate trust, investment management, investment research, principal investment, hedging, financing and brokerage activities. In addition, BNY Mellon Capital Markets, LLC, one of the underwriters for this offering, is an affiliate of the trustee.</w:t>
      </w:r>
    </w:p>
    <w:p>
      <w:pPr>
        <w:spacing w:after="0" w:line="180"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The underwriters and their affiliates have provided and in the future may continue to provide investment banking, commercial banking, corporate trust and other financial services, including the provision of credit facilities, to us and our affiliates in the ordinary course of business for which they have received and will receive customary compensation. In connection with these arrangements, affiliates of certain of the underwriters act as lenders. Certain of the underwriters and their respective affiliates are lenders or agents under a master revolving credit agreement entered into with Evergy, Evergy Kansas Central and two other subsidiaries of Evergy. 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bonds offered hereby. Any such credit default swaps or short positions could adversely affect future trading prices of the bonds offered hereby. The underwriters and their respective affiliates may also make investment recommendations or publish or express independent research views in respect of such securities or financial instruments and may at any time hold, or recommend to clients that they acquire, long or short positions in such securities and instruments.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Certain of the underwriters or their affiliates own some of the 2026 Bonds, the repayment of which would be funded with the net proceeds of this offering. It is possible that one or more of the underwriters or their affiliates could receive 5% or more of the net proceeds of this offering, and in that case such underwriter would be deemed to have a conflict of interest under FINRA Rule 5121. In the event of any such conflict of interest, such underwriter would be required to conduct the distribution of the bonds in accordance with FINRA Rule 5121. If FINRA Rule 5121 is applicable, such underwriter would not be permitted to confirm a sale to an account over which it exercises discretionary authority without first receiving specific written approval from the account holder.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Delivery of the bonds is expected to be made against payment therefor on or about the settlement date set forth on the cover page of this prospectus supplement, which will be the         business day following the date of this prospectus supplement (“T+  ”). Under Rule 15c6-1 under the Exchange Act, trades in the secondary market generally are required to settle in one business day, unless the parties to a trade expressly agree otherwise. Accordingly, purchasers who wish to trade the bonds on any date prior to the first business day before delivery of the bonds will be required, by virtue of the fact that the bonds initially will settle in T+  , to specify alternative settlement arrangements to prevent a failed settlement.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bonds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bonds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1"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Pursuant to section 3A.3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bonds are not intended to be offered, sold or otherwise made available to and should not be offered, sold or otherwise made available to any retail investor in the European Economic Area. For these purposes a “retail investor” means a person who is one (or more) of: (i) a retail client as defined in point (11) of Article 4(1) of Directive 2014/65/EU (as amended, “MiFID II”); (ii) a customer within the meaning of Directive (EU) 2016/97 (as amended),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bonds or otherwise making them available to retail investors in the European Economic Area has been prepared and therefore offering or selling the bonds or otherwise making them available to any retail investor in the European Economic Area may be unlawful under the PRIIPs Regulation.</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been prepared on the basis that any offer of bonds in any member state of the European Economic Area will be made pursuant to an exemption under the Prospectus Regulation from the requirement to publish a prospectus for offers of bonds. This prospectus supplement and the accompanying prospectus are not a prospectus for the purposes of the Prospectus Regulation.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Each underwriter has represented and agreed that it has not made and will not make an offer of the bonds which are the subject of the offering contemplated by this prospectus supplement to the public in the United Kingdom, except that it may make an offer of such bonds to the public in the United Kingdom:</w:t>
      </w:r>
    </w:p>
    <w:p>
      <w:pPr>
        <w:spacing w:after="0" w:line="81"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any legal entity which is a qualified investor as defined in paragraph 15 of Schedule 1 to the POATRs;</w:t>
      </w:r>
    </w:p>
    <w:p>
      <w:pPr>
        <w:spacing w:after="0" w:line="130" w:lineRule="exact"/>
        <w:rPr>
          <w:rFonts w:ascii="Times New Roman" w:cs="Times New Roman" w:eastAsia="Times New Roman" w:hAnsi="Times New Roman"/>
          <w:sz w:val="18"/>
          <w:szCs w:val="18"/>
          <w:color w:val="auto"/>
        </w:rPr>
      </w:pPr>
    </w:p>
    <w:p>
      <w:pPr>
        <w:ind w:left="1080" w:right="260" w:hanging="532"/>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fewer than 150 natural or legal persons (other than qualified investors as defined in paragraph 15 of Schedule 1 to the POATRs) in the United Kingdom, subject to obtaining the prior consent of the relevant underwriter or underwriters nominated by us for any such offer; or</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 any other circumstances falling within Part 1 of Schedule 1 to the POATRs.</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bonds to the public” in relation to any bonds, means the communication in any form and by any means of sufficient information on the terms of the offer and the bonds to be offered so as to enable an investor to decide to purchase or subscribe for the bonds, and the expression “POATRs” means the Public Offers and Admissions to Trading Regulations 2024.</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bonds are not intended to be offered, sold or otherwise made available to and should not be offered, sold or otherwise made available to any retail investor in the United Kingdom (the “UK”). For these purposes a “retail investor” means a person who is neither: (i) a professional client, as defined in point (8) of Article 2(1) of Regulation (EU) No 600/2014 as it forms part of domestic law by virtue of the European Union (Withdrawal) Act 2018 (as amended, the “EUWA”); nor (ii) a qualified investor as defined in paragraph 15 of Schedule 1 to the POATRs. The expression “offer” includes the communication of in any form and by any means of sufficient information on the terms of the offer and the bonds to be offered so as to enable an investor to decide to purchase or subscribe for the bonds. Consequently, no key information document required by the PRIIPs Regulation as it forms part of domestic law by virtue of the EUWA (the “UK PRIIPs Regulation”) for offering or selling the bonds or otherwise making them available to retail investors in the UK has been prepared and therefore offering or selling the bonds or otherwise making them available to any retail investor in the UK may be unlawful under the UK PRIIPs Regulation. This prospectus supplement and the accompanying prospectus have been prepared on the basis that this offering falls within one of the exceptions specified in Part 1 of Schedule 1 to the POATRs. Accordingly, there will not be a prospectus prepared or published for the purposes of the POATRs. This prospectus supplement and the accompanying prospectus are not a prospectus for the purposes of the POATRs or the Financial Services and Markets Act 2000 (the “FSMA”), and any offer of the bonds in the United Kingdom is made pursuant to an exemption under the POATRs or the FSMA.</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is for distribution only to persons in the United Kingdom who are qualified investors (as defined in paragraph 15 of Schedule 1 to the POATRs) and (a) have professional experience in matters relating to investments and who qualify as investment professionals within the meaning of Article 19(5) of the Financial Services and Markets Act 2000 (Financial Promotion) Order 2005 (as amended, the “Financial Promotion Order”), (b) are persons falling within Article 49(2)(a) to (d) (“high net worth companies, unincorporated associations etc.”) of the Financial Promotion Order or (c)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prospectus supplement and the accompanying prospectus are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Israel</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 prospectus under the Israeli Securities Law, 5728-1968 (the “Securities Law”), and have not been filed with or approved by the Israel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Securities Authority. In Israel, this prospectus supplement and the accompanying prospectus are being distributed only to, and are directed only at, and any offer of the bonds is directed only at (i) a limited number of persons in accordance with the Securities Law and (ii) investors listed in the first addendum (as it may be amended from time to time, the “Addendum”), to the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bonds have not been and will not be registered under the Financial Instruments and Exchange Act of Japan (Act No. 25 of 1948, as amended) (the “Financial Instruments and Exchange Act”) and the bonds have not been offered or sold and will not be offered or sold, directly or indirectly, in Japan or to, or for the account for or the benefit of, any “resident” of Japan (which term as used herein means any person resident in Japan, including any corporation or other entity organized under the laws of Japan), or to others for re-offering or resale, directly or indirectly, in Japan or to, or the account for or for the benefit of, any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and will not be registered as a prospectus under the Securities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Futures Act 2001 (the “SFA”) by the Monetary Authority of Singapore. Accordingly, this prospectus supplement, the accompanying prospectus or 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document or material in connection with the offer or sale, or invitation for subscription or purchase, of the bonds may not be circulated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distributed, nor may the bonds be offered or sold, or be made the subject of an invitation for subscription or purchase, whether directly or indirectly,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person in Singapore other than (i) to an institutional investor as defined in Section 4A of the SFA (an “Institutional Investor”) pursuant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Section 274 of the SFA, (ii) to an accredited investor as defined in Section 4A of the SFA (an “Accredited Investor”) or other relevant person as defined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Section 275(2) of the SFA (a “Relevant Person”) and pursuant to Section 275(1) of the SFA, or to any person pursuant to an offer referred to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275(1A) of the SFA, and in accordance with the conditions specified in Section 275 of the SFA and (where applicable) Regulation 3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and Futures (Classes of Investors) Regulations 2018 or (iii) otherwise pursuant to, and in accordance with, the conditions of any other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applicable exemption or provision of the SFA.</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bonds are subscribed for or acquired pursuant to an offer made in reliance on Section 275 of the SFA by a Relevant Person that is:</w:t>
      </w:r>
    </w:p>
    <w:p>
      <w:pPr>
        <w:spacing w:after="0" w:line="131" w:lineRule="exact"/>
        <w:rPr>
          <w:sz w:val="20"/>
          <w:szCs w:val="20"/>
          <w:color w:val="auto"/>
        </w:rPr>
      </w:pPr>
    </w:p>
    <w:p>
      <w:pPr>
        <w:ind w:left="1080" w:right="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the sole purpose of which is to hold investments and each beneficiary of the trust is an individual who is an Accredited Investor,</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and the beneficiaries’ rights and interest (howsoever described) in that trust, shall not be transferred within six months after that corporation or that trust has subscribed for or acquired the bonds except:</w:t>
      </w:r>
    </w:p>
    <w:p>
      <w:pPr>
        <w:spacing w:after="0" w:line="81" w:lineRule="exact"/>
        <w:rPr>
          <w:sz w:val="20"/>
          <w:szCs w:val="20"/>
          <w:color w:val="auto"/>
        </w:rPr>
      </w:pPr>
    </w:p>
    <w:p>
      <w:pPr>
        <w:ind w:left="1080" w:right="1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an Accredited Investor or Relevant Person, or which arises from an offer referred to in Section 275(1A) of the SFA (in the case of that corporation) or Section 276(4)(c)(ii) of the SFA (in the case of that trust);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58"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Singapore Securities and Futures Act Product Classification—</w:t>
      </w:r>
      <w:r>
        <w:rPr>
          <w:rFonts w:ascii="Times New Roman" w:cs="Times New Roman" w:eastAsia="Times New Roman" w:hAnsi="Times New Roman"/>
          <w:sz w:val="18"/>
          <w:szCs w:val="18"/>
          <w:color w:val="auto"/>
        </w:rPr>
        <w:t>Solely for the purposes of obligations pursuant to Sections 309B(1)(a)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309B(1)(c) of the SFA, we have determined, and hereby notify all relevant persons (as defined in Section 309A of the SFA), that the bonds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or solicitation to purchase or invest in the bonds. The bonds may not be publicly offered, directly or indirectly, in Switzerland within the meaning of the Swiss Financial Services Act (“FinSA”) and no application has or will be made to admit the bonds to trading on any trading venue (exchange or multilateral trading facility) in Switzerland. Neither this prospectus supplement, the accompanying prospectus nor any other offering or marketing material relating to the bonds constitutes a prospectus pursuant to the FinSA or a listing prospectus within the meaning of the listing rules of the Swiss Exchange or any other regulated trading facility in Switzerland, and neither this prospectus supplement, the accompanying prospectus nor any other offering or marketing material relating to the bonds may be publicly distributed or otherwise made publicly available in Switzerland.</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Taiwan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bonds have not been and will not be registered or filed with, or approved by, the Financial Supervisory Commission of Taiwan, the Republic of China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or filing with or the approval of the Financial Supervisory Commission of Taiwan. No person or entity in Taiwan has been authorized or will be authorized to offer, sell, give advice regarding or otherwise intermediate the offering or sale of the bonds in Taiwan.</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Arab Emirates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bonds have not been, and are not being, publicly offered, sold, promoted or advertised in the United Arab Emirates (including the Dubai International Financial Centre or the Abu Dhabi Global Market) other than in compliance with the laws of the United Arab Emirates (and the Dubai International Financial Centre or the Abu Dhabi Global Market) governing the issue, offering and sale of securities. Further, this prospectus supplement and the accompanying prospectus do not constitute a public offer of securities in the United Arab Emirates (including the Dubai International Financial Centre or the Abu Dhabi Global Market) and are not intended to be a public offer. This prospectus supplement and the accompanying prospectus have not been approved by or filed with the Central Bank of the United Arab Emirates, the Securities and Commodities Authority or the Dubai Financial Services Authority or the Abu Dhabi Global Market’s Financial Services Regulatory Authority (FSRA).</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Certain legal matters in connection with the offering of the bonds will be passed upon for us by Heather A. Humphrey, Senior Vice President, General Counsel and Corporate Secretary, of the Company, and Hunton Andrews Kurth LLP, New York, New York. Certain legal matters will be passed upon for the underwriters by Bracewell LLP, New York, New York. From time to time, Bracewell LLP acts as counsel for us or our affiliates for various matters. At June 1, 2026, Ms. Humphrey owned beneficially a number of shares of common stock of Evergy including restricted stock and performance shares that may be paid in shares of common stock at a later date based on Evergy’s performance, which represented less than 0.1% of the total outstanding common stock of Evergy.</w:t>
      </w: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Evergy Kansas Central, Inc. and subsidiaries as of December 31, 2025 and 2024, and for each of the three years in the period ended December 31, 2025, incorporated by reference in this prospectus supplement, have been audited by Deloitte &amp; Touche LLP, an independent registered public accounting firm, as stated in their report, which is also incorporated by reference herein. Such financial statements are incorporated by reference in reliance upon the report of such firm given their authority as experts in accounting and auditing.</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EVERGY KANSAS CENTRAL, INC.</w:t>
      </w: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Unsecured Senior Debt Securities</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Unsecured Subordinated 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First Mortgage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These securities are not obligations of, or guaranteed by, Evergy, Inc., our corporate parent.</w:t>
      </w:r>
    </w:p>
    <w:p>
      <w:pPr>
        <w:spacing w:after="0" w:line="22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Evergy Kansas Central, Inc. (“Evergy Kansas Central”) may offer and sell, from time to time, unsecured senior debt securities, unsecured subordinated debt securities and first mortgage bonds in one or more offerings. We may offer the securities simultaneously or at different times, in one or more separate series, in amounts, at prices and on terms to be determined at or prior to the time or times of sale.</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these securities. We will provide specific information about the offerings and the terms of these securities in one or more supplements to this prospectus. The supplements may also add, update or change information contained in this prospectus. This prospectus may not be used to offer and sell our securities unless accompanied by a prospectus supplement. You should read this prospectus and the related prospectus supplements before you invest in these securities.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Our principal executive offices are located at 818 South Kansas Avenue, Topeka, Kansas 66612. Our telephone number is (785) 575-6300.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right="42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risks. You should carefully consider the information referred to under the heading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5 of this prospectus.</w:t>
      </w:r>
    </w:p>
    <w:p>
      <w:pPr>
        <w:spacing w:after="0" w:line="16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offer and sell these securities through one or more underwriters, dealers or agents, or directly to purchasers, on a continuous or delayed basis. We will set forth in the related prospectus supplement the specific terms of the plan of distribution, including the name of the underwriters, dealers or agents, the discount or commission received by them from us as compensation, our other expenses for the offering and sale of these securities and the net proceeds we receive from the sale. See “Plan of Distribution.”</w:t>
      </w:r>
    </w:p>
    <w:p>
      <w:pPr>
        <w:spacing w:after="0" w:line="176"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16, 2024.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8"/>
        </w:trPr>
        <w:tc>
          <w:tcPr>
            <w:tcW w:w="1068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rPr>
              <w:t>A</w:t>
            </w:r>
            <w:r>
              <w:rPr>
                <w:rFonts w:ascii="Times New Roman" w:cs="Times New Roman" w:eastAsia="Times New Roman" w:hAnsi="Times New Roman"/>
                <w:sz w:val="14"/>
                <w:szCs w:val="14"/>
                <w:color w:val="0000EE"/>
              </w:rPr>
              <w:t>BOUT</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4"/>
                <w:szCs w:val="14"/>
                <w:color w:val="0000EE"/>
              </w:rPr>
              <w:t>HIS</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4"/>
                <w:szCs w:val="14"/>
                <w:color w:val="0000EE"/>
              </w:rPr>
              <w:t>ROSPECTUS</w:t>
            </w: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2"/>
        </w:trPr>
        <w:tc>
          <w:tcPr>
            <w:tcW w:w="10680" w:type="dxa"/>
            <w:vAlign w:val="bottom"/>
            <w:gridSpan w:val="13"/>
            <w:vMerge w:val="continue"/>
          </w:tcPr>
          <w:p>
            <w:pPr>
              <w:spacing w:after="0"/>
              <w:rPr>
                <w:sz w:val="14"/>
                <w:szCs w:val="14"/>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w:t>
            </w:r>
            <w:r>
              <w:rPr>
                <w:rFonts w:ascii="Times New Roman" w:cs="Times New Roman" w:eastAsia="Times New Roman" w:hAnsi="Times New Roman"/>
                <w:sz w:val="14"/>
                <w:szCs w:val="14"/>
                <w:color w:val="0000EE"/>
              </w:rPr>
              <w:t>AUTIONARY</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4"/>
                <w:szCs w:val="14"/>
                <w:color w:val="0000EE"/>
              </w:rPr>
              <w:t>TATEMENTS</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4"/>
                <w:szCs w:val="14"/>
                <w:color w:val="0000EE"/>
              </w:rPr>
              <w:t>EGARDING</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4"/>
                <w:szCs w:val="14"/>
                <w:color w:val="0000EE"/>
              </w:rPr>
              <w:t>ERTAIN</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4"/>
                <w:szCs w:val="14"/>
                <w:color w:val="0000EE"/>
              </w:rPr>
              <w:t>ORWARD</w:t>
            </w:r>
            <w:r>
              <w:rPr>
                <w:rFonts w:ascii="Times New Roman" w:cs="Times New Roman" w:eastAsia="Times New Roman" w:hAnsi="Times New Roman"/>
                <w:sz w:val="18"/>
                <w:szCs w:val="18"/>
                <w:color w:val="0000EE"/>
              </w:rPr>
              <w:t>-</w:t>
            </w:r>
            <w:r>
              <w:rPr>
                <w:rFonts w:ascii="Times New Roman" w:cs="Times New Roman" w:eastAsia="Times New Roman" w:hAnsi="Times New Roman"/>
                <w:sz w:val="14"/>
                <w:szCs w:val="14"/>
                <w:color w:val="0000EE"/>
              </w:rPr>
              <w:t>LOOKING</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4"/>
                <w:szCs w:val="14"/>
                <w:color w:val="0000EE"/>
              </w:rPr>
              <w:t>NFORMATION</w:t>
            </w:r>
          </w:p>
        </w:tc>
        <w:tc>
          <w:tcPr>
            <w:tcW w:w="44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w:t>
            </w:r>
            <w:r>
              <w:rPr>
                <w:rFonts w:ascii="Times New Roman" w:cs="Times New Roman" w:eastAsia="Times New Roman" w:hAnsi="Times New Roman"/>
                <w:sz w:val="14"/>
                <w:szCs w:val="14"/>
                <w:color w:val="0000EE"/>
              </w:rPr>
              <w:t>VERGY</w:t>
            </w:r>
            <w:r>
              <w:rPr>
                <w:rFonts w:ascii="Times New Roman" w:cs="Times New Roman" w:eastAsia="Times New Roman" w:hAnsi="Times New Roman"/>
                <w:sz w:val="18"/>
                <w:szCs w:val="18"/>
                <w:color w:val="0000EE"/>
              </w:rPr>
              <w:t xml:space="preserve"> K</w:t>
            </w:r>
            <w:r>
              <w:rPr>
                <w:rFonts w:ascii="Times New Roman" w:cs="Times New Roman" w:eastAsia="Times New Roman" w:hAnsi="Times New Roman"/>
                <w:sz w:val="14"/>
                <w:szCs w:val="14"/>
                <w:color w:val="0000EE"/>
              </w:rPr>
              <w:t>ANSAS</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4"/>
                <w:szCs w:val="14"/>
                <w:color w:val="0000EE"/>
              </w:rPr>
              <w:t>ENTRAL</w:t>
            </w:r>
            <w:r>
              <w:rPr>
                <w:rFonts w:ascii="Times New Roman" w:cs="Times New Roman" w:eastAsia="Times New Roman" w:hAnsi="Times New Roman"/>
                <w:sz w:val="18"/>
                <w:szCs w:val="18"/>
                <w:color w:val="0000EE"/>
              </w:rPr>
              <w:t>, I</w:t>
            </w:r>
            <w:r>
              <w:rPr>
                <w:rFonts w:ascii="Times New Roman" w:cs="Times New Roman" w:eastAsia="Times New Roman" w:hAnsi="Times New Roman"/>
                <w:sz w:val="14"/>
                <w:szCs w:val="14"/>
                <w:color w:val="0000EE"/>
              </w:rPr>
              <w:t>NC</w:t>
            </w:r>
            <w:r>
              <w:rPr>
                <w:rFonts w:ascii="Times New Roman" w:cs="Times New Roman" w:eastAsia="Times New Roman" w:hAnsi="Times New Roman"/>
                <w:sz w:val="18"/>
                <w:szCs w:val="18"/>
                <w:color w:val="0000EE"/>
              </w:rPr>
              <w:t xml:space="preserve"> .</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R</w:t>
            </w:r>
            <w:r>
              <w:rPr>
                <w:rFonts w:ascii="Times New Roman" w:cs="Times New Roman" w:eastAsia="Times New Roman" w:hAnsi="Times New Roman"/>
                <w:sz w:val="14"/>
                <w:szCs w:val="14"/>
                <w:color w:val="0000EE"/>
              </w:rPr>
              <w:t>ISK</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4"/>
                <w:szCs w:val="14"/>
                <w:color w:val="0000EE"/>
              </w:rPr>
              <w:t>ACTORS</w:t>
            </w:r>
          </w:p>
        </w:tc>
        <w:tc>
          <w:tcPr>
            <w:tcW w:w="1380" w:type="dxa"/>
            <w:vAlign w:val="bottom"/>
            <w:tcBorders>
              <w:top w:val="single" w:sz="8" w:color="0000EE"/>
            </w:tcBorders>
            <w:gridSpan w:val="6"/>
          </w:tcPr>
          <w:p>
            <w:pPr>
              <w:spacing w:after="0"/>
              <w:rPr>
                <w:sz w:val="17"/>
                <w:szCs w:val="17"/>
                <w:color w:val="auto"/>
              </w:rPr>
            </w:pPr>
          </w:p>
        </w:tc>
        <w:tc>
          <w:tcPr>
            <w:tcW w:w="82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w:t>
            </w:r>
            <w:r>
              <w:rPr>
                <w:rFonts w:ascii="Times New Roman" w:cs="Times New Roman" w:eastAsia="Times New Roman" w:hAnsi="Times New Roman"/>
                <w:sz w:val="14"/>
                <w:szCs w:val="14"/>
                <w:color w:val="0000EE"/>
              </w:rPr>
              <w:t>SE OF</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4"/>
                <w:szCs w:val="14"/>
                <w:color w:val="0000EE"/>
              </w:rPr>
              <w:t>ROCEEDS</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4"/>
                <w:szCs w:val="14"/>
                <w:color w:val="0000EE"/>
              </w:rPr>
              <w:t>ESCRIPTION OF</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4"/>
                <w:szCs w:val="14"/>
                <w:color w:val="0000EE"/>
              </w:rPr>
              <w:t>EBT</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4"/>
                <w:szCs w:val="14"/>
                <w:color w:val="0000EE"/>
              </w:rPr>
              <w:t>ECURITIES</w:t>
            </w:r>
          </w:p>
        </w:tc>
        <w:tc>
          <w:tcPr>
            <w:tcW w:w="808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D</w:t>
            </w:r>
            <w:r>
              <w:rPr>
                <w:rFonts w:ascii="Times New Roman" w:cs="Times New Roman" w:eastAsia="Times New Roman" w:hAnsi="Times New Roman"/>
                <w:sz w:val="14"/>
                <w:szCs w:val="14"/>
                <w:color w:val="0000EE"/>
              </w:rPr>
              <w:t>ESCRIPTION OF</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4"/>
                <w:szCs w:val="14"/>
                <w:color w:val="0000EE"/>
              </w:rPr>
              <w:t>IRST</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4"/>
                <w:szCs w:val="14"/>
                <w:color w:val="0000EE"/>
              </w:rPr>
              <w:t>ORTGAGE</w:t>
            </w:r>
            <w:r>
              <w:rPr>
                <w:rFonts w:ascii="Times New Roman" w:cs="Times New Roman" w:eastAsia="Times New Roman" w:hAnsi="Times New Roman"/>
                <w:sz w:val="18"/>
                <w:szCs w:val="18"/>
                <w:color w:val="0000EE"/>
              </w:rPr>
              <w:t xml:space="preserve"> B</w:t>
            </w:r>
            <w:r>
              <w:rPr>
                <w:rFonts w:ascii="Times New Roman" w:cs="Times New Roman" w:eastAsia="Times New Roman" w:hAnsi="Times New Roman"/>
                <w:sz w:val="14"/>
                <w:szCs w:val="14"/>
                <w:color w:val="0000EE"/>
              </w:rPr>
              <w:t>ONDS</w:t>
            </w:r>
          </w:p>
        </w:tc>
        <w:tc>
          <w:tcPr>
            <w:tcW w:w="750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0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B</w:t>
            </w:r>
            <w:r>
              <w:rPr>
                <w:rFonts w:ascii="Times New Roman" w:cs="Times New Roman" w:eastAsia="Times New Roman" w:hAnsi="Times New Roman"/>
                <w:sz w:val="14"/>
                <w:szCs w:val="14"/>
                <w:color w:val="0000EE"/>
              </w:rPr>
              <w:t>OOK</w:t>
            </w:r>
            <w:r>
              <w:rPr>
                <w:rFonts w:ascii="Times New Roman" w:cs="Times New Roman" w:eastAsia="Times New Roman" w:hAnsi="Times New Roman"/>
                <w:sz w:val="18"/>
                <w:szCs w:val="18"/>
                <w:color w:val="0000EE"/>
              </w:rPr>
              <w:t>-</w:t>
            </w:r>
            <w:r>
              <w:rPr>
                <w:rFonts w:ascii="Times New Roman" w:cs="Times New Roman" w:eastAsia="Times New Roman" w:hAnsi="Times New Roman"/>
                <w:sz w:val="14"/>
                <w:szCs w:val="14"/>
                <w:color w:val="0000EE"/>
              </w:rPr>
              <w:t>ENTRY</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4"/>
                <w:szCs w:val="14"/>
                <w:color w:val="0000EE"/>
              </w:rPr>
              <w:t>YSTEM</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w:t>
            </w:r>
            <w:r>
              <w:rPr>
                <w:rFonts w:ascii="Times New Roman" w:cs="Times New Roman" w:eastAsia="Times New Roman" w:hAnsi="Times New Roman"/>
                <w:sz w:val="14"/>
                <w:szCs w:val="14"/>
                <w:color w:val="0000EE"/>
              </w:rPr>
              <w:t>LAN OF</w:t>
            </w:r>
            <w:r>
              <w:rPr>
                <w:rFonts w:ascii="Times New Roman" w:cs="Times New Roman" w:eastAsia="Times New Roman" w:hAnsi="Times New Roman"/>
                <w:sz w:val="18"/>
                <w:szCs w:val="18"/>
                <w:color w:val="0000EE"/>
              </w:rPr>
              <w:t xml:space="preserve"> D</w:t>
            </w:r>
            <w:r>
              <w:rPr>
                <w:rFonts w:ascii="Times New Roman" w:cs="Times New Roman" w:eastAsia="Times New Roman" w:hAnsi="Times New Roman"/>
                <w:sz w:val="14"/>
                <w:szCs w:val="14"/>
                <w:color w:val="0000EE"/>
              </w:rPr>
              <w:t>ISTRIBUTION</w:t>
            </w:r>
          </w:p>
        </w:tc>
        <w:tc>
          <w:tcPr>
            <w:tcW w:w="892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L</w:t>
            </w:r>
            <w:r>
              <w:rPr>
                <w:rFonts w:ascii="Times New Roman" w:cs="Times New Roman" w:eastAsia="Times New Roman" w:hAnsi="Times New Roman"/>
                <w:sz w:val="14"/>
                <w:szCs w:val="14"/>
                <w:color w:val="0000EE"/>
              </w:rPr>
              <w:t>EGAL</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4"/>
                <w:szCs w:val="14"/>
                <w:color w:val="0000EE"/>
              </w:rPr>
              <w:t>ATTERS</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E</w:t>
            </w:r>
            <w:r>
              <w:rPr>
                <w:rFonts w:ascii="Times New Roman" w:cs="Times New Roman" w:eastAsia="Times New Roman" w:hAnsi="Times New Roman"/>
                <w:sz w:val="14"/>
                <w:szCs w:val="14"/>
                <w:color w:val="0000EE"/>
              </w:rPr>
              <w:t>XPERTS</w:t>
            </w:r>
          </w:p>
        </w:tc>
        <w:tc>
          <w:tcPr>
            <w:tcW w:w="600" w:type="dxa"/>
            <w:vAlign w:val="bottom"/>
            <w:tcBorders>
              <w:top w:val="single" w:sz="8" w:color="0000EE"/>
            </w:tcBorders>
            <w:gridSpan w:val="2"/>
          </w:tcPr>
          <w:p>
            <w:pPr>
              <w:spacing w:after="0"/>
              <w:rPr>
                <w:sz w:val="17"/>
                <w:szCs w:val="17"/>
                <w:color w:val="auto"/>
              </w:rPr>
            </w:pPr>
          </w:p>
        </w:tc>
        <w:tc>
          <w:tcPr>
            <w:tcW w:w="942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06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w:t>
            </w:r>
            <w:r>
              <w:rPr>
                <w:rFonts w:ascii="Times New Roman" w:cs="Times New Roman" w:eastAsia="Times New Roman" w:hAnsi="Times New Roman"/>
                <w:sz w:val="14"/>
                <w:szCs w:val="14"/>
                <w:color w:val="0000EE"/>
              </w:rPr>
              <w:t>HERE</w:t>
            </w:r>
            <w:r>
              <w:rPr>
                <w:rFonts w:ascii="Times New Roman" w:cs="Times New Roman" w:eastAsia="Times New Roman" w:hAnsi="Times New Roman"/>
                <w:sz w:val="18"/>
                <w:szCs w:val="18"/>
                <w:color w:val="0000EE"/>
              </w:rPr>
              <w:t xml:space="preserve"> Y</w:t>
            </w:r>
            <w:r>
              <w:rPr>
                <w:rFonts w:ascii="Times New Roman" w:cs="Times New Roman" w:eastAsia="Times New Roman" w:hAnsi="Times New Roman"/>
                <w:sz w:val="14"/>
                <w:szCs w:val="14"/>
                <w:color w:val="0000EE"/>
              </w:rPr>
              <w:t>OU</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4"/>
                <w:szCs w:val="14"/>
                <w:color w:val="0000EE"/>
              </w:rPr>
              <w:t>AN</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4"/>
                <w:szCs w:val="14"/>
                <w:color w:val="0000EE"/>
              </w:rPr>
              <w:t>IND</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4"/>
                <w:szCs w:val="14"/>
                <w:color w:val="0000EE"/>
              </w:rPr>
              <w:t>ORE</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4"/>
                <w:szCs w:val="14"/>
                <w:color w:val="0000EE"/>
              </w:rPr>
              <w:t>NFORMATION</w:t>
            </w:r>
          </w:p>
        </w:tc>
        <w:tc>
          <w:tcPr>
            <w:tcW w:w="3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BOUT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ROSPECTUS</w:t>
      </w:r>
    </w:p>
    <w:p>
      <w:pPr>
        <w:spacing w:after="0" w:line="229" w:lineRule="exact"/>
        <w:rPr>
          <w:sz w:val="20"/>
          <w:szCs w:val="20"/>
          <w:color w:val="auto"/>
        </w:rPr>
      </w:pPr>
    </w:p>
    <w:p>
      <w:pPr>
        <w:jc w:val="both"/>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This prospectus is part of a registration statement filed with the Securities and Exchange Commission (the “SEC”) utilizing a “shelf” registration process. By using this process, we may, from time to time, sell any combination of the securities described in this prospectus in one or more offerings.</w:t>
      </w:r>
    </w:p>
    <w:p>
      <w:pPr>
        <w:spacing w:after="0" w:line="14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you with a supplement to this prospectus that will describe the specific terms of that offering. The prospectus supplement may also add, update or change the information contained in this prospectus, including information about us. If there is any inconsistency between the information in this prospectus and the prospectus supplement, you should rely on the information in the prospectus supplement. The registration statement we filed with the SEC includes exhibits that provide more detail on descriptions of the matters discussed in this prospectus. Therefore, for a complete understanding of our securities being offered, we urge you to read carefully the registration statement (including the exhibits thereto), this prospectus and any prospectus supplement accompanying this prospectus, together with the information incorporated herein by reference under “Where You Can Find More Information,” before deciding whether to invest in any of our securities being offered.</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any prospectus supplement and any free writing prospectus that we file with the SEC contain and incorporate by reference information that you should consider when making your investment decision. We have not, and the underwriters have not, authorized anyone to provide you with different information, and neither we nor the underwriters of any offering of securities will authorize anyone else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any prospectus supplement and the documents incorporated by reference is accurate only as of their respective dates. Our business, financial condition, results of operations and prospects may have changed materially since those dates.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described in more detail below under “Where You Can Find More Information,” we, Evergy, Inc. (“Evergy”), our parent company, and another wholly-owned subsidiary of Evergy, separately file combined reports under the Securities Exchange Act of 1934, as amended (the “Exchange Act”). However, only the information related to Evergy Kansas Central and its consolidated subsidiaries is incorporated by reference in this prospectus. You should not rely on any information relating solely to Evergy or its subsidiaries (other than Evergy Kansas Central and its consolidated subsidiaries and the information provided separately by Evergy Kansas Central or its consolidated subsidiaries) in determining whether to invest in any securities offered hereby. The securities are not guaranteed by Evergy or any of its or our subsidiaries. None of those entities has any obligation to make any capital contribution or distributions or to advance funds to us for the purpose of paying the principal of, or premium, if any, or interest on, the securities or any other amount that may be required to be paid under any indenture, preventing or curing an event of default under the terms of any indenture, complying with any other obligation under any indenture or the securities or otherwise.</w:t>
      </w:r>
    </w:p>
    <w:p>
      <w:pPr>
        <w:spacing w:after="0" w:line="18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or as otherwise indicated, when we refer to “Evergy Kansas Central,” or “we,” “us,” “our” or comparable terms, we mean Evergy Kansas Central, Inc., and when we refer to “Evergy Kansas South,” we mean Evergy Kansas South, Inc. Additionally, when we refer to Evergy Companies we mean, collectively, Evergy, Inc., Evergy Kansas Central, Inc. and Evergy Metro, Inc. (“Evergy Metro”).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AUTIONARY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TATEMENTS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ORWARD</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OOKING</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p>
    <w:p>
      <w:pPr>
        <w:spacing w:after="0" w:line="20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the documents incorporated or deemed incorporated by reference herein as described under the heading “Where You Can Find More Information” contain forward-looking statements that are not based on historical facts are forward-looking, may involve risks and uncertainties, and are intended to be as of the date when made. Forward-looking statements include, but are not limited to;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88"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In connection with the safe harbor provisions of the Private Securities Litigation Reform Act of 1995, we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changes in business strategy or operations; the impact of federal, state and local political, legislative, judicial and regulatory actions or developments, including deregulation, re-regulation, securitization and restructuring of the electric utility industry;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the impact of climate change, including increased frequency and severity of significant weather events and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and independent system operators; financial market conditions and performance, disruptions in the banking industry, including volatility in interest rates and credit spreads and in availability and cost of capital and the effects on derivatives and hedges, nuclear decommissioning trust and pension plan assets and costs; impairments of long-lived assets or goodwill; credit ratings; inflation rates; effectiveness of risk management policies and procedures and the ability of counterparties to satisfy their contractual commitments;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including the ability to contract for non-Russian sourced uranium; ability to carry out marketing and sales plans; cost, availability, quality and timely provision of equipment, supplies, labor and fuel; impacts of tariffs; ability to achieve generation goals and the occurrence and duration of planned and unplanned generation outages; delays and cost increases of generation, transmission, distribution or other projects; the Evergy Companies’ ability to manage their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w:t>
      </w:r>
    </w:p>
    <w:p>
      <w:pPr>
        <w:spacing w:after="0" w:line="1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58" w:lineRule="auto"/>
        <w:rPr>
          <w:sz w:val="20"/>
          <w:szCs w:val="20"/>
          <w:color w:val="auto"/>
        </w:rPr>
      </w:pPr>
      <w:r>
        <w:rPr>
          <w:rFonts w:ascii="Times New Roman" w:cs="Times New Roman" w:eastAsia="Times New Roman" w:hAnsi="Times New Roman"/>
          <w:sz w:val="18"/>
          <w:szCs w:val="18"/>
          <w:color w:val="auto"/>
        </w:rPr>
        <w:t>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heightened emphasis on environmental, social and governance concerns; the possibility that strategic initiatives, including mergers, acquisitions and divestitures, and long-term financial plans, may not create the value that they are expected to achieve in a timely manner or at all; difficulties in maintaining relationships with customers, employees, regulators or suppliers; and other risks and uncertainties.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list of factors is not all-inclusive because it is not possible to predict all factors. You should also carefully consider the information contained under the heading “Risk Factors” in this prospectus, any prospectus supplement, and in our other SEC filings. Additional risks and uncertainties are discussed from time to time in the Annual Report on Form 10-K for the year ended December 31, 2023 filed by Evergy Kansas Central with the SEC, and from time to time in current reports on Form 8-K and quarterly reports on Form 10-Q filed by Evergy Kansas Central with the SEC. Each forward-looking statement speaks only as of the date of the particular statement. Evergy Kansas Central undertakes no obligation to publicly update or revise any forward-looking statement, whether as a result of new information, future events or otherwise, except as required by law.</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VERGY</w:t>
      </w:r>
      <w:r>
        <w:rPr>
          <w:rFonts w:ascii="Times New Roman" w:cs="Times New Roman" w:eastAsia="Times New Roman" w:hAnsi="Times New Roman"/>
          <w:sz w:val="18"/>
          <w:szCs w:val="18"/>
          <w:b w:val="1"/>
          <w:bCs w:val="1"/>
          <w:color w:val="auto"/>
        </w:rPr>
        <w:t xml:space="preserve"> K</w:t>
      </w:r>
      <w:r>
        <w:rPr>
          <w:rFonts w:ascii="Times New Roman" w:cs="Times New Roman" w:eastAsia="Times New Roman" w:hAnsi="Times New Roman"/>
          <w:sz w:val="14"/>
          <w:szCs w:val="14"/>
          <w:b w:val="1"/>
          <w:bCs w:val="1"/>
          <w:color w:val="auto"/>
        </w:rPr>
        <w:t>ANSAS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ENTRAL</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Evergy Kansas Central, Inc. is an integrated, regulated electric utility that provides electricity to customers in the state of Kansas. Evergy Kansas Central has one active wholly owned subsidiary with significant operations, Evergy Kansas South, Inc.</w:t>
      </w:r>
    </w:p>
    <w:p>
      <w:pPr>
        <w:spacing w:after="0" w:line="162"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818 South Kansas Avenue, Topeka, Kansas 66612. Our telephone number is (785) 575-6300. Our parent company maintains a website at www.evergy.com where general information about us is available. Our parent company’s Internet site and the information contained therein or connected thereto are not intended to be incorporated into this prospectus and should not be considered a part of this prospectus.</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320" w:top="455" w:right="5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ISK</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ACTORS</w:t>
      </w:r>
    </w:p>
    <w:p>
      <w:pPr>
        <w:spacing w:after="0" w:line="229"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Investing in our securities involves risks. Our business is influenced by many factors that are difficult to predict, involve uncertainties that may materially affect actual results and are often beyond our control. You should carefully consider the information under the heading “Risk Factors” in:</w:t>
      </w:r>
    </w:p>
    <w:p>
      <w:pPr>
        <w:spacing w:after="0" w:line="45"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prospectus supplement relating to any securities we are offering;</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2023, filed with the SEC on </w:t>
      </w:r>
      <w:hyperlink r:id="rId59">
        <w:r>
          <w:rPr>
            <w:rFonts w:ascii="Times New Roman" w:cs="Times New Roman" w:eastAsia="Times New Roman" w:hAnsi="Times New Roman"/>
            <w:sz w:val="18"/>
            <w:szCs w:val="18"/>
            <w:u w:val="single" w:color="auto"/>
            <w:color w:val="0000EE"/>
          </w:rPr>
          <w:t>February 29,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incorporated by reference into this prospectus;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7"/>
        </w:numPr>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auto"/>
          </w:rPr>
          <w:t xml:space="preserve">our Quarterly Reports on Form 10-Q for the quarterly periods ended March 31, 2024 and June 30, 2024, filed with the SEC on </w:t>
        </w:r>
        <w:r>
          <w:rPr>
            <w:rFonts w:ascii="Times New Roman" w:cs="Times New Roman" w:eastAsia="Times New Roman" w:hAnsi="Times New Roman"/>
            <w:sz w:val="18"/>
            <w:szCs w:val="18"/>
            <w:u w:val="single" w:color="auto"/>
            <w:color w:val="0000EE"/>
          </w:rPr>
          <w:t>May 9,</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1">
        <w:r>
          <w:rPr>
            <w:rFonts w:ascii="Times New Roman" w:cs="Times New Roman" w:eastAsia="Times New Roman" w:hAnsi="Times New Roman"/>
            <w:sz w:val="18"/>
            <w:szCs w:val="18"/>
            <w:u w:val="single" w:color="auto"/>
            <w:color w:val="0000EE"/>
          </w:rPr>
          <w:t>August 9, 2024</w:t>
        </w:r>
      </w:hyperlink>
      <w:hyperlink r:id="rId60">
        <w:r>
          <w:rPr>
            <w:rFonts w:ascii="Times New Roman" w:cs="Times New Roman" w:eastAsia="Times New Roman" w:hAnsi="Times New Roman"/>
            <w:sz w:val="18"/>
            <w:szCs w:val="18"/>
            <w:color w:val="000000"/>
          </w:rPr>
          <w:t>, respectively, and incorporated by reference into this prospectus; and</w:t>
        </w:r>
      </w:hyperlink>
    </w:p>
    <w:p>
      <w:pPr>
        <w:spacing w:after="0" w:line="67" w:lineRule="exact"/>
        <w:rPr>
          <w:rFonts w:ascii="Times New Roman" w:cs="Times New Roman" w:eastAsia="Times New Roman" w:hAnsi="Times New Roman"/>
          <w:sz w:val="18"/>
          <w:szCs w:val="18"/>
          <w:color w:val="0000EE"/>
        </w:rPr>
      </w:pPr>
    </w:p>
    <w:p>
      <w:pPr>
        <w:ind w:left="5580" w:hanging="4924"/>
        <w:spacing w:after="0" w:line="454" w:lineRule="auto"/>
        <w:tabs>
          <w:tab w:leader="none" w:pos="108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that we file with the SEC after the date of this prospectus and that are deemed incorporated by reference into this prospectus. 5</w:t>
      </w:r>
    </w:p>
    <w:p>
      <w:pPr>
        <w:sectPr>
          <w:pgSz w:w="11900" w:h="16838" w:orient="portrait"/>
          <w:cols w:equalWidth="0" w:num="1">
            <w:col w:w="10900"/>
          </w:cols>
          <w:pgMar w:left="320" w:top="455" w:right="6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4"/>
          <w:szCs w:val="14"/>
          <w:b w:val="1"/>
          <w:bCs w:val="1"/>
          <w:color w:val="auto"/>
        </w:rPr>
        <w:t>SE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ROCEEDS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Unless we inform you otherwise in a supplement to this prospectus, we anticipate using any net proceeds received by us from the issuance of any of the offered securities for general corporate purposes, including, among others:</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retirement or refinancing of other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of construction expenditures;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Pending such uses, we may also invest the proceeds in certificates of deposit, United States government securities or certain other short-term interest-bearing securities. If we decide to use the net proceeds from a particular offering of securities for a specific purpose, we will describe that in the related prospectus supplement.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60"/>
          </w:cols>
          <w:pgMar w:left="320" w:top="455" w:right="5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ESCRIPTION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EBT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ECURITIES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debt securities, consisting of notes, debentures or other evidence of indebtedness, may be issued from time to time in one or more series:</w:t>
      </w:r>
    </w:p>
    <w:p>
      <w:pPr>
        <w:spacing w:after="0" w:line="131" w:lineRule="exact"/>
        <w:rPr>
          <w:sz w:val="20"/>
          <w:szCs w:val="20"/>
          <w:color w:val="auto"/>
        </w:rPr>
      </w:pPr>
    </w:p>
    <w:p>
      <w:pPr>
        <w:ind w:left="1080" w:right="1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senior debt securities, under a senior indenture dated August 1, 1998, which we refer to as the senior indenture, between us and Deutsche Bank Trust Company Americas, formerly known as Bankers Trust Company, as trustee (the trustee);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subordinated debt securities, under a subordinated indenture, which we refer to as the subordinated indenture, to be entered into between us and The Bank of New York Mellon Trust Company, N.A., as trustee.</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senior indenture is included, and the subordinated indenture will be substantially in the form included, as exhibits to the registration statement of which this prospectus is a part.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this prospectus under the caption “Description of Debt Securities,” the terms “we,” “us” and “our” refer solely to Evergy Kansas Central, Inc. and such references do not include any subsidiaries or affiliates (including the parent company) of Evergy Kansas Central, Inc.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When we offer to sell a particular series of debt securities, we will describe the specific terms of the securities in a prospectus supplement. The prospectus supplement will set forth the following terms, as applicable, of the debt securities offered thereby:</w:t>
      </w:r>
    </w:p>
    <w:p>
      <w:pPr>
        <w:spacing w:after="0" w:line="54" w:lineRule="exact"/>
        <w:rPr>
          <w:sz w:val="20"/>
          <w:szCs w:val="20"/>
          <w:color w:val="auto"/>
        </w:rPr>
      </w:pPr>
    </w:p>
    <w:p>
      <w:pPr>
        <w:ind w:left="820" w:hanging="264"/>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or composite currency and denominations;</w:t>
      </w:r>
    </w:p>
    <w:p>
      <w:pPr>
        <w:spacing w:after="0" w:line="225" w:lineRule="exact"/>
        <w:rPr>
          <w:rFonts w:ascii="Times New Roman" w:cs="Times New Roman" w:eastAsia="Times New Roman" w:hAnsi="Times New Roman"/>
          <w:sz w:val="18"/>
          <w:szCs w:val="18"/>
          <w:color w:val="auto"/>
        </w:rPr>
      </w:pPr>
    </w:p>
    <w:p>
      <w:pPr>
        <w:ind w:left="120" w:right="120" w:firstLine="436"/>
        <w:spacing w:after="0" w:line="282" w:lineRule="auto"/>
        <w:tabs>
          <w:tab w:leader="none" w:pos="8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such debt securities will be issued and, if an index formula or other method is used, the method for determining amounts of principal or interest;</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and other dates, if any, on which principal will be payable;</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(which may be fixed or variable), if any;</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interest will accrue and on which interest will be payable, and the record dates for the payment of interest;</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and interest will be payable;</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mandatory or optional redemption by Evergy Kansas Central or any third party including any sinking fund;</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conversion or exchange;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00" w:hanging="344"/>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redemption at the option of holders or put by the holders;</w:t>
      </w:r>
    </w:p>
    <w:p>
      <w:pPr>
        <w:spacing w:after="0" w:line="225"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indemnity provisions;</w:t>
      </w:r>
    </w:p>
    <w:p>
      <w:pPr>
        <w:spacing w:after="0" w:line="225" w:lineRule="exact"/>
        <w:rPr>
          <w:rFonts w:ascii="Times New Roman" w:cs="Times New Roman" w:eastAsia="Times New Roman" w:hAnsi="Times New Roman"/>
          <w:sz w:val="18"/>
          <w:szCs w:val="18"/>
          <w:color w:val="auto"/>
        </w:rPr>
      </w:pPr>
    </w:p>
    <w:p>
      <w:pPr>
        <w:ind w:left="120" w:right="340" w:firstLine="436"/>
        <w:spacing w:after="0" w:line="282" w:lineRule="auto"/>
        <w:tabs>
          <w:tab w:leader="none" w:pos="9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provide that payments of principal or interest may be made in a currency other than that in which debt securities are denominated, the manner for determining such payments;</w:t>
      </w:r>
    </w:p>
    <w:p>
      <w:pPr>
        <w:spacing w:after="0" w:line="161"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payable upon acceleration of a Discounted Debt Security (as defined below);</w:t>
      </w:r>
    </w:p>
    <w:p>
      <w:pPr>
        <w:spacing w:after="0" w:line="225"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debt securities may be defeased;</w:t>
      </w:r>
    </w:p>
    <w:p>
      <w:pPr>
        <w:spacing w:after="0" w:line="225"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indentures;</w:t>
      </w:r>
    </w:p>
    <w:p>
      <w:pPr>
        <w:spacing w:after="0" w:line="225"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debt securities in uncertificated form;</w:t>
      </w:r>
    </w:p>
    <w:p>
      <w:pPr>
        <w:spacing w:after="0" w:line="225" w:lineRule="exact"/>
        <w:rPr>
          <w:rFonts w:ascii="Times New Roman" w:cs="Times New Roman" w:eastAsia="Times New Roman" w:hAnsi="Times New Roman"/>
          <w:sz w:val="18"/>
          <w:szCs w:val="18"/>
          <w:color w:val="auto"/>
        </w:rPr>
      </w:pPr>
    </w:p>
    <w:p>
      <w:pPr>
        <w:ind w:left="900" w:hanging="344"/>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“reopen” a series of debt securities and issue additional debt securities of such series; and</w:t>
      </w:r>
    </w:p>
    <w:p>
      <w:pPr>
        <w:spacing w:after="0" w:line="225" w:lineRule="exact"/>
        <w:rPr>
          <w:rFonts w:ascii="Times New Roman" w:cs="Times New Roman" w:eastAsia="Times New Roman" w:hAnsi="Times New Roman"/>
          <w:sz w:val="18"/>
          <w:szCs w:val="18"/>
          <w:color w:val="auto"/>
        </w:rPr>
      </w:pPr>
    </w:p>
    <w:p>
      <w:pPr>
        <w:ind w:left="120" w:right="200" w:firstLine="436"/>
        <w:spacing w:after="0" w:line="312" w:lineRule="auto"/>
        <w:tabs>
          <w:tab w:leader="none" w:pos="90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provisions or other special terms not inconsistent with the provisions of the indentures, including any terms that may be required or advisable under United States or other applicable laws or regulations, or advisable in connection with the marketing of the debt securities.</w:t>
      </w:r>
    </w:p>
    <w:p>
      <w:pPr>
        <w:spacing w:after="0" w:line="14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Debt securities of any series may be issued as registered debt securities, bearer debt securities or uncertificated debt securities, and in such denominations as specified in the terms of the series. In connection with its original issuance, no bearer security will be offered, sold or delivered to any location in the United States, and a bearer security in definitive form may be delivered in connection with its original issuance only upon presentation of a certificate in a form prescribed by Evergy Kansas Central to comply with United States laws and regulations. 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indentures.</w:t>
      </w:r>
    </w:p>
    <w:p>
      <w:pPr>
        <w:spacing w:after="0" w:line="18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Securities may be issued under the senior or subordinated indentures as Discounted Debt Securities to be offered and sold at a substantial discount from the principal amount thereof. “Discounted Debt Security” means a security where the amount of principal due upon acceleration is less than the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only have a shareholder’s claim on the assets of our subsidiaries. This shareholder’s claim is junior to the claims that creditors of our subsidiaries have against our subsidiaries (other than subsidiary guarantors). Holders of our debt securities are our creditors and not creditors of any of our subsidiaries (other than subsidiary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guarantors). As a result, all the existing and future liabilities of our subsidiaries (other than any subsidiary guarantors with respect to any series of debt securities that may be guaranteed), including any claims of their creditors, are structurally senior to the debt securities with respect to the assets of our subsidiaries.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ability to pay our obligations, including our obligation to pay interest on the debt securities, to repay the principal amount of the debt securities at maturity or upon redemption or to buy back the debt securities will depend in part upon our subsidiaries’ earnings and their distribution of those earnings to us and upon our subsidiaries repaying investments and advances we have made to them. Our subsidiaries are separate and distinct legal entities and, except for any subsidiary guarantors with respect to any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 Our Amended and Restated Credit Agreement, dated as of August 31, 2021, as it may be subsequently amended from time to time, limits our significant subsidiaries’ ability to enter into other agreements that prohibit or restrict the declaration or payment of dividends to us.</w:t>
      </w:r>
    </w:p>
    <w:p>
      <w:pPr>
        <w:spacing w:after="0" w:line="188"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debt securities are unsecured obligations. Our secured debt is effectively senior to the debt securities to the extent of the value of the assets securing such secured debt. Substantially all of our utility assets are subject to liens under the mortgage pursuant to which we have issued our first mortgage bonds.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Senior Debt Securities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obligations under the senior debt securities, including the payment of principal, premium, if any, and interest, may be fully and unconditionally guaranteed by one or more of our wholly-owned subsidiaries named in a prospectus supplement. Such guarantees will rank equally with all other general unsecured and unsubordinated obligations of such subsidiary guarantors.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covenants which may apply to a particular series of senior debt securities will be described in the prospectus supplement relating thereto.</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Successor Obligor</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senior indenture provides that, unless otherwise specified in the securities resolution or supplemental indenture establishing a series of senior debt securities, we shall not consolidate with or merge into, or transfer all or substantially all of its assets to, any person in any transaction in which we are not the survivor, unless:</w:t>
      </w:r>
    </w:p>
    <w:p>
      <w:pPr>
        <w:spacing w:after="0" w:line="68" w:lineRule="exact"/>
        <w:rPr>
          <w:sz w:val="20"/>
          <w:szCs w:val="20"/>
          <w:color w:val="auto"/>
        </w:rPr>
      </w:pPr>
    </w:p>
    <w:p>
      <w:pPr>
        <w:ind w:left="120" w:right="540" w:firstLine="436"/>
        <w:spacing w:after="0" w:line="282"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is organized under the laws of the United States or a State thereof or is organized under the laws of a foreign jurisdiction and consents to the jurisdiction of the courts of the United States or a State thereof;</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assumes by supplemental indenture all of our obligations under the senior indenture, the senior debt securities and any coupons;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required approvals of any regulatory body having jurisdiction over the transaction shall have been obtained; and</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Default (as defined in “—Default and Remedies”) exists.</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successor shall be substituted for us, and thereafter all our obligations under the senior indenture, the senior debt securities and any coupons shall terminate.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of Debt Securities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Registered senior debt securities may be exchanged for an equal aggregate principal amount of registered senior debt securities of the same series and date of maturity in such authorized denominations as may be requested upon surrender of the registered senior debt securities at an agency maintained by us for such purpose and upon fulfillment of all other requirements of such agent.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Default and Remedies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establishing the series otherwise provides (in which event the prospectus supplement will so state), an “Event of Default” with respect to a series of senior debt securities will occur if:</w:t>
      </w:r>
    </w:p>
    <w:p>
      <w:pPr>
        <w:spacing w:after="0" w:line="54" w:lineRule="exact"/>
        <w:rPr>
          <w:sz w:val="20"/>
          <w:szCs w:val="20"/>
          <w:color w:val="auto"/>
        </w:rPr>
      </w:pPr>
    </w:p>
    <w:p>
      <w:pPr>
        <w:ind w:left="120" w:right="220" w:firstLine="436"/>
        <w:spacing w:after="0" w:line="282" w:lineRule="auto"/>
        <w:tabs>
          <w:tab w:leader="none" w:pos="8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defaults in any payment of interest on any senior debt securities of such series when the same becomes due and payable and the default continues for a period of 60 days;</w:t>
      </w:r>
    </w:p>
    <w:p>
      <w:pPr>
        <w:spacing w:after="0" w:line="161" w:lineRule="exact"/>
        <w:rPr>
          <w:rFonts w:ascii="Times New Roman" w:cs="Times New Roman" w:eastAsia="Times New Roman" w:hAnsi="Times New Roman"/>
          <w:sz w:val="18"/>
          <w:szCs w:val="18"/>
          <w:color w:val="auto"/>
        </w:rPr>
      </w:pPr>
    </w:p>
    <w:p>
      <w:pPr>
        <w:ind w:left="120" w:right="160" w:firstLine="436"/>
        <w:spacing w:after="0" w:line="282" w:lineRule="auto"/>
        <w:tabs>
          <w:tab w:leader="none" w:pos="8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defaults in the payment of the principal and premium, if any, of any senior debt securities of such series when the same becomes due and payable at maturity or upon redemption, acceleration or otherwise and such default shall continue for five or more days;</w:t>
      </w:r>
    </w:p>
    <w:p>
      <w:pPr>
        <w:spacing w:after="0" w:line="161" w:lineRule="exact"/>
        <w:rPr>
          <w:rFonts w:ascii="Times New Roman" w:cs="Times New Roman" w:eastAsia="Times New Roman" w:hAnsi="Times New Roman"/>
          <w:sz w:val="18"/>
          <w:szCs w:val="18"/>
          <w:color w:val="auto"/>
        </w:rPr>
      </w:pPr>
    </w:p>
    <w:p>
      <w:pPr>
        <w:ind w:left="120" w:right="240" w:firstLine="436"/>
        <w:spacing w:after="0" w:line="282" w:lineRule="auto"/>
        <w:tabs>
          <w:tab w:leader="none" w:pos="8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defaults in the payment or satisfaction of any sinking fund obligation with respect to any senior debt securities of such series as required by the securities resolution or supplemental indenture establishing such series and the default continues for a period of 60 days;</w:t>
      </w:r>
    </w:p>
    <w:p>
      <w:pPr>
        <w:spacing w:after="0" w:line="161" w:lineRule="exact"/>
        <w:rPr>
          <w:rFonts w:ascii="Times New Roman" w:cs="Times New Roman" w:eastAsia="Times New Roman" w:hAnsi="Times New Roman"/>
          <w:sz w:val="18"/>
          <w:szCs w:val="18"/>
          <w:color w:val="auto"/>
        </w:rPr>
      </w:pPr>
    </w:p>
    <w:p>
      <w:pPr>
        <w:ind w:left="120" w:right="220" w:firstLine="436"/>
        <w:spacing w:after="0" w:line="282" w:lineRule="auto"/>
        <w:tabs>
          <w:tab w:leader="none" w:pos="8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defaults in the performance of any of its other agreements applicable to the series and the default continues for 90 days after the notice specified below;</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Obligor pursuant to or within the meaning of any Bankruptcy Law:</w:t>
      </w:r>
    </w:p>
    <w:p>
      <w:pPr>
        <w:spacing w:after="0" w:line="117"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117" w:lineRule="exact"/>
        <w:rPr>
          <w:rFonts w:ascii="Times New Roman" w:cs="Times New Roman" w:eastAsia="Times New Roman" w:hAnsi="Times New Roman"/>
          <w:sz w:val="18"/>
          <w:szCs w:val="18"/>
          <w:color w:val="auto"/>
        </w:rPr>
      </w:pPr>
    </w:p>
    <w:p>
      <w:pPr>
        <w:ind w:left="1260" w:hanging="281"/>
        <w:spacing w:after="0"/>
        <w:tabs>
          <w:tab w:leader="none" w:pos="12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117" w:lineRule="exact"/>
        <w:rPr>
          <w:rFonts w:ascii="Times New Roman" w:cs="Times New Roman" w:eastAsia="Times New Roman" w:hAnsi="Times New Roman"/>
          <w:sz w:val="18"/>
          <w:szCs w:val="18"/>
          <w:color w:val="auto"/>
        </w:rPr>
      </w:pPr>
    </w:p>
    <w:p>
      <w:pPr>
        <w:ind w:left="1260" w:hanging="281"/>
        <w:spacing w:after="0"/>
        <w:tabs>
          <w:tab w:leader="none" w:pos="12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for it or for all or substantially all of its property; or</w:t>
      </w:r>
    </w:p>
    <w:p>
      <w:pPr>
        <w:spacing w:after="0" w:line="117"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17"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an Obligor in an involuntary case;</w:t>
      </w:r>
    </w:p>
    <w:p>
      <w:pPr>
        <w:spacing w:after="0" w:line="117" w:lineRule="exact"/>
        <w:rPr>
          <w:rFonts w:ascii="Times New Roman" w:cs="Times New Roman" w:eastAsia="Times New Roman" w:hAnsi="Times New Roman"/>
          <w:sz w:val="18"/>
          <w:szCs w:val="18"/>
          <w:color w:val="auto"/>
        </w:rPr>
      </w:pPr>
    </w:p>
    <w:p>
      <w:pPr>
        <w:ind w:left="1260" w:hanging="281"/>
        <w:spacing w:after="0"/>
        <w:tabs>
          <w:tab w:leader="none" w:pos="12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for an Obligor or for all or substantially all of its property; or</w:t>
      </w:r>
    </w:p>
    <w:p>
      <w:pPr>
        <w:spacing w:after="0" w:line="117" w:lineRule="exact"/>
        <w:rPr>
          <w:rFonts w:ascii="Times New Roman" w:cs="Times New Roman" w:eastAsia="Times New Roman" w:hAnsi="Times New Roman"/>
          <w:sz w:val="18"/>
          <w:szCs w:val="18"/>
          <w:color w:val="auto"/>
        </w:rPr>
      </w:pPr>
    </w:p>
    <w:p>
      <w:pPr>
        <w:ind w:left="1260" w:hanging="281"/>
        <w:spacing w:after="0"/>
        <w:tabs>
          <w:tab w:leader="none" w:pos="12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an Obligor, and the order or decree remains unstayed and in effect for 60 days; or</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any other Event of Default provided for in such series.</w:t>
      </w:r>
    </w:p>
    <w:p>
      <w:pPr>
        <w:spacing w:after="0" w:line="225" w:lineRule="exact"/>
        <w:rPr>
          <w:sz w:val="20"/>
          <w:szCs w:val="20"/>
          <w:color w:val="auto"/>
        </w:rPr>
      </w:pPr>
    </w:p>
    <w:p>
      <w:pPr>
        <w:jc w:val="both"/>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term “Bankruptcy Law” means Title 11, U.S. Code or any similar Federal or State law for the relief of debtors. The term “Custodian” means any receiver, trustee, assignee, liquidator or a similar official under any Bankruptcy Law.</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“Default” means any event which is, or after notice or passage of time would be, an Event of Default. A Default under subparagraph (4) above is not an Event of Default until the trustee or the holders of at least 33-1/3% in principal amount of the series notify us of the Default and we do not cure the Default within the time specified after receipt of the notice.</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40"/>
          </w:cols>
          <w:pgMar w:left="320" w:top="455" w:right="5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section, the term “Obligor” shall mean each of us and any subsidiary guarantor identified in a securities resolution or supplemental indenture, in each case excluding such entity’s subsidiaries.</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occurs and is continuing on a series, the trustee by notice to Evergy Kansas Central, or the holders of at least 33-1/3% in principal amount of the series by notice to Evergy Kansas Central and the trustee, may declare the principal of and accrued interest on all the securities of the series to be due and payable immediately. Discounted debt securities may provide that the amount of principal due upon acceleration is less than the stated principal amount.</w:t>
      </w:r>
    </w:p>
    <w:p>
      <w:pPr>
        <w:spacing w:after="0" w:line="180"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series by notice to the trustee may rescind an acceleration and its consequences if the rescission would not conflict with any judgment or decree and if all existing Events of Default on the series have been cured or waived except nonpayment of principal or interest that has become due solely because of the acceleration.</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trustee may require indemnity satisfactory to it before it enforces the senior indenture or the senior debt securities of the series. Subject to certain limitations, holders of a majority in principal amount of the senior debt securities of the series may direct the trustee in its exercise of any trust or power with respect to such series. The trustee is required, within 90 days after the occurrence thereof, to give to the holders of the senior debt securities notice of all Defaults actually known to the trustee, as provided in the applicable indenture, to have occurred and be continuing. Except in the case of Default in payment on a series, the trustee may withhold from holders of such series notice of any continuing Default if the trustee determines that withholding notice is in the interest of such holders. We are required to furnish the trustee annually a brief certificate as to our compliance with all conditions and covenants under the senior indenture.</w:t>
      </w:r>
    </w:p>
    <w:p>
      <w:pPr>
        <w:spacing w:after="0" w:line="18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failure to redeem any senior debt securities when such redemption is subject to the occurrence of a condition prior to redemption, is not an Event of Default if any event on which such redemption is so conditioned does not occur and is not waived before the scheduled redemption date.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senior indenture does not have a cross-default provision. Thus, a default by any Obligor on any other debt, including any other series of senior debt securities, would not constitute an Event of Default.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Amendments and Waivers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Unless the securities resolution or supplemental indenture otherwise provides (in which event the applicable prospectus supplement will so state), the senior debt securities and the senior indenture may be amended with the consent of the holders of a majority in principal amount of the senior debt securities of all series affected voting as one class. Unless the securities resolution or supplemental indenture otherwise provides (in which event the applicable prospectus supplement will so state), a Default on a particular series may be waived with the consent of the holders of a majority in principal amount of the senior debt securities of the series, except for a Default in payment of interest or principal or a Default in respect of a provision of the senior indenture that cannot be amended without the consent of each holder affected. However, without the consent of each holder affected, no amendment or waiver may:</w:t>
      </w:r>
    </w:p>
    <w:p>
      <w:pPr>
        <w:spacing w:after="0" w:line="81" w:lineRule="exact"/>
        <w:rPr>
          <w:sz w:val="20"/>
          <w:szCs w:val="20"/>
          <w:color w:val="auto"/>
        </w:rPr>
      </w:pPr>
    </w:p>
    <w:p>
      <w:pPr>
        <w:ind w:left="820" w:hanging="264"/>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senior debt securities whose holders must consent to an amendment or waiver;</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interest on or change the time for payment of interest on any senior debt security;</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fixed maturity of any senior debt security;</w:t>
      </w:r>
    </w:p>
    <w:p>
      <w:pPr>
        <w:spacing w:after="0" w:line="225" w:lineRule="exact"/>
        <w:rPr>
          <w:rFonts w:ascii="Times New Roman" w:cs="Times New Roman" w:eastAsia="Times New Roman" w:hAnsi="Times New Roman"/>
          <w:sz w:val="18"/>
          <w:szCs w:val="18"/>
          <w:color w:val="auto"/>
        </w:rPr>
      </w:pPr>
    </w:p>
    <w:p>
      <w:pPr>
        <w:ind w:left="120" w:firstLine="436"/>
        <w:spacing w:after="0" w:line="282" w:lineRule="auto"/>
        <w:tabs>
          <w:tab w:leader="none" w:pos="8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any non-Discounted Debt Security or reduce the amount of the principal of any Discounted Debt Security that would be due on acceleration thereof;</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the principal or interest on a senior debt security is payable;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820" w:hanging="264"/>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materially adversely affects the right to convert any senior debt security; or</w:t>
      </w:r>
    </w:p>
    <w:p>
      <w:pPr>
        <w:spacing w:after="0" w:line="225" w:lineRule="exact"/>
        <w:rPr>
          <w:rFonts w:ascii="Times New Roman" w:cs="Times New Roman" w:eastAsia="Times New Roman" w:hAnsi="Times New Roman"/>
          <w:sz w:val="18"/>
          <w:szCs w:val="18"/>
          <w:color w:val="auto"/>
        </w:rPr>
      </w:pPr>
    </w:p>
    <w:p>
      <w:pPr>
        <w:jc w:val="both"/>
        <w:ind w:left="120" w:right="400" w:firstLine="436"/>
        <w:spacing w:after="0" w:line="266" w:lineRule="auto"/>
        <w:tabs>
          <w:tab w:leader="none" w:pos="8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of the senior indenture regarding waiver of Defaults and amendments, except to increase the amount of senior debt securities whose holders must consent to an amendment or waiver, or to provide that other provisions of the senior indenture cannot be amended or waived without the consent of each holder affected thereby.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Without the consent of any holder, the senior indenture or the senior debt securities may be amended:</w:t>
      </w:r>
    </w:p>
    <w:p>
      <w:pPr>
        <w:spacing w:after="0" w:line="225" w:lineRule="exact"/>
        <w:rPr>
          <w:sz w:val="20"/>
          <w:szCs w:val="20"/>
          <w:color w:val="auto"/>
        </w:rPr>
      </w:pPr>
    </w:p>
    <w:p>
      <w:pPr>
        <w:ind w:left="820" w:hanging="264"/>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assumption of our obligations to securityholders in the event of a merger or consolidation requiring such assumption;</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specific provisions of the indenture shall not apply to a series of senior debt securities not previously issued;</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create a series and establish its terms;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 separate trustee for one or more series; or</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materially adversely affect the rights of any holder.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Defeasance and Covenant Defeasance</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Senior debt securities of a series may be defeased in accordance with their terms and, unless the securities resolution or supplemental indenture establishing the terms of the series otherwise provides, as set forth below. We at any time may terminate as to a series all of our obligations (except for certain obligations, including obligations with respect to the defeasance trust and obligations to register the transfer or exchange of a debt security, to replace destroyed, lost or stolen senior debt securities and coupons and to maintain paying agencies in respect of the debt securities) with respect to the senior debt securities of the series and any related coupons and the senior indenture (legal defeasance). We at any time may terminate as to a series our obligations with respect to any restrictive covenants which may be applicable to a particular series (covenant defeasance).</w:t>
      </w:r>
    </w:p>
    <w:p>
      <w:pPr>
        <w:spacing w:after="0" w:line="187"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covenant which may be applicable to a series.</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To exercise either defeasance option as to a series, we must (1) irrevocably deposit in trust (the defeasance trust) with the trustee or another trustee, money or U.S. Government Obligations, (2) deliver a certificate from a public accounting firm registered with the Public Company Accounting Oversight Board, expressing such firm’s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senior debt securities of such series to maturity or redemption, as the case may be, and (3) comply with certain other conditions as provided in the applicable indenture. In particular, we must obtain an opinion of tax counsel that the defeasance will not result in recognition of any gain or loss to holders for Federal income tax purposes.</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“U.S. Government Obligations” means direct obligations of the United States or any agency or instrumentality of the United States, the payment of which is unconditionally guaranteed by the United States, which, in either case, have the full faith and credit of the United States pledged for payment and which are not callable at the issuer’s option, or certificates representing an ownership interest in such obligations.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Regarding the Trustee</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Unless otherwise indicated in a prospectus supplement, the applicable trustee will also act as transfer agent and paying agent with respect to the senior debt securities and the subordinated debt securities. We may remove the trustee with or without cause if we so notify the trustee three months in advance and if no Default occurs during the three-month period. The trustee provides services to us as a depository of funds, registrar, trustee and similar services.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Subordinated Debt Securities</w:t>
      </w:r>
    </w:p>
    <w:p>
      <w:pPr>
        <w:spacing w:after="0" w:line="121"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Subordination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indebtedness evidenced by the subordinated debt securities is subordinate to the prior payment in full of all our Senior Indebtedness (defined below).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92" w:lineRule="exact"/>
        <w:rPr>
          <w:sz w:val="20"/>
          <w:szCs w:val="20"/>
          <w:color w:val="auto"/>
        </w:rPr>
      </w:pPr>
    </w:p>
    <w:p>
      <w:pPr>
        <w:jc w:val="both"/>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The term “Senior Indebtedness” of a person means with respect to such person the principal of, premium, if any, and interest on, and any other payment due pursuant to any of the following, whether outstanding on the date of the subordinated indenture or incurred by that person in the future:</w:t>
      </w:r>
    </w:p>
    <w:p>
      <w:pPr>
        <w:spacing w:after="0" w:line="45" w:lineRule="exact"/>
        <w:rPr>
          <w:sz w:val="20"/>
          <w:szCs w:val="20"/>
          <w:color w:val="auto"/>
        </w:rPr>
      </w:pPr>
    </w:p>
    <w:p>
      <w:pPr>
        <w:ind w:left="1080" w:right="2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for money borrowed, including any indebtedness secured by a mortgage, conditional sales contract or other lien which is (1) given to secure all or part of the purchase price of property subject thereto, whether given to the vendor of that property or to another lender, or (2) existing on property at the time that person acquires it;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evidenced by notes, debentures, bonds or other securities sold by that person for money;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lease obligations which are capitalized on the books of that person in accordance with generally accepted accounting principles;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81"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the subordinated debt securities. Our senior debt securities, and any unsubordinated guarantee obligations of ours or any subsidiary guarantor to which we and such guarantor are a party, including our, and the subsidiary guarantors’, guarantees of each others’ debt securities and other indebtedness for borrowed money, constitute Senior Indebtedness for purposes of the subordinated debt indenture.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senior indenture is, and any senior debt securities will be, governed by New York law. The subordinated indenture and any subordinated debt securities will be governed by New York law.</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40"/>
          </w:cols>
          <w:pgMar w:left="320" w:top="455" w:right="5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ESCRIPTION OF</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IRST</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ORTGAGE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ONDS</w:t>
      </w:r>
    </w:p>
    <w:p>
      <w:pPr>
        <w:spacing w:after="0" w:line="229"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The first mortgage bonds will be issued under and secured by the Mortgage and Deed of Trust, dated July 1, 1939, between us and The Bank of New York Mellon Trust Company, N.A., as successor to BNY Midwest Trust Company, as successor to Harris Trust and Savings Bank, as trustee, as previously supplemented and amended by supplemental indentures. We refer to the original mortgage, as so supplemented and amended, as the mortgage. All the first mortgage bonds issued or issuable under the mortgage are referred to as the “bonds.” We have summarized below the material provisions of the mortgage and the bonds or indicated which material provisions will be described in the related prospectus supplement. These descriptions are only summaries, and you should refer to the mortgage itself, which describes completely the terms and definitions summarized below and contains additional information about the bonds.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Additional Bonds</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bonds, when issued, may rank equally with the bonds of other series then outstanding, and may be issued having dates, maturities, interest rates, redemption prices and other terms as may be determined by our board of directors. Additional bonds may be issued under the mortgage in principal amounts not exceeding the sum of:</w:t>
      </w:r>
    </w:p>
    <w:p>
      <w:pPr>
        <w:spacing w:after="0" w:line="68" w:lineRule="exact"/>
        <w:rPr>
          <w:sz w:val="20"/>
          <w:szCs w:val="20"/>
          <w:color w:val="auto"/>
        </w:rPr>
      </w:pPr>
    </w:p>
    <w:p>
      <w:pPr>
        <w:ind w:left="120" w:right="460" w:firstLine="436"/>
        <w:spacing w:after="0" w:line="282" w:lineRule="auto"/>
        <w:tabs>
          <w:tab w:leader="none" w:pos="8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(so long as any bonds issued prior to January 1, 1997 remain outstanding, and thereafter 70%) of the net bondable value of property additions not subject to an unfunded prior lien;</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bonds retired or to be retired (except out of trust monies); and</w:t>
      </w:r>
    </w:p>
    <w:p>
      <w:pPr>
        <w:spacing w:after="0" w:line="225" w:lineRule="exact"/>
        <w:rPr>
          <w:rFonts w:ascii="Times New Roman" w:cs="Times New Roman" w:eastAsia="Times New Roman" w:hAnsi="Times New Roman"/>
          <w:sz w:val="18"/>
          <w:szCs w:val="18"/>
          <w:color w:val="auto"/>
        </w:rPr>
      </w:pPr>
    </w:p>
    <w:p>
      <w:pPr>
        <w:ind w:left="120" w:right="120" w:firstLine="436"/>
        <w:spacing w:after="0" w:line="282" w:lineRule="auto"/>
        <w:tabs>
          <w:tab w:leader="none" w:pos="8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deposited with the trustee for such purpose, which may thereafter be withdrawn upon the same basis that additional bonds are issuable under clause (1) or (2) above.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 bonds may not be issued on the basis of property additions subject to an unfunded prior lien.</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to the restrictions discussed above, so long as any bonds issued prior to January 1, 1997 remain outstanding, additional bonds may not be issued unless our unconsolidated net earnings available for interest, depreciation and property retirements for a period of any 12 consecutive months during the period of 15 calendar months immediately preceding the first day of the month in which the application for authentication and delivery of additional bonds is made shall have been not less than the greater of two times (two and one-half times after all bonds issued prior to January 1, 1997 are no longer outstanding) the annual interest charges on, and 10% of the principal amount of, all bonds then outstanding, all additional bonds then applied for, all outstanding prior lien bonds and all prior lien bonds, if any, then being applied for. Bonds canceled at or prior to the time application is made for the issuance of new bonds are not deemed to be outstanding for purposes of calculating interest charges in determining whether the net earnings test is met for the issuance of additional bonds. Bonds or prior lien bonds for which monies sufficient for the payment thereof have been deposited with the trustee are not considered outstanding for this purpose.</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net earnings test referred to in the previous paragraph need not be satisfied to issue additional bonds:</w:t>
      </w:r>
    </w:p>
    <w:p>
      <w:pPr>
        <w:spacing w:after="0" w:line="131" w:lineRule="exact"/>
        <w:rPr>
          <w:sz w:val="20"/>
          <w:szCs w:val="20"/>
          <w:color w:val="auto"/>
        </w:rPr>
      </w:pPr>
    </w:p>
    <w:p>
      <w:pPr>
        <w:ind w:left="1080" w:right="2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property additions subject to an unfunded prior lien which simultaneously will become a funded prior lien, if application for the issuance of the additional bonds is made at any time after a date two years prior to the date of the maturity of the bonds secured by the prior lien; and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payment at maturity of bonds heretofore issued by us, or the redemption, conversion or purchase of bonds, after a date two years prior to the date on which those bonds mature.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reserved the right to amend the mortgage to eliminate the foregoing requirement. See “—Modification of the Mortgage.”</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Release and Substitution of Property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mortgage provides that, subject to various limitations, property may be released from the lien thereof on the basis of cash deposited with the trustee, bonds or purchase money obligations delivered to the trustee, prior lien bonds delivered to the trustee, or unfunded net property additions certified to the trustee. The mortgage also permits the withdrawal of cash against the certification to the trustee of gross property additions at 100%, or the net bondable value of property additions at 60% (so long as any bonds issued prior to January 1, 1997 remain outstanding, and thereafter 70%), or the deposit with the trustee of bonds we have acquired. The mortgage contains special provisions with respect to the release of all or substantially all of our gas and electric properties. We have reserved the right to amend the mortgage to change the release and substitution provisions. See “—Modification of the Mortgage.”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Priority and Security</w:t>
      </w:r>
    </w:p>
    <w:p>
      <w:pPr>
        <w:spacing w:after="0" w:line="12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The bonds when issued will be secured, equally and ratably with all of the bonds now outstanding or hereafter issued under the mortgage, by the lien on substantially all of our fixed property and franchises purported to be conveyed by the mortgage including after-acquired property of the character intended to be mortgaged property, subject to the exceptions referred to below, to certain minor leases and easements, permitted liens, exceptions and reservations in the instruments by which we acquired title to our property and the prior lien of the trustee for compensation, expenses and liability.</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Excepted from the lien of the mortgage are:</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accounts receivable;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or operating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not pledged under the mortgage;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 energy, gas, water, materials and supplies held for consumption in operation or held in advance of use for fixed capital purposes;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merchandise, appliances and supplies held for resale or lease to customers.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There is further expressly excepted any property of any other corporation, all the securities of which may be owned or later acquired by us. The lien of the mortgage does not apply to property of Evergy Kansas South so long as Evergy Kansas South remains our wholly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owned subsidiary, to the stock of Evergy Kansas South owned by us or to the stock of any of our other subsidiaries. The mortgage permits our consolidation or merger with, or the conveyance of all or substantially all of our property to, any other corporation; provided, among other things, that the successor corporation assumes the due and punctual payment of the principal and interest on the bonds of all series then outstanding under the mortgage and assumes the due and punctual performance of all the covenants and conditions of the mortgage.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only have a shareholder’s claim on the assets of our subsidiaries. This shareholder’s claim is junior to the claims that creditors of our subsidiaries have against our subsidiaries. Holders of our bonds are our creditors and not creditors of any of our subsidiaries. As a result, all the existing and future liabilities of our subsidiaries, including any claims of their creditors, are structurally senior to the bonds with respect to the assets of our subsidiaries.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bonds are our obligations exclusively. To the extent that our ability to service our debt, including the bonds, may be dependent upon the earnings of our subsidiaries, our ability to do so will be dependent on the ability of our subsidiaries to distribute those earnings to us as dividends, loans or other payments. Our subsidiaries are separate and distinct legal entities and have no obligation, contingent or otherwise, to pay 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amounts due on the bonds or to make funds available to us to do so. Our subsidiaries’ ability to pay dividends or make other payments or advances to us will depend upon their operating results and will be subject to applicable laws and contractual restrictions. The mortgages will not limit our subsidiaries’ ability to enter into other agreements that prohibit or restrict dividends or other payments or advances to us. Our Amended and Restated Credit Agreement, dated as of August 31, 2021, as it may be subsequently amended from time to time, limits our significant subsidiaries’ ability to enter into other agreements that prohibit or restrict the declaration or payment of dividends to 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the Mortgage</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mortgage may be modified or altered, subject to our rights and obligations and the rights of holders of bonds, by the written consent of the holders of at least 60% in principal amount of all of the bonds outstanding thereunder, and, if the rights of one or more, but less than all, series of bonds then outstanding are to be affected by action taken pursuant to such consent, then also by consent of the holders of at least 60% in principal amount of each series of bonds so affected. No modification or alteration may be made which will permit the extension of the time or times of payment of the principal of, and premium, if any, or interest (including additional interest) on, any bond or a reduction in the rate of interest thereon, or otherwise affect the terms of payment of the principal of, and premium, if any, or interest (including additional interest) on, any bond or a reduction in the rate of interest thereon or reduce the percentages required for the taking of any action thereunder. Bonds owned by us or any affiliated corporation are excluded for the purpose of any vote, determination of a quorum or consent.</w:t>
      </w:r>
    </w:p>
    <w:p>
      <w:pPr>
        <w:spacing w:after="0" w:line="19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mortgage also provides that without the consent of any holder of any bond issued thereunder, the right of such holder to receive payment of the principal of, and premium, if any, or interest (including additional interest) on, on or after the respective due dates expressed in such bond, or to institute suit for the enforcement of any payment on or after such respective due dates shall not be impaired or affected.</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reserved the right, subject to appropriate corporate action, but without the consent or other action of holders of bonds of any series created after January 1, 1997, to make amendments to the mortgage to permit, unless an event of default shall have happened and be continuing, or shall happen as a result of making or granting an application:</w:t>
      </w:r>
    </w:p>
    <w:p>
      <w:pPr>
        <w:spacing w:after="0" w:line="68" w:lineRule="exact"/>
        <w:rPr>
          <w:sz w:val="20"/>
          <w:szCs w:val="20"/>
          <w:color w:val="auto"/>
        </w:rPr>
      </w:pPr>
    </w:p>
    <w:p>
      <w:pPr>
        <w:ind w:left="120" w:right="160" w:firstLine="436"/>
        <w:spacing w:after="0" w:line="261" w:lineRule="auto"/>
        <w:tabs>
          <w:tab w:leader="none" w:pos="8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from the lien of the mortgage of any mortgaged property if the fair value of all of the property constituting the trust estate (excluding the mortgaged property to be released but including any mortgaged property to be acquired by us with the proceeds of, or otherwise in connection with, such release) equals or exceeds an amount equal to 10/7ths of the aggregate principal amount of outstanding bonds and any prior lien bonds outstanding at the time of such release;</w:t>
      </w:r>
    </w:p>
    <w:p>
      <w:pPr>
        <w:spacing w:after="0" w:line="179" w:lineRule="exact"/>
        <w:rPr>
          <w:rFonts w:ascii="Times New Roman" w:cs="Times New Roman" w:eastAsia="Times New Roman" w:hAnsi="Times New Roman"/>
          <w:sz w:val="18"/>
          <w:szCs w:val="18"/>
          <w:color w:val="auto"/>
        </w:rPr>
      </w:pPr>
    </w:p>
    <w:p>
      <w:pPr>
        <w:ind w:left="120" w:right="180" w:firstLine="436"/>
        <w:spacing w:after="0" w:line="261" w:lineRule="auto"/>
        <w:tabs>
          <w:tab w:leader="none" w:pos="8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we are unable to obtain a release of property as described in clause (1), the release from the lien of the mortgage of any property constituting part of the trust estate if the fair value thereof is less than 1/2 of 1% of the aggregate principal amount of bonds and prior lien bonds outstanding at the time of such release; provided, that the aggregate fair value of the property released pursuant to this clause (2) in any period of 12 consecutive calendar months shall not exceed 1% of such bonds and prior lien bonds;</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deletion of the net earnings test for the issuance of additional bonds or merging into another company;</w:t>
      </w:r>
    </w:p>
    <w:p>
      <w:pPr>
        <w:spacing w:after="0" w:line="225" w:lineRule="exact"/>
        <w:rPr>
          <w:rFonts w:ascii="Times New Roman" w:cs="Times New Roman" w:eastAsia="Times New Roman" w:hAnsi="Times New Roman"/>
          <w:sz w:val="18"/>
          <w:szCs w:val="18"/>
          <w:color w:val="auto"/>
        </w:rPr>
      </w:pPr>
    </w:p>
    <w:p>
      <w:pPr>
        <w:ind w:left="120" w:right="180" w:firstLine="436"/>
        <w:spacing w:after="0" w:line="282" w:lineRule="auto"/>
        <w:tabs>
          <w:tab w:leader="none" w:pos="8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deletion of a financial test to be met by another corporation in the event of our consolidation or merger into or our sale of our property as an entirety or substantially as an entirety to such other corporation; and</w:t>
      </w:r>
    </w:p>
    <w:p>
      <w:pPr>
        <w:spacing w:after="0" w:line="161" w:lineRule="exact"/>
        <w:rPr>
          <w:rFonts w:ascii="Times New Roman" w:cs="Times New Roman" w:eastAsia="Times New Roman" w:hAnsi="Times New Roman"/>
          <w:sz w:val="18"/>
          <w:szCs w:val="18"/>
          <w:color w:val="auto"/>
        </w:rPr>
      </w:pPr>
    </w:p>
    <w:p>
      <w:pPr>
        <w:ind w:left="120" w:right="140" w:firstLine="436"/>
        <w:spacing w:after="0" w:line="282" w:lineRule="auto"/>
        <w:tabs>
          <w:tab w:leader="none" w:pos="8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deletion of the requirement to obtain an independent engineer’s certificate in connection with certain releases of property from the lien of the mortgage.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have also reserved the right, subject to appropriate corporate action, but without the consent or other action of holders of bonds of any series created on or after June 1, 2004, to:</w:t>
      </w:r>
    </w:p>
    <w:p>
      <w:pPr>
        <w:spacing w:after="0" w:line="54" w:lineRule="exact"/>
        <w:rPr>
          <w:sz w:val="20"/>
          <w:szCs w:val="20"/>
          <w:color w:val="auto"/>
        </w:rPr>
      </w:pPr>
    </w:p>
    <w:p>
      <w:pPr>
        <w:jc w:val="both"/>
        <w:ind w:left="120" w:right="40" w:firstLine="436"/>
        <w:spacing w:after="0" w:line="261" w:lineRule="auto"/>
        <w:tabs>
          <w:tab w:leader="none" w:pos="81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mortgage to allow us or any successor entity to issue substitute bonds (or similar instruments) for any outstanding bonds, provided that such substitute bonds (or similar instruments) carry ratings equal to or better than the then current ratings of the bonds which are being replaced and that certain other conditions are satisfied. The mortgage and deed of trust under which any such substitute bonds (or similar instruments) may be issued may contain terms and conditions different from the mortgage;</w:t>
      </w:r>
    </w:p>
    <w:p>
      <w:pPr>
        <w:spacing w:after="0" w:line="179" w:lineRule="exact"/>
        <w:rPr>
          <w:rFonts w:ascii="Times New Roman" w:cs="Times New Roman" w:eastAsia="Times New Roman" w:hAnsi="Times New Roman"/>
          <w:sz w:val="18"/>
          <w:szCs w:val="18"/>
          <w:color w:val="auto"/>
        </w:rPr>
      </w:pPr>
    </w:p>
    <w:p>
      <w:pPr>
        <w:ind w:left="120" w:right="100" w:firstLine="436"/>
        <w:spacing w:after="0" w:line="282" w:lineRule="auto"/>
        <w:tabs>
          <w:tab w:leader="none" w:pos="81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as an event of default the failure to discharge or stay within 30 days a final judgment against us for the payment of money in excess of $100,000;</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net earnings test in connection with certain acquisitions of property;</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nuclear fuel to the definition of property additions; and</w:t>
      </w:r>
    </w:p>
    <w:p>
      <w:pPr>
        <w:spacing w:after="0" w:line="225" w:lineRule="exact"/>
        <w:rPr>
          <w:rFonts w:ascii="Times New Roman" w:cs="Times New Roman" w:eastAsia="Times New Roman" w:hAnsi="Times New Roman"/>
          <w:sz w:val="18"/>
          <w:szCs w:val="18"/>
          <w:color w:val="auto"/>
        </w:rPr>
      </w:pPr>
    </w:p>
    <w:p>
      <w:pPr>
        <w:ind w:left="120" w:firstLine="436"/>
        <w:spacing w:after="0" w:line="269" w:lineRule="auto"/>
        <w:tabs>
          <w:tab w:leader="none" w:pos="815"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certain amendments to modernize and clarify the terms of the mortgage. These amendments will not adversely affect the rights of holders of bonds and may include the following provisions, among others: (i) simplification of the trustee provisions; (ii) the addition of a governing law clause; (iii) the addition of defeasance provisions for future issuances of bonds; (iv) elimination of maintenance and improvement fund requirements for future issuances of bonds (which requirements will instead be added to specific series of bonds); (v) simplification of the release provisions for obsolete property, de minimis property releases and substitution of property and unfunded property; (vi) the ability to issue global or uncertificated securities;</w:t>
      </w:r>
    </w:p>
    <w:p>
      <w:pPr>
        <w:spacing w:after="0" w:line="2" w:lineRule="exact"/>
        <w:rPr>
          <w:rFonts w:ascii="Times New Roman" w:cs="Times New Roman" w:eastAsia="Times New Roman" w:hAnsi="Times New Roman"/>
          <w:sz w:val="17"/>
          <w:szCs w:val="17"/>
          <w:color w:val="auto"/>
        </w:rPr>
      </w:pPr>
    </w:p>
    <w:p>
      <w:pPr>
        <w:ind w:left="120" w:right="640" w:hanging="4"/>
        <w:spacing w:after="0" w:line="260" w:lineRule="auto"/>
        <w:tabs>
          <w:tab w:leader="none" w:pos="4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clarification of our ability to issue variable rate bonds under the mortgage and (viii) amendment of the definitions of excepted property and permitted liens.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under the mortgage includes:</w:t>
      </w:r>
    </w:p>
    <w:p>
      <w:pPr>
        <w:spacing w:after="0" w:line="131"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any bond when the same shall become due and payable, whether at maturity or otherwise;</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continuing for 30 days in the payment of any installment of interest on any bond or in the payment or satisfaction of any sinking fund obligation;</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performance or observance of any other covenant, agreement or condition in the mortgage continuing for a period of 60 days after written notice to us thereof by the trustee or by the holders of not less than 15% of the aggregate principal amount of all bonds then outstanding;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discharge or stay within 30 days a final judgment against us for the payment of money in excess of $100,000;</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any prior lien bond when the same shall become due and payable, whether at maturity or otherwise, or default in the payment of any installment on interest on any prior lien bond beyond the applicable grace period specified in such prior lien bond;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 bankruptcy, insolvency or reorganization.</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have reserved the right to amend the mortgage to eliminate the fourth event of default described above with respect to future series of bonds. The trustee is required, within 90 days after the occurrence thereof, to give to the holders of the bonds notice of all defaults known to the trustee unless such defaults shall have been cured before the giving of such notice (the term “defaults” for such purposes being defined to be the events specified above, not including any grace periods); provided, however, that except in the case of default in the payment of the principal of, and premium, if any, or interest (including additional interest) on, any of the bonds, or in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payment or satisfaction of any sinking or purchase fund installment, the trustee shall be protected in withholding notice if and so long as the trustee in good faith determines that the withholding of notice is in the interests of the holders of the bonds and, in the case of any default specified in the third bullet point above, no notice shall be given until at least 60 days after the occurrence thereof with respect to future series of bonds. The trustee is under no obligation to defend or initiate any action under the mortgage which would result in the incurring of non-reimbursable expenses unless one or more of the holders of any of the outstanding bonds furnishes the trustee with a reasonable indemnity against such expenses. In the event of a default, the trustee is not required to act unless requested to act by holders of at least 25% in aggregate principal amount of the bonds then outstanding. In addition, a majority of the holders of the bonds have the right to direct all proceedings under the mortgage provided the trustee is indemnified to its satisfaction.</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shall have happened and be continuing, the trustee may, in its discretion and, upon written request of not less than 25% of the bondholders, shall by notice in writing delivered to us declare the principal amount of all bonds, if not already due and payable, to be immediately due and payable; and upon any such declaration of all bonds shall become and be immediately due and payable. This provision, however, is subject to the condition that, if at any time after the principal of the bonds shall have been so declared due and payable and prior to the date of maturity thereof as stated in the bonds and before any sale of the trust estate shall have been made, all arrears of interest upon all such bonds (with interest at the rate specified in such bonds on any overdue installment of interest and the expenses of the trustee, its agents and attorneys) shall either be paid by us or be collected and paid out of the trust estate, and defaults as aforesaid (other than the payment of principal which has been so declared due and payable) shall have been made good or secured to the satisfaction of the trustee or provision deemed by the trustee to be adequate shall be made therefor, then, and in every such case, a majority of the bondholders may waive such default and its consequences and rescind such declaration; but no such waiver shall extend to or affect any subsequent default or impair or exhaust any right or power consequent thereon.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OOK</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NTRY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YSTEM</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each series of first mortgage bonds and debt securities will initially be issued in the form of one or more global securities, in registered form, without coupons. The global securities will be deposited with, or on behalf of, the depository, and registered in the name of the depository or a nominee of the depository. Unless otherwise indicated in the applicable prospectus supplement, the depository for any global securities will be The Depository Trust Company, or DTC.</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So long as the depository, or its nominee, is the registered owner of a global security, such depository or such nominee, as the case may be, will be considered the owner of such global security for all purposes under the applicable indenture, including for any notices and voting. Except in limited circumstances, the owners of beneficial interests in a global security will not be entitled to have securities registered in their names, will not receive or be entitled to receive physical delivery of any such securities and will not be considered the registered holder thereof under the applicable indenture. Accordingly, each person holding a beneficial interest in a global security must rely on the procedures of the depository and, if such person is not a direct participant, on procedures of the direct participant through which such person holds its interest, to exercise any of the rights of a registered owner of such security.</w:t>
      </w:r>
    </w:p>
    <w:p>
      <w:pPr>
        <w:spacing w:after="0" w:line="189"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provided in any applicable prospectus supplement, global securities may be exchanged in whole for certificated securities only if the depository notifies us that it is unwilling or unable to continue as depository for the global securities or the depository has ceased to be a clearing agency registered under the Exchange Act and, in either case, we thereupon fail to appoint a successor depository within 90 days. We may decide to discontinue use of the system of book-entry-only transfers through DTC (or a successor securities depository), subject to DTC’s or such successor’s procedures, as the case may be.</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any such case, we have agreed to notify the applicable trustee or other relevant agent of ours in writing that, upon surrender by the direct participants and indirect participants of their interest in such global securities, certificated securities representing the applicable securities will be issued to each person that such direct participants and indirect participants and the depository identify as being the beneficial owner of such securities.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based solely on information furnished by DTC:</w:t>
      </w:r>
    </w:p>
    <w:p>
      <w:pPr>
        <w:spacing w:after="0" w:line="11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DTC will act as depository for the global securities. The global securities will be issued as fully-registered securities registered in the name of Cede &amp; Co. (DTC’s partnership nominee) or such other name as may be requested by an authorized representative of DTC. One fully-registered global security certificate will be issued for each issue of the global securities, each in the aggregate principal amount of such issue, and will be deposited with DTC. If, however, the aggregate principal amount of any issue of a series of debt securities exceeds $500 million, one certificate will be issued with respect to each $500 million of principal amount, and an additional certificate will be issued with respect to any remaining principal amount of such series.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securities that its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w:t>
      </w:r>
    </w:p>
    <w:p>
      <w:pPr>
        <w:spacing w:after="0" w:line="19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Direct participants include both U.S. and non-U.S. securities brokers and dealers,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which are referred to as indirect participants and, together with the direct participants, the participants. The DTC rules applicable its participants are on file with the SEC. More information about DTC can be found at www.dtcc.com. The contents of such website do not constitute part of this prospectus.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Purchases of global securities under the DTC system must be made by or through direct participants, who will receive a credit for the global securities on DTC’s records. The ownership interest of each actual purchaser of each global security, or beneficial owner, is in turn to be recorded on the direct and indirect participants’ records. Beneficial owners will not receive written confirmation from DTC of their purchase. Beneficial owners, however, are expected to receive written confirmations providing details of the transaction, as well as periodic statements of their holdings, from the direct or indirect participant through which the beneficial owner entered into the transaction. Transfers of ownership interests in the global securities are to be accomplished by entries made on the books of direct and indirect participants acting on behalf of beneficial owners. Beneficial owners will not receive certificates representing their ownership interests in the global securities, except in the event that use of the book-entry system for the global securities is discontinued.</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are registered in the name of DTC’s partnership nominee, Cede &amp; Co., or such other name as may be requested by an authorized representative of DTC. The deposit of global securities with DTC and their registration in the name of Cede &amp; Co. or such other DTC nominee do not effect any change in beneficial ownership. DTC has no knowledge of the actual beneficial owners of the global securities; DTC’s records reflect only the identity of the direct participants to whose accounts such global securities are credited, which may or may not be the beneficial owners. The direct and indirect participants will remain responsible for keeping account of their holdings on behalf of their customers.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Beneficial owners of global securities may wish to take certain steps to augment the transmission to them of notices of significant events with respect to the global securities, such as redemptions, tenders, defaults, and proposed amendments to the security documents. For example, beneficial owners of global securities may wish to ascertain that the nominee holding the global securities for their benefit has agreed to obtain and transmit notices to beneficial owners. In the alternative, beneficial owners may wish to provide their names and addresses to the registrar and request that copies of the notices be provided directly to them.</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 global securities are redeemable, redemption notices shall be sent to DTC. If less than all of the global securities are being redeemed, DTC’s practice is to determine by lot the amount of the interest of each direct participant in such issue to be redeemed.</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global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global securities are credited on the record date, identified in a listing attached to the omnibus proxy.</w:t>
      </w:r>
    </w:p>
    <w:p>
      <w:pPr>
        <w:spacing w:after="0" w:line="180"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Principal, interest and premium payments, if any, on debt securities or first mortgage bonds, in each case, represented by global securities, will be made to Cede &amp; Co., or such other nominee as may be requested by an authorized representative of DTC. DTC’s practice is to credit direct participants’ accounts upon DTC’s receipt of funds and corresponding detail information from us or the trustee for such securities, on the payable date in accordance with their respective holdings shown on DTC’s records. Payments by participants to beneficial</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owners will be governed by standing instructions and customary practices, as is the case with securities held for the accounts of customers in bearer form or registered in “street name,” and will be the responsibility of such participant and not of DTC, the trustee for such securities, or us, subject to any statutory or regulatory requirements as may be in effect from time to time. Payment of principal, premium, if any, and interest on debt securities or first mortgage bonds, in each case, represented by global securities, to Cede &amp; Co. (or such other nominee as may be requested by an authorized representative of DTC) is the responsibility of the appropriate trustee, or other relevant agent of ours and us. Disbursement of such payments to direct participants shall be the responsibility of DTC, and disbursement of such payments to the beneficial owners shall be the responsibility of the participants.</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DTC may discontinue providing its services as depository with respect to the global securities at any time by giving reasonable notice to us or the applicable trustee or other relevant agent of ours. Under such circumstances, in the event that a successor depository is not obtained, securities certificates will be required to be printed and delivered to the holders of record. Additionally, we may decide to discontinue use of the system of book-entry transfers through DTC (or a successor securities depository) with respect to the global securities.</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including DTC, that we believe to be reliable, but we take no responsibility for the accuracy thereof.</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dealers or agents of any of the securities may be direct participants of DTC.</w:t>
      </w:r>
    </w:p>
    <w:p>
      <w:pPr>
        <w:spacing w:after="0" w:line="329" w:lineRule="exact"/>
        <w:rPr>
          <w:sz w:val="20"/>
          <w:szCs w:val="20"/>
          <w:color w:val="auto"/>
        </w:rPr>
      </w:pPr>
    </w:p>
    <w:p>
      <w:pPr>
        <w:jc w:val="both"/>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None of the trustees, us or other relevant agent of ours for payment on or registration of transfer or exchange of any global security will have any responsibility or liability for any aspect of the records relating to or payments made on account of beneficial interests in such global security or for maintaining, supervising or reviewing any records relating to such beneficial interests.</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LAN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ISTRIBUTION</w:t>
      </w:r>
    </w:p>
    <w:p>
      <w:pPr>
        <w:spacing w:after="0" w:line="229"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may sell the securities in one or more of the following ways from time to time: (i) to underwriters for resale to the public or to institutional investors; (ii) directly to institutional investors; or (iii) through dealers or agents to the public or to institutional investors. The prospectus supplement with respect to each series of securities will set forth the specific terms of the offering of such securities, including the name or names of any underwriters, dealers or agents, the purchase price of such securities, and the proceeds to us from such sale, any underwriting discounts or agency fees and other items constituting underwriters’, dealers’ or agents’ compensation, any initial public offering price, any discounts or concessions allowed or reallowed or paid to dealers and any securities exchange on which such securities may be listed.</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underwriters participate in the sale, such securities will be acquired by the underwriters for their own account and may be resold from time to time in one or more transactions, including negotiated transactions, at a fixed public offering price or at varying prices determined at the time of sale. The securities may be offered to the public either through underwriting syndicates represented by one or more managing underwriters or directly by one or more of those firms. The specific managing underwriter or underwriters, if any, will be named in the prospectus supplement relating to the particular securities together with the members of the underwriting syndicate, if any.</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set forth in the applicable prospectus supplement, the obligations of the underwriters to purchase any series of securities will be subject to certain conditions precedent and the underwriters will be obligated to purchase all of such securities being offered, if any are purchased.</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sell the securities directly or through agents we designate from time to time. The applicable prospectus supplement will set forth the name of any agent involved in the offer or sale of the securities in respect of which such prospectus supplement is delivered and any commissions payable by us to such agent. Unless otherwise indicated in the applicable prospectus supplement, any agent will be acting on a best efforts basis for the period of its appointment.</w:t>
      </w:r>
    </w:p>
    <w:p>
      <w:pPr>
        <w:spacing w:after="0" w:line="180"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to indemnification against certain civil liabilities, including liabilities under the Securities Act of 1933, as amended. Underwriters and agents may engage in transactions with, or perform services for, us in the ordinary course of business.</w:t>
      </w:r>
    </w:p>
    <w:p>
      <w:pPr>
        <w:spacing w:after="0" w:line="176"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Any underwriters to whom securities are sold for public offering and sale may make a market in such securities, but such underwriters will not be obligated to do so and may discontinue any market making at any time without notice. The securities may or may not be listed on a national securities exchange.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EGAL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ATTERS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Legal matters with respect to the securities offered under this prospectus will be passed upon for us by Christie Dasek-Kaine, Senior Director, Counsel and Assistant Corporate Secretary and Hunton Andrews Kurth LLP, New York, New York. Bracewell LLP will pass on certain matters for the underwriters, dealers, purchasers, or agents. From time to time, Bracewell LLP acts as counsel for us and our affiliates for various matters. As of the date of this prospectus, Ms. Dasek-Kaine owned beneficially a number of shares of common stock of Evergy, Inc., including restricted stock, and performance shares which may be paid in shares of common stock at a later date based on Evergy, Inc.’s performance, which represented less than 0.1% of the total outstanding common stock of Evergy, Inc.</w:t>
      </w: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XPERTS</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Evergy Kansas Central, Inc. and subsidiaries incorporated by reference in this prospectus, have been audited by Deloitte &amp; Touche LLP, an independent registered public accounting firm, as stated in their report, which is also incorporated by reference herein. Such consolidated financial statements are incorporated by reference in reliance upon the report of such firm given their authority as experts in accounting and auditing.</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4"/>
          <w:szCs w:val="14"/>
          <w:b w:val="1"/>
          <w:bCs w:val="1"/>
          <w:color w:val="auto"/>
        </w:rPr>
        <w:t>OU</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AN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IND</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ORE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NFORMATION</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through the SEC’s Electronic Data Gathering, Analysis and Retrieval system and these filings are publically available through the SEC’s website (http://www.sec.gov).</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we file with them. We hereby incorporate by reference into this registration statement the following documents (except for the portions of Current Reports on Form 8-K furnished pursuant to Item 2.02 or Item 7.01 thereof, and any associated exhibits furnished pursuant to Item 9.01 thereof, or otherwise not filed with the SEC, which are deemed not to be incorporated by reference into this registration statement):</w:t>
      </w:r>
    </w:p>
    <w:p>
      <w:pPr>
        <w:spacing w:after="0" w:line="85"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as filed with the SEC on February 29, 2024;</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5"/>
        </w:numPr>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auto"/>
          </w:rPr>
          <w:t xml:space="preserve">Our Quarterly Reports on Form 10-Q for the quarterly periods ended March 31, 2024 and June 30, 2024, as filed with the SEC on </w:t>
        </w:r>
        <w:r>
          <w:rPr>
            <w:rFonts w:ascii="Times New Roman" w:cs="Times New Roman" w:eastAsia="Times New Roman" w:hAnsi="Times New Roman"/>
            <w:sz w:val="18"/>
            <w:szCs w:val="18"/>
            <w:u w:val="single" w:color="auto"/>
            <w:color w:val="0000EE"/>
          </w:rPr>
          <w:t>May 9,</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1">
        <w:r>
          <w:rPr>
            <w:rFonts w:ascii="Times New Roman" w:cs="Times New Roman" w:eastAsia="Times New Roman" w:hAnsi="Times New Roman"/>
            <w:sz w:val="18"/>
            <w:szCs w:val="18"/>
            <w:u w:val="single" w:color="auto"/>
            <w:color w:val="0000EE"/>
          </w:rPr>
          <w:t>August 9, 2024</w:t>
        </w:r>
      </w:hyperlink>
      <w:hyperlink r:id="rId60">
        <w:r>
          <w:rPr>
            <w:rFonts w:ascii="Times New Roman" w:cs="Times New Roman" w:eastAsia="Times New Roman" w:hAnsi="Times New Roman"/>
            <w:sz w:val="18"/>
            <w:szCs w:val="18"/>
            <w:color w:val="000000"/>
          </w:rPr>
          <w:t>, respectively; and</w:t>
        </w:r>
      </w:hyperlink>
    </w:p>
    <w:p>
      <w:pPr>
        <w:spacing w:after="0" w:line="67"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as filed with the SEC on </w:t>
      </w:r>
      <w:hyperlink r:id="rId82">
        <w:r>
          <w:rPr>
            <w:rFonts w:ascii="Times New Roman" w:cs="Times New Roman" w:eastAsia="Times New Roman" w:hAnsi="Times New Roman"/>
            <w:sz w:val="18"/>
            <w:szCs w:val="18"/>
            <w:u w:val="single" w:color="auto"/>
            <w:color w:val="0000EE"/>
          </w:rPr>
          <w:t>June 10, 2024</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0000EE"/>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All documents Evergy Kansas Central files pursuant to Sections 13(a), 13(c), 14 and 15(d) of the Exchange Act (excluding any information furnished pursuant to Item 2.02 or Item 7.01 of any Current Report on Form 8-K and any corresponding exhibits thereto not filed with the SEC or pursuant to other applicable SEC rules) subsequent to the date of this registration statement and prior to the filing of a post-effective amendment that indicates that all securities offered have been sold or which deregisters all securities then remaining unsold, shall be deemed to be incorporated by reference herein and to be a part hereof from the date of filing of such documents.</w:t>
      </w:r>
    </w:p>
    <w:p>
      <w:pPr>
        <w:spacing w:after="0" w:line="183" w:lineRule="exact"/>
        <w:rPr>
          <w:rFonts w:ascii="Times New Roman" w:cs="Times New Roman" w:eastAsia="Times New Roman" w:hAnsi="Times New Roman"/>
          <w:sz w:val="18"/>
          <w:szCs w:val="18"/>
          <w:color w:val="0000EE"/>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Any statement contained in this registration statement or in a document incorporated or deemed to be incorporated herein by reference shall be deemed to be modified or superseded for purposes of this registration statement to the extent that a statement contained herein or in any document subsequently filed by Evergy Kansas Central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3" w:lineRule="exact"/>
        <w:rPr>
          <w:rFonts w:ascii="Times New Roman" w:cs="Times New Roman" w:eastAsia="Times New Roman" w:hAnsi="Times New Roman"/>
          <w:sz w:val="18"/>
          <w:szCs w:val="18"/>
          <w:color w:val="0000EE"/>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our parent company, Evergy, and another wholly-owned subsidiary of Evergy, Evergy Metro, separately file combined reports under the Exchange Act. However, the information contained in the combined reports relating solely to our parent and its subsidiaries (other than Evergy Kansas Central and its consolidated subsidiaries), including Evergy Missouri West, Inc., was separately filed by Evergy on its behalf, the information contained in the combined reports relating solely to Evergy Metro and its subsidiaries was separately filed by Evergy Metro on its behalf and the information contained in those combined reports relating solely to Evergy Kansas Central and its consolidated subsidiaries was separately filed by us. We do not intend to incorporate by reference into this prospectus the information relating to Evergy and its subsidiaries (other than Evergy Kansas Central and its consolidated subsidiaries), and we make no representation as to the information relating to Evergy and its subsidiaries (other than Evergy Kansas Central and its consolidated subsidiaries) contained in the combined report. The only information you should rely upon in determining whether to invest in the securities offered hereby is the information of Evergy Kansas Central and its consolidated subsidiaries contained in this prospectus and any prospectus supplement, the information separately provided by Evergy Kansas Central and its consolidated subsidiaries in the documents incorporated by reference herein and therein and any free writing prospectus used in connection with the offering of securities described in this prospectus.</w:t>
      </w:r>
    </w:p>
    <w:p>
      <w:pPr>
        <w:spacing w:after="0" w:line="124"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make available, free of charge, on or through our parent company’s website (www.evergy.com), which website is not incorporated herein, our Annual Reports on Form 10-K, Quarterly Reports on Form 10-Q and Current Reports on Form 8-K, and amendments to those reports, filed or furnished pursuant to Section 13(a) or 15(d) of the Exchange Act as soon as reasonably practicable after we electronically file such material with, or furnish it to, the SEC. In addition, we make available on or through our parent company’s website all other reports, notifications and certifications filed electronically with the SEC. You may obtain a free copy of our filings with the SEC by writing or telephoning us at the following address: Evergy Kansas Central, Inc., 818 South Kansas Avenue, Topeka, Kansas 66612 (Telephone No.: 785-575-8227), Attention: Corporate Secretary, or by contacting us on our parent company’s website.</w:t>
      </w:r>
    </w:p>
    <w:p>
      <w:pPr>
        <w:spacing w:after="0" w:line="18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Subject to the foregoing, all information appearing in this registration statement is qualified in its entirety by the information appearing in the documents incorporated by reference in this registration statement.</w:t>
      </w: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8"/>
          <w:szCs w:val="28"/>
          <w:b w:val="1"/>
          <w:bCs w:val="1"/>
          <w:color w:val="auto"/>
        </w:rPr>
        <w:t>Evergy Kansas Central,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3985895</wp:posOffset>
            </wp:positionV>
            <wp:extent cx="6995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4054475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785"/>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1)"/>
      <w:numFmt w:val="lowerLetter"/>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1)"/>
      <w:numFmt w:val="lowerLetter"/>
      <w:start w:val="1"/>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10"/>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1"/>
    </w:lvl>
    <w:lvl w:ilvl="1">
      <w:lvlJc w:val="left"/>
      <w:lvlText w:val="(%2)"/>
      <w:numFmt w:val="upperLetter"/>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6"/>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lowerRoman"/>
      <w:start w:val="1"/>
    </w:lvl>
    <w:lvl w:ilvl="1">
      <w:lvlJc w:val="left"/>
      <w:lvlText w:val="(%2)"/>
      <w:numFmt w:val="decimal"/>
      <w:start w:val="1"/>
    </w:lvl>
  </w:abstractNum>
  <w:abstractNum w:abstractNumId="42">
    <w:nsid w:val="725A06FB"/>
    <w:multiLevelType w:val="hybridMultilevel"/>
    <w:lvl w:ilvl="0">
      <w:lvlJc w:val="left"/>
      <w:lvlText w:val="(%1)"/>
      <w:numFmt w:val="lowerRoman"/>
      <w:start w:val="7"/>
    </w:lvl>
    <w:lvl w:ilvl="1">
      <w:lvlJc w:val="left"/>
      <w:lvlText w:val="%2"/>
      <w:numFmt w:val="decimal"/>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15" Type="http://schemas.openxmlformats.org/officeDocument/2006/relationships/hyperlink" Target="http://www.sec.gov/ix?doc=/Archives/edgar/data/54476/000171126926000017/evrg-20251231.htm" TargetMode="External"/><Relationship Id="rId16" Type="http://schemas.openxmlformats.org/officeDocument/2006/relationships/hyperlink" Target="http://www.sec.gov/ix?doc=/Archives/edgar/data/54476/000171126926000057/evrg-20260331.htm" TargetMode="External"/><Relationship Id="rId59" Type="http://schemas.openxmlformats.org/officeDocument/2006/relationships/hyperlink" Target="http://www.sec.gov/ix?doc=/Archives/edgar/data/54476/000171126924000007/evrg-20231231.htm" TargetMode="External"/><Relationship Id="rId60" Type="http://schemas.openxmlformats.org/officeDocument/2006/relationships/hyperlink" Target="http://www.sec.gov/ix?doc=/Archives/edgar/data/54476/000171126924000013/evrg-20240331.htm" TargetMode="External"/><Relationship Id="rId61" Type="http://schemas.openxmlformats.org/officeDocument/2006/relationships/hyperlink" Target="http://www.sec.gov/ix?doc=/Archives/edgar/data/54476/000171126924000027/evrg-20240630.htm" TargetMode="External"/><Relationship Id="rId82" Type="http://schemas.openxmlformats.org/officeDocument/2006/relationships/hyperlink" Target="http://www.sec.gov/ix?doc=/Archives/edgar/data/54476/000119312524157846/d81922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2026-06-22T07:48:34Z</dcterms:created>
  <dcterms:modified xsi:type="dcterms:W3CDTF">2026-06-22T07:48:34Z</dcterms:modified>
</cp:coreProperties>
</file>