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p>
      <w:pPr>
        <w:pStyle w:val="TextBody"/>
        <w:bidi w:val="0"/>
        <w:spacing w:lineRule="auto" w:line="288" w:before="0" w:after="0"/>
        <w:jc w:val="center"/>
        <w:rPr/>
      </w:pPr>
      <w:r>
        <w:rPr>
          <w:color w:val="000000"/>
        </w:rPr>
        <w:t xml:space="preserve">☒ </w:t>
      </w:r>
      <w:r>
        <w:rPr>
          <w:rFonts w:ascii="Times New Roman;sans-serif" w:hAnsi="Times New Roman;sans-serif"/>
          <w:b w:val="false"/>
          <w:color w:val="000000"/>
          <w:sz w:val="20"/>
        </w:rPr>
        <w:t>QUARTERLY REPORT PURSUANT TO SECTION 13 OR 15(d) OF THE SECURITIES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EXCHANGE ACT OF 1934</w:t>
      </w:r>
    </w:p>
    <w:p>
      <w:pPr>
        <w:pStyle w:val="TextBody"/>
        <w:bidi w:val="0"/>
        <w:spacing w:lineRule="auto" w:line="288" w:before="0" w:after="240"/>
        <w:jc w:val="center"/>
        <w:rPr/>
      </w:pPr>
      <w:r>
        <w:rPr>
          <w:rFonts w:ascii="Times New Roman;sans-serif" w:hAnsi="Times New Roman;sans-serif"/>
          <w:b w:val="false"/>
          <w:color w:val="000000"/>
          <w:sz w:val="20"/>
        </w:rPr>
        <w:t xml:space="preserve">For the quarterly period ended </w:t>
      </w: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0" w:after="0"/>
        <w:jc w:val="center"/>
        <w:rPr/>
      </w:pPr>
      <w:r>
        <w:rPr>
          <w:color w:val="000000"/>
        </w:rPr>
        <w:t xml:space="preserve">☐ </w:t>
      </w:r>
      <w:r>
        <w:rPr>
          <w:rFonts w:ascii="Times New Roman;sans-serif" w:hAnsi="Times New Roman;sans-serif"/>
          <w:b w:val="false"/>
          <w:color w:val="000000"/>
          <w:sz w:val="20"/>
        </w:rPr>
        <w:t>TRANSITION REPORT PURSUANT TO SECTION 13 OR 15(d) OF THE SECURITIES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EXCHANGE ACT OF 1934</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_______to_______</w:t>
      </w:r>
    </w:p>
    <w:p>
      <w:pPr>
        <w:pStyle w:val="TextBody"/>
        <w:bidi w:val="0"/>
        <w:spacing w:before="0" w:after="240"/>
        <w:jc w:val="center"/>
        <w:rPr/>
      </w:pPr>
      <w:r>
        <w:rPr/>
        <w:drawing>
          <wp:inline distT="0" distB="0" distL="0" distR="0">
            <wp:extent cx="286702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67025" cy="657225"/>
                    </a:xfrm>
                    <a:prstGeom prst="rect">
                      <a:avLst/>
                    </a:prstGeom>
                  </pic:spPr>
                </pic:pic>
              </a:graphicData>
            </a:graphic>
          </wp:inline>
        </w:drawing>
      </w:r>
      <w:bookmarkStart w:id="0" w:name="i-1"/>
      <w:bookmarkEnd w:id="0"/>
    </w:p>
    <w:tbl>
      <w:tblPr>
        <w:tblW w:w="8241" w:type="dxa"/>
        <w:jc w:val="center"/>
        <w:tblInd w:w="0" w:type="dxa"/>
        <w:tblLayout w:type="fixed"/>
        <w:tblCellMar>
          <w:top w:w="28" w:type="dxa"/>
          <w:left w:w="28" w:type="dxa"/>
          <w:bottom w:w="28" w:type="dxa"/>
          <w:right w:w="28" w:type="dxa"/>
        </w:tblCellMar>
      </w:tblPr>
      <w:tblGrid>
        <w:gridCol w:w="429"/>
        <w:gridCol w:w="377"/>
        <w:gridCol w:w="378"/>
        <w:gridCol w:w="109"/>
        <w:gridCol w:w="109"/>
        <w:gridCol w:w="109"/>
        <w:gridCol w:w="1458"/>
        <w:gridCol w:w="1458"/>
        <w:gridCol w:w="1463"/>
        <w:gridCol w:w="109"/>
        <w:gridCol w:w="109"/>
        <w:gridCol w:w="109"/>
        <w:gridCol w:w="591"/>
        <w:gridCol w:w="591"/>
        <w:gridCol w:w="842"/>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of incorporation, address of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executive offices and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Identification Number</w:t>
            </w:r>
          </w:p>
        </w:tc>
      </w:tr>
      <w:tr>
        <w:trPr/>
        <w:tc>
          <w:tcPr>
            <w:tcW w:w="11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001-38515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82-2733395</w:t>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Missouri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1200 Main Street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Kansas City, Missouri 64105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(816) 556-2200</w:t>
      </w:r>
    </w:p>
    <w:tbl>
      <w:tblPr>
        <w:tblW w:w="6038"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1069"/>
        <w:gridCol w:w="1069"/>
        <w:gridCol w:w="1072"/>
        <w:gridCol w:w="109"/>
        <w:gridCol w:w="109"/>
        <w:gridCol w:w="109"/>
        <w:gridCol w:w="337"/>
        <w:gridCol w:w="337"/>
        <w:gridCol w:w="480"/>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001-03523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KANSAS CENTRAL,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48-0290150</w:t>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Kansas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818 South Kansas Avenue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Topeka, Kansas 66612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(785) 575-6300</w:t>
      </w:r>
    </w:p>
    <w:tbl>
      <w:tblPr>
        <w:tblW w:w="5017"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729"/>
        <w:gridCol w:w="729"/>
        <w:gridCol w:w="731"/>
        <w:gridCol w:w="109"/>
        <w:gridCol w:w="109"/>
        <w:gridCol w:w="109"/>
        <w:gridCol w:w="337"/>
        <w:gridCol w:w="337"/>
        <w:gridCol w:w="480"/>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000-51873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METRO,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44-0308720</w:t>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Missouri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1200 Main Street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Kansas City, Missouri 64105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(816) 556-2200</w:t>
      </w:r>
    </w:p>
    <w:tbl>
      <w:tblPr>
        <w:tblW w:w="10205" w:type="dxa"/>
        <w:jc w:val="center"/>
        <w:tblInd w:w="0" w:type="dxa"/>
        <w:tblLayout w:type="fixed"/>
        <w:tblCellMar>
          <w:top w:w="28" w:type="dxa"/>
          <w:left w:w="28" w:type="dxa"/>
          <w:bottom w:w="28" w:type="dxa"/>
          <w:right w:w="28" w:type="dxa"/>
        </w:tblCellMar>
      </w:tblPr>
      <w:tblGrid>
        <w:gridCol w:w="762"/>
        <w:gridCol w:w="611"/>
        <w:gridCol w:w="618"/>
        <w:gridCol w:w="109"/>
        <w:gridCol w:w="109"/>
        <w:gridCol w:w="109"/>
        <w:gridCol w:w="1451"/>
        <w:gridCol w:w="1451"/>
        <w:gridCol w:w="1455"/>
        <w:gridCol w:w="109"/>
        <w:gridCol w:w="109"/>
        <w:gridCol w:w="109"/>
        <w:gridCol w:w="935"/>
        <w:gridCol w:w="935"/>
        <w:gridCol w:w="1333"/>
      </w:tblGrid>
      <w:tr>
        <w:trPr/>
        <w:tc>
          <w:tcPr>
            <w:tcW w:w="76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Securities registered pursuant to Section 12(b) of the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Evergy, Inc.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EVRG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19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34"/>
        <w:gridCol w:w="257"/>
        <w:gridCol w:w="124"/>
        <w:gridCol w:w="113"/>
        <w:gridCol w:w="113"/>
        <w:gridCol w:w="113"/>
        <w:gridCol w:w="113"/>
        <w:gridCol w:w="113"/>
        <w:gridCol w:w="113"/>
        <w:gridCol w:w="113"/>
        <w:gridCol w:w="113"/>
        <w:gridCol w:w="113"/>
        <w:gridCol w:w="176"/>
        <w:gridCol w:w="113"/>
        <w:gridCol w:w="113"/>
        <w:gridCol w:w="113"/>
        <w:gridCol w:w="113"/>
        <w:gridCol w:w="113"/>
        <w:gridCol w:w="113"/>
        <w:gridCol w:w="113"/>
        <w:gridCol w:w="113"/>
        <w:gridCol w:w="113"/>
        <w:gridCol w:w="113"/>
        <w:gridCol w:w="113"/>
        <w:gridCol w:w="113"/>
        <w:gridCol w:w="113"/>
        <w:gridCol w:w="113"/>
        <w:gridCol w:w="117"/>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339"/>
        <w:gridCol w:w="339"/>
        <w:gridCol w:w="339"/>
        <w:gridCol w:w="339"/>
        <w:gridCol w:w="483"/>
        <w:gridCol w:w="345"/>
        <w:gridCol w:w="459"/>
      </w:tblGrid>
      <w:tr>
        <w:trPr/>
        <w:tc>
          <w:tcPr>
            <w:tcW w:w="33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05" w:type="dxa"/>
            <w:gridSpan w:val="84"/>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Kansas Central,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Metro,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8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Kansas Central,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Metro,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8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Inc.</w:t>
            </w:r>
          </w:p>
        </w:tc>
        <w:tc>
          <w:tcPr>
            <w:tcW w:w="14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13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Kansas Central, Inc.</w:t>
            </w:r>
          </w:p>
        </w:tc>
        <w:tc>
          <w:tcPr>
            <w:tcW w:w="14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Metro, Inc.</w:t>
            </w:r>
          </w:p>
        </w:tc>
        <w:tc>
          <w:tcPr>
            <w:tcW w:w="14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8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Kansas Central,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Metro,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8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Kansas Central,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Metro,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54" w:type="dxa"/>
            <w:gridSpan w:val="60"/>
            <w:tcBorders/>
          </w:tcPr>
          <w:p>
            <w:pPr>
              <w:pStyle w:val="TableContents"/>
              <w:bidi w:val="0"/>
              <w:spacing w:before="0" w:after="283"/>
              <w:jc w:val="left"/>
              <w:rPr>
                <w:sz w:val="4"/>
                <w:szCs w:val="4"/>
              </w:rPr>
            </w:pPr>
            <w:r>
              <w:rPr>
                <w:sz w:val="4"/>
                <w:szCs w:val="4"/>
              </w:rPr>
            </w:r>
          </w:p>
        </w:tc>
      </w:tr>
      <w:tr>
        <w:trPr/>
        <w:tc>
          <w:tcPr>
            <w:tcW w:w="7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r>
      <w:tr>
        <w:trPr/>
        <w:tc>
          <w:tcPr>
            <w:tcW w:w="7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54" w:type="dxa"/>
            <w:gridSpan w:val="60"/>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On April 30, 2025, Evergy, Inc. had 230,090,698 shares of common stock outstanding.  On April 30, 2025, Evergy Metro, Inc. and Evergy Kansas Central, Inc. each had one share of common stock outstanding and held by Evergy, Inc.</w:t>
      </w:r>
    </w:p>
    <w:tbl>
      <w:tblPr>
        <w:tblW w:w="10205" w:type="dxa"/>
        <w:jc w:val="left"/>
        <w:tblInd w:w="0" w:type="dxa"/>
        <w:tblLayout w:type="fixed"/>
        <w:tblCellMar>
          <w:top w:w="28" w:type="dxa"/>
          <w:left w:w="28" w:type="dxa"/>
          <w:bottom w:w="28" w:type="dxa"/>
          <w:right w:w="28" w:type="dxa"/>
        </w:tblCellMar>
      </w:tblPr>
      <w:tblGrid>
        <w:gridCol w:w="182"/>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263"/>
      </w:tblGrid>
      <w:tr>
        <w:trP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0205" w:type="dxa"/>
            <w:gridSpan w:val="6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Evergy Kansas Central, Inc. and Evergy Metro, Inc. meet the conditions set forth in General Instruction (H)(1)(a) and (b) of Form 10-Q and are therefore filing this Form 10-Q with the reduced disclosure format.</w:t>
            </w:r>
          </w:p>
        </w:tc>
      </w:tr>
    </w:tbl>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annual report on Form 10-K for the fiscal year ended December 31, 2024 for each of Evergy, Evergy Kansas Central and Evergy Metro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692"/>
        <w:gridCol w:w="461"/>
        <w:gridCol w:w="461"/>
        <w:gridCol w:w="1321"/>
        <w:gridCol w:w="1159"/>
        <w:gridCol w:w="1159"/>
        <w:gridCol w:w="1553"/>
        <w:gridCol w:w="1147"/>
        <w:gridCol w:w="1130"/>
        <w:gridCol w:w="326"/>
        <w:gridCol w:w="326"/>
        <w:gridCol w:w="470"/>
      </w:tblGrid>
      <w:tr>
        <w:trPr/>
        <w:tc>
          <w:tcPr>
            <w:tcW w:w="69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 Number</w:t>
            </w:r>
          </w:p>
        </w:tc>
      </w:tr>
      <w:tr>
        <w:trPr/>
        <w:tc>
          <w:tcPr>
            <w:tcW w:w="908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6">
              <w:r>
                <w:rPr>
                  <w:rStyle w:val="InternetLink"/>
                  <w:rFonts w:ascii="Times New Roman;sans-serif" w:hAnsi="Times New Roman;sans-serif"/>
                  <w:b w:val="false"/>
                  <w:color w:val="0000FF"/>
                  <w:sz w:val="20"/>
                  <w:u w:val="single"/>
                </w:rPr>
                <w:t>Cautionary Statements Regarding Certain Forward-Looking Information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6">
              <w:r>
                <w:rPr>
                  <w:rStyle w:val="InternetLink"/>
                  <w:rFonts w:ascii="Times New Roman;sans-serif" w:hAnsi="Times New Roman;sans-serif"/>
                  <w:b w:val="false"/>
                  <w:color w:val="0000FF"/>
                  <w:sz w:val="20"/>
                  <w:u w:val="single"/>
                </w:rPr>
                <w:t>4</w:t>
              </w:r>
            </w:hyperlink>
          </w:p>
        </w:tc>
      </w:tr>
      <w:tr>
        <w:trPr/>
        <w:tc>
          <w:tcPr>
            <w:tcW w:w="908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9">
              <w:r>
                <w:rPr>
                  <w:rStyle w:val="InternetLink"/>
                  <w:rFonts w:ascii="Times New Roman;sans-serif" w:hAnsi="Times New Roman;sans-serif"/>
                  <w:b w:val="false"/>
                  <w:color w:val="0000FF"/>
                  <w:sz w:val="20"/>
                  <w:u w:val="single"/>
                </w:rPr>
                <w:t>Glossary of Terms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9">
              <w:r>
                <w:rPr>
                  <w:rStyle w:val="InternetLink"/>
                  <w:rFonts w:ascii="Times New Roman;sans-serif" w:hAnsi="Times New Roman;sans-serif"/>
                  <w:b w:val="false"/>
                  <w:color w:val="0000FF"/>
                  <w:sz w:val="20"/>
                  <w:u w:val="single"/>
                </w:rPr>
                <w:t>6</w:t>
              </w:r>
            </w:hyperlink>
          </w:p>
        </w:tc>
      </w:tr>
      <w:tr>
        <w:trPr/>
        <w:tc>
          <w:tcPr>
            <w:tcW w:w="9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46">
              <w:r>
                <w:rPr>
                  <w:rStyle w:val="InternetLink"/>
                  <w:rFonts w:ascii="Times New Roman;sans-serif" w:hAnsi="Times New Roman;sans-serif"/>
                  <w:b/>
                  <w:color w:val="0000FF"/>
                  <w:sz w:val="20"/>
                  <w:u w:val="single"/>
                </w:rPr>
                <w:t>Part I - Financial Information</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27">
              <w:r>
                <w:rPr>
                  <w:rStyle w:val="InternetLink"/>
                  <w:rFonts w:ascii="Times New Roman;sans-serif" w:hAnsi="Times New Roman;sans-serif"/>
                  <w:b w:val="false"/>
                  <w:color w:val="0000FF"/>
                  <w:sz w:val="20"/>
                  <w:u w:val="single"/>
                </w:rPr>
                <w:t>Financial Statements</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45">
              <w:r>
                <w:rPr>
                  <w:rStyle w:val="InternetLink"/>
                  <w:rFonts w:ascii="Times New Roman;sans-serif" w:hAnsi="Times New Roman;sans-serif"/>
                  <w:b/>
                  <w:color w:val="0000FF"/>
                  <w:sz w:val="20"/>
                  <w:u w:val="single"/>
                </w:rPr>
                <w:t>Evergy, Inc.</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45">
              <w:r>
                <w:rPr>
                  <w:rStyle w:val="InternetLink"/>
                  <w:rFonts w:ascii="Times New Roman;sans-serif" w:hAnsi="Times New Roman;sans-serif"/>
                  <w:b w:val="false"/>
                  <w:color w:val="0000FF"/>
                  <w:sz w:val="20"/>
                  <w:u w:val="single"/>
                </w:rPr>
                <w:t>Unaudited Consolidated Balance Sheets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45">
              <w:r>
                <w:rPr>
                  <w:rStyle w:val="InternetLink"/>
                  <w:rFonts w:ascii="Times New Roman;sans-serif" w:hAnsi="Times New Roman;sans-serif"/>
                  <w:b w:val="false"/>
                  <w:color w:val="0000FF"/>
                  <w:sz w:val="20"/>
                  <w:u w:val="single"/>
                </w:rPr>
                <w:t>8</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42">
              <w:r>
                <w:rPr>
                  <w:rStyle w:val="InternetLink"/>
                  <w:rFonts w:ascii="Times New Roman;sans-serif" w:hAnsi="Times New Roman;sans-serif"/>
                  <w:b w:val="false"/>
                  <w:color w:val="0000FF"/>
                  <w:sz w:val="20"/>
                  <w:u w:val="single"/>
                </w:rPr>
                <w:t>Unaudited Consolidated Statements of Comprehensive Income</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42">
              <w:r>
                <w:rPr>
                  <w:rStyle w:val="InternetLink"/>
                  <w:rFonts w:ascii="Times New Roman;sans-serif" w:hAnsi="Times New Roman;sans-serif"/>
                  <w:b w:val="false"/>
                  <w:color w:val="0000FF"/>
                  <w:sz w:val="20"/>
                  <w:u w:val="single"/>
                </w:rPr>
                <w:t>10</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48">
              <w:r>
                <w:rPr>
                  <w:rStyle w:val="InternetLink"/>
                  <w:rFonts w:ascii="Times New Roman;sans-serif" w:hAnsi="Times New Roman;sans-serif"/>
                  <w:b w:val="false"/>
                  <w:color w:val="0000FF"/>
                  <w:sz w:val="20"/>
                  <w:u w:val="single"/>
                </w:rPr>
                <w:t>Unaudited Consolidated Statements of Cash Flows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48">
              <w:r>
                <w:rPr>
                  <w:rStyle w:val="InternetLink"/>
                  <w:rFonts w:ascii="Times New Roman;sans-serif" w:hAnsi="Times New Roman;sans-serif"/>
                  <w:b w:val="false"/>
                  <w:color w:val="0000FF"/>
                  <w:sz w:val="20"/>
                  <w:u w:val="single"/>
                </w:rPr>
                <w:t>11</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011e88298ef2424b9837cad1b109f255_154">
              <w:r>
                <w:rPr>
                  <w:rStyle w:val="InternetLink"/>
                  <w:rFonts w:ascii="Times New Roman;sans-serif" w:hAnsi="Times New Roman;sans-serif"/>
                  <w:b w:val="false"/>
                  <w:color w:val="0000FF"/>
                  <w:sz w:val="20"/>
                  <w:u w:val="single"/>
                </w:rPr>
                <w:t>Unaudited Consolidated Statements of Changes in Equity</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54">
              <w:r>
                <w:rPr>
                  <w:rStyle w:val="InternetLink"/>
                  <w:rFonts w:ascii="Times New Roman;sans-serif" w:hAnsi="Times New Roman;sans-serif"/>
                  <w:b w:val="false"/>
                  <w:color w:val="0000FF"/>
                  <w:sz w:val="20"/>
                  <w:u w:val="single"/>
                </w:rPr>
                <w:t>12</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60">
              <w:r>
                <w:rPr>
                  <w:rStyle w:val="InternetLink"/>
                  <w:rFonts w:ascii="Times New Roman;sans-serif" w:hAnsi="Times New Roman;sans-serif"/>
                  <w:b/>
                  <w:color w:val="0000FF"/>
                  <w:sz w:val="20"/>
                  <w:u w:val="single"/>
                </w:rPr>
                <w:t>Evergy Kansas Central, Inc.</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60">
              <w:r>
                <w:rPr>
                  <w:rStyle w:val="InternetLink"/>
                  <w:rFonts w:ascii="Times New Roman;sans-serif" w:hAnsi="Times New Roman;sans-serif"/>
                  <w:b w:val="false"/>
                  <w:color w:val="0000FF"/>
                  <w:sz w:val="20"/>
                  <w:u w:val="single"/>
                </w:rPr>
                <w:t>Unaudited Consolidated Balance Sheets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60">
              <w:r>
                <w:rPr>
                  <w:rStyle w:val="InternetLink"/>
                  <w:rFonts w:ascii="Times New Roman;sans-serif" w:hAnsi="Times New Roman;sans-serif"/>
                  <w:b w:val="false"/>
                  <w:color w:val="0000FF"/>
                  <w:sz w:val="20"/>
                  <w:u w:val="single"/>
                </w:rPr>
                <w:t>13</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57">
              <w:r>
                <w:rPr>
                  <w:rStyle w:val="InternetLink"/>
                  <w:rFonts w:ascii="Times New Roman;sans-serif" w:hAnsi="Times New Roman;sans-serif"/>
                  <w:b w:val="false"/>
                  <w:color w:val="0000FF"/>
                  <w:sz w:val="20"/>
                  <w:u w:val="single"/>
                </w:rPr>
                <w:t>Unaudited Consolidated Statements of Income</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57">
              <w:r>
                <w:rPr>
                  <w:rStyle w:val="InternetLink"/>
                  <w:rFonts w:ascii="Times New Roman;sans-serif" w:hAnsi="Times New Roman;sans-serif"/>
                  <w:b w:val="false"/>
                  <w:color w:val="0000FF"/>
                  <w:sz w:val="20"/>
                  <w:u w:val="single"/>
                </w:rPr>
                <w:t>15</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63">
              <w:r>
                <w:rPr>
                  <w:rStyle w:val="InternetLink"/>
                  <w:rFonts w:ascii="Times New Roman;sans-serif" w:hAnsi="Times New Roman;sans-serif"/>
                  <w:b w:val="false"/>
                  <w:color w:val="0000FF"/>
                  <w:sz w:val="20"/>
                  <w:u w:val="single"/>
                </w:rPr>
                <w:t>Unaudited Consolidated Statements of Cash Flows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63">
              <w:r>
                <w:rPr>
                  <w:rStyle w:val="InternetLink"/>
                  <w:rFonts w:ascii="Times New Roman;sans-serif" w:hAnsi="Times New Roman;sans-serif"/>
                  <w:b w:val="false"/>
                  <w:color w:val="0000FF"/>
                  <w:sz w:val="20"/>
                  <w:u w:val="single"/>
                </w:rPr>
                <w:t>16</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011e88298ef2424b9837cad1b109f255_169">
              <w:r>
                <w:rPr>
                  <w:rStyle w:val="InternetLink"/>
                  <w:rFonts w:ascii="Times New Roman;sans-serif" w:hAnsi="Times New Roman;sans-serif"/>
                  <w:b w:val="false"/>
                  <w:color w:val="0000FF"/>
                  <w:sz w:val="20"/>
                  <w:u w:val="single"/>
                </w:rPr>
                <w:t>Unaudited Consolidated Statements of Changes in Equity</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69">
              <w:r>
                <w:rPr>
                  <w:rStyle w:val="InternetLink"/>
                  <w:rFonts w:ascii="Times New Roman;sans-serif" w:hAnsi="Times New Roman;sans-serif"/>
                  <w:b w:val="false"/>
                  <w:color w:val="0000FF"/>
                  <w:sz w:val="20"/>
                  <w:u w:val="single"/>
                </w:rPr>
                <w:t>17</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75">
              <w:r>
                <w:rPr>
                  <w:rStyle w:val="InternetLink"/>
                  <w:rFonts w:ascii="Times New Roman;sans-serif" w:hAnsi="Times New Roman;sans-serif"/>
                  <w:b/>
                  <w:color w:val="0000FF"/>
                  <w:sz w:val="20"/>
                  <w:u w:val="single"/>
                </w:rPr>
                <w:t>Evergy Metro, Inc.</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75">
              <w:r>
                <w:rPr>
                  <w:rStyle w:val="InternetLink"/>
                  <w:rFonts w:ascii="Times New Roman;sans-serif" w:hAnsi="Times New Roman;sans-serif"/>
                  <w:b w:val="false"/>
                  <w:color w:val="0000FF"/>
                  <w:sz w:val="20"/>
                  <w:u w:val="single"/>
                </w:rPr>
                <w:t>Unaudited Consolidated Balance Sheets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75">
              <w:r>
                <w:rPr>
                  <w:rStyle w:val="InternetLink"/>
                  <w:rFonts w:ascii="Times New Roman;sans-serif" w:hAnsi="Times New Roman;sans-serif"/>
                  <w:b w:val="false"/>
                  <w:color w:val="0000FF"/>
                  <w:sz w:val="20"/>
                  <w:u w:val="single"/>
                </w:rPr>
                <w:t>18</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72">
              <w:r>
                <w:rPr>
                  <w:rStyle w:val="InternetLink"/>
                  <w:rFonts w:ascii="Times New Roman;sans-serif" w:hAnsi="Times New Roman;sans-serif"/>
                  <w:b w:val="false"/>
                  <w:color w:val="0000FF"/>
                  <w:sz w:val="20"/>
                  <w:u w:val="single"/>
                </w:rPr>
                <w:t>Unaudited Consolidated Statements of Comprehensive Income</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72">
              <w:r>
                <w:rPr>
                  <w:rStyle w:val="InternetLink"/>
                  <w:rFonts w:ascii="Times New Roman;sans-serif" w:hAnsi="Times New Roman;sans-serif"/>
                  <w:b w:val="false"/>
                  <w:color w:val="0000FF"/>
                  <w:sz w:val="20"/>
                  <w:u w:val="single"/>
                </w:rPr>
                <w:t>20</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78">
              <w:r>
                <w:rPr>
                  <w:rStyle w:val="InternetLink"/>
                  <w:rFonts w:ascii="Times New Roman;sans-serif" w:hAnsi="Times New Roman;sans-serif"/>
                  <w:b w:val="false"/>
                  <w:color w:val="0000FF"/>
                  <w:sz w:val="20"/>
                  <w:u w:val="single"/>
                </w:rPr>
                <w:t>Unaudited Consolidated Statements of Cash Flows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78">
              <w:r>
                <w:rPr>
                  <w:rStyle w:val="InternetLink"/>
                  <w:rFonts w:ascii="Times New Roman;sans-serif" w:hAnsi="Times New Roman;sans-serif"/>
                  <w:b w:val="false"/>
                  <w:color w:val="0000FF"/>
                  <w:sz w:val="20"/>
                  <w:u w:val="single"/>
                </w:rPr>
                <w:t>21</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84">
              <w:r>
                <w:rPr>
                  <w:rStyle w:val="InternetLink"/>
                  <w:rFonts w:ascii="Times New Roman;sans-serif" w:hAnsi="Times New Roman;sans-serif"/>
                  <w:b w:val="false"/>
                  <w:color w:val="0000FF"/>
                  <w:sz w:val="20"/>
                  <w:u w:val="single"/>
                </w:rPr>
                <w:t>Unaudited Consolidated Statements of Changes in Equity</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84">
              <w:r>
                <w:rPr>
                  <w:rStyle w:val="InternetLink"/>
                  <w:rFonts w:ascii="Times New Roman;sans-serif" w:hAnsi="Times New Roman;sans-serif"/>
                  <w:b w:val="false"/>
                  <w:color w:val="0000FF"/>
                  <w:sz w:val="20"/>
                  <w:u w:val="single"/>
                </w:rPr>
                <w:t>22</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11e88298ef2424b9837cad1b109f255_187">
              <w:r>
                <w:rPr>
                  <w:rStyle w:val="InternetLink"/>
                  <w:rFonts w:ascii="Times New Roman;sans-serif" w:hAnsi="Times New Roman;sans-serif"/>
                  <w:b w:val="false"/>
                  <w:color w:val="0000FF"/>
                  <w:sz w:val="20"/>
                  <w:u w:val="single"/>
                </w:rPr>
                <w:t>Combined Notes to Unaudited Consolidated Financial Statements for Evergy, Inc., Evergy Kansas Central, Inc. and Evergy Metro, Inc.</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87">
              <w:r>
                <w:rPr>
                  <w:rStyle w:val="InternetLink"/>
                  <w:rFonts w:ascii="Times New Roman;sans-serif" w:hAnsi="Times New Roman;sans-serif"/>
                  <w:b w:val="false"/>
                  <w:color w:val="0000FF"/>
                  <w:sz w:val="20"/>
                  <w:u w:val="single"/>
                </w:rPr>
                <w:t>23</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1: </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93">
              <w:r>
                <w:rPr>
                  <w:rStyle w:val="InternetLink"/>
                  <w:rFonts w:ascii="Times New Roman;sans-serif" w:hAnsi="Times New Roman;sans-serif"/>
                  <w:b w:val="false"/>
                  <w:color w:val="0000FF"/>
                  <w:sz w:val="20"/>
                  <w:u w:val="single"/>
                </w:rPr>
                <w:t>Organization and Basis of Presentation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93">
              <w:r>
                <w:rPr>
                  <w:rStyle w:val="InternetLink"/>
                  <w:rFonts w:ascii="Times New Roman;sans-serif" w:hAnsi="Times New Roman;sans-serif"/>
                  <w:b w:val="false"/>
                  <w:color w:val="0000FF"/>
                  <w:sz w:val="20"/>
                  <w:u w:val="single"/>
                </w:rPr>
                <w:t>23</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2:</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196">
              <w:r>
                <w:rPr>
                  <w:rStyle w:val="InternetLink"/>
                  <w:rFonts w:ascii="Times New Roman;sans-serif" w:hAnsi="Times New Roman;sans-serif"/>
                  <w:b w:val="false"/>
                  <w:color w:val="0000FF"/>
                  <w:sz w:val="20"/>
                  <w:u w:val="single"/>
                </w:rPr>
                <w:t>Revenue</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196">
              <w:r>
                <w:rPr>
                  <w:rStyle w:val="InternetLink"/>
                  <w:rFonts w:ascii="Times New Roman;sans-serif" w:hAnsi="Times New Roman;sans-serif"/>
                  <w:b w:val="false"/>
                  <w:color w:val="0000FF"/>
                  <w:sz w:val="20"/>
                  <w:u w:val="single"/>
                </w:rPr>
                <w:t>29</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3: </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202">
              <w:r>
                <w:rPr>
                  <w:rStyle w:val="InternetLink"/>
                  <w:rFonts w:ascii="Times New Roman;sans-serif" w:hAnsi="Times New Roman;sans-serif"/>
                  <w:b w:val="false"/>
                  <w:color w:val="0000FF"/>
                  <w:sz w:val="20"/>
                  <w:u w:val="single"/>
                </w:rPr>
                <w:t>Receivables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202">
              <w:r>
                <w:rPr>
                  <w:rStyle w:val="InternetLink"/>
                  <w:rFonts w:ascii="Times New Roman;sans-serif" w:hAnsi="Times New Roman;sans-serif"/>
                  <w:b w:val="false"/>
                  <w:color w:val="0000FF"/>
                  <w:sz w:val="20"/>
                  <w:u w:val="single"/>
                </w:rPr>
                <w:t>30</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4: </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205">
              <w:r>
                <w:rPr>
                  <w:rStyle w:val="InternetLink"/>
                  <w:rFonts w:ascii="Times New Roman;sans-serif" w:hAnsi="Times New Roman;sans-serif"/>
                  <w:b w:val="false"/>
                  <w:color w:val="0000FF"/>
                  <w:sz w:val="20"/>
                  <w:u w:val="single"/>
                </w:rPr>
                <w:t>Rate Matters and Regulation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205">
              <w:r>
                <w:rPr>
                  <w:rStyle w:val="InternetLink"/>
                  <w:rFonts w:ascii="Times New Roman;sans-serif" w:hAnsi="Times New Roman;sans-serif"/>
                  <w:b w:val="false"/>
                  <w:color w:val="0000FF"/>
                  <w:sz w:val="20"/>
                  <w:u w:val="single"/>
                </w:rPr>
                <w:t>32</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5:</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226">
              <w:r>
                <w:rPr>
                  <w:rStyle w:val="InternetLink"/>
                  <w:rFonts w:ascii="Times New Roman;sans-serif" w:hAnsi="Times New Roman;sans-serif"/>
                  <w:b w:val="false"/>
                  <w:color w:val="0000FF"/>
                  <w:sz w:val="20"/>
                  <w:u w:val="single"/>
                </w:rPr>
                <w:t>Pension Plans and Post-Retirement Benefits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226">
              <w:r>
                <w:rPr>
                  <w:rStyle w:val="InternetLink"/>
                  <w:rFonts w:ascii="Times New Roman;sans-serif" w:hAnsi="Times New Roman;sans-serif"/>
                  <w:b w:val="false"/>
                  <w:color w:val="0000FF"/>
                  <w:sz w:val="20"/>
                  <w:u w:val="single"/>
                </w:rPr>
                <w:t>34</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6:</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244">
              <w:r>
                <w:rPr>
                  <w:rStyle w:val="InternetLink"/>
                  <w:rFonts w:ascii="Times New Roman;sans-serif" w:hAnsi="Times New Roman;sans-serif"/>
                  <w:b w:val="false"/>
                  <w:color w:val="0000FF"/>
                  <w:sz w:val="20"/>
                  <w:u w:val="single"/>
                </w:rPr>
                <w:t>Short-Term Borrowings and Short-Term Bank Lines of Credit</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244">
              <w:r>
                <w:rPr>
                  <w:rStyle w:val="InternetLink"/>
                  <w:rFonts w:ascii="Times New Roman;sans-serif" w:hAnsi="Times New Roman;sans-serif"/>
                  <w:b w:val="false"/>
                  <w:color w:val="0000FF"/>
                  <w:sz w:val="20"/>
                  <w:u w:val="single"/>
                </w:rPr>
                <w:t>35</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7:</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253">
              <w:r>
                <w:rPr>
                  <w:rStyle w:val="InternetLink"/>
                  <w:rFonts w:ascii="Times New Roman;sans-serif" w:hAnsi="Times New Roman;sans-serif"/>
                  <w:b w:val="false"/>
                  <w:color w:val="0000FF"/>
                  <w:sz w:val="20"/>
                  <w:u w:val="single"/>
                </w:rPr>
                <w:t>Long-Term Debt</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253">
              <w:r>
                <w:rPr>
                  <w:rStyle w:val="InternetLink"/>
                  <w:rFonts w:ascii="Times New Roman;sans-serif" w:hAnsi="Times New Roman;sans-serif"/>
                  <w:b w:val="false"/>
                  <w:color w:val="0000FF"/>
                  <w:sz w:val="20"/>
                  <w:u w:val="single"/>
                </w:rPr>
                <w:t>36</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8:</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256">
              <w:r>
                <w:rPr>
                  <w:rStyle w:val="InternetLink"/>
                  <w:rFonts w:ascii="Times New Roman;sans-serif" w:hAnsi="Times New Roman;sans-serif"/>
                  <w:b w:val="false"/>
                  <w:color w:val="0000FF"/>
                  <w:sz w:val="20"/>
                  <w:u w:val="single"/>
                </w:rPr>
                <w:t>Derivative Instruments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256">
              <w:r>
                <w:rPr>
                  <w:rStyle w:val="InternetLink"/>
                  <w:rFonts w:ascii="Times New Roman;sans-serif" w:hAnsi="Times New Roman;sans-serif"/>
                  <w:b w:val="false"/>
                  <w:color w:val="0000FF"/>
                  <w:sz w:val="20"/>
                  <w:u w:val="single"/>
                </w:rPr>
                <w:t>36</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9:</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259">
              <w:r>
                <w:rPr>
                  <w:rStyle w:val="InternetLink"/>
                  <w:rFonts w:ascii="Times New Roman;sans-serif" w:hAnsi="Times New Roman;sans-serif"/>
                  <w:b w:val="false"/>
                  <w:color w:val="0000FF"/>
                  <w:sz w:val="20"/>
                  <w:u w:val="single"/>
                </w:rPr>
                <w:t>Fair Value Measurements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259">
              <w:r>
                <w:rPr>
                  <w:rStyle w:val="InternetLink"/>
                  <w:rFonts w:ascii="Times New Roman;sans-serif" w:hAnsi="Times New Roman;sans-serif"/>
                  <w:b w:val="false"/>
                  <w:color w:val="0000FF"/>
                  <w:sz w:val="20"/>
                  <w:u w:val="single"/>
                </w:rPr>
                <w:t>40</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10:</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262">
              <w:r>
                <w:rPr>
                  <w:rStyle w:val="InternetLink"/>
                  <w:rFonts w:ascii="Times New Roman;sans-serif" w:hAnsi="Times New Roman;sans-serif"/>
                  <w:b w:val="false"/>
                  <w:color w:val="0000FF"/>
                  <w:sz w:val="20"/>
                  <w:u w:val="single"/>
                </w:rPr>
                <w:t>Commitments and Contingencies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262">
              <w:r>
                <w:rPr>
                  <w:rStyle w:val="InternetLink"/>
                  <w:rFonts w:ascii="Times New Roman;sans-serif" w:hAnsi="Times New Roman;sans-serif"/>
                  <w:b w:val="false"/>
                  <w:color w:val="0000FF"/>
                  <w:sz w:val="20"/>
                  <w:u w:val="single"/>
                </w:rPr>
                <w:t>46</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11:</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271">
              <w:r>
                <w:rPr>
                  <w:rStyle w:val="InternetLink"/>
                  <w:rFonts w:ascii="Times New Roman;sans-serif" w:hAnsi="Times New Roman;sans-serif"/>
                  <w:b w:val="false"/>
                  <w:color w:val="0000FF"/>
                  <w:sz w:val="20"/>
                  <w:u w:val="single"/>
                </w:rPr>
                <w:t>Related Party Transactions and Relationships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271">
              <w:r>
                <w:rPr>
                  <w:rStyle w:val="InternetLink"/>
                  <w:rFonts w:ascii="Times New Roman;sans-serif" w:hAnsi="Times New Roman;sans-serif"/>
                  <w:b w:val="false"/>
                  <w:color w:val="0000FF"/>
                  <w:sz w:val="20"/>
                  <w:u w:val="single"/>
                </w:rPr>
                <w:t>50</w:t>
              </w:r>
            </w:hyperlink>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3639" w:type="dxa"/>
            <w:gridSpan w:val="3"/>
            <w:tcBorders/>
            <w:vAlign w:val="center"/>
          </w:tcPr>
          <w:p>
            <w:pPr>
              <w:pStyle w:val="TableContents"/>
              <w:bidi w:val="0"/>
              <w:spacing w:before="0" w:after="283"/>
              <w:jc w:val="left"/>
              <w:rPr>
                <w:sz w:val="4"/>
                <w:szCs w:val="4"/>
              </w:rPr>
            </w:pPr>
            <w:r>
              <w:rPr>
                <w:sz w:val="4"/>
                <w:szCs w:val="4"/>
              </w:rPr>
            </w:r>
          </w:p>
        </w:tc>
        <w:tc>
          <w:tcPr>
            <w:tcW w:w="383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 12:</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11e88298ef2424b9837cad1b109f255_286">
              <w:r>
                <w:rPr>
                  <w:rStyle w:val="InternetLink"/>
                  <w:rFonts w:ascii="Times New Roman;sans-serif" w:hAnsi="Times New Roman;sans-serif"/>
                  <w:b w:val="false"/>
                  <w:color w:val="0000FF"/>
                  <w:sz w:val="20"/>
                  <w:u w:val="single"/>
                </w:rPr>
                <w:t>Taxes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286">
              <w:r>
                <w:rPr>
                  <w:rStyle w:val="InternetLink"/>
                  <w:rFonts w:ascii="Times New Roman;sans-serif" w:hAnsi="Times New Roman;sans-serif"/>
                  <w:b w:val="false"/>
                  <w:color w:val="0000FF"/>
                  <w:sz w:val="20"/>
                  <w:u w:val="single"/>
                </w:rPr>
                <w:t>52</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 13:</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11e88298ef2424b9837cad1b109f255_295">
              <w:r>
                <w:rPr>
                  <w:rStyle w:val="InternetLink"/>
                  <w:rFonts w:ascii="Times New Roman;sans-serif" w:hAnsi="Times New Roman;sans-serif"/>
                  <w:b w:val="false"/>
                  <w:color w:val="0000FF"/>
                  <w:sz w:val="20"/>
                  <w:u w:val="single"/>
                </w:rPr>
                <w:t>Segment Information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295">
              <w:r>
                <w:rPr>
                  <w:rStyle w:val="InternetLink"/>
                  <w:rFonts w:ascii="Times New Roman;sans-serif" w:hAnsi="Times New Roman;sans-serif"/>
                  <w:b w:val="false"/>
                  <w:color w:val="0000FF"/>
                  <w:sz w:val="20"/>
                  <w:u w:val="single"/>
                </w:rPr>
                <w:t>53</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11e88298ef2424b9837cad1b109f255_5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55">
              <w:r>
                <w:rPr>
                  <w:rStyle w:val="InternetLink"/>
                  <w:rFonts w:ascii="Times New Roman;sans-serif" w:hAnsi="Times New Roman;sans-serif"/>
                  <w:b w:val="false"/>
                  <w:color w:val="0000FF"/>
                  <w:sz w:val="20"/>
                  <w:u w:val="single"/>
                </w:rPr>
                <w:t>53</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301">
              <w:r>
                <w:rPr>
                  <w:rStyle w:val="InternetLink"/>
                  <w:rFonts w:ascii="Times New Roman;sans-serif" w:hAnsi="Times New Roman;sans-serif"/>
                  <w:b w:val="false"/>
                  <w:color w:val="0000FF"/>
                  <w:sz w:val="20"/>
                  <w:u w:val="single"/>
                </w:rPr>
                <w:t>Quantitative and Qualitative Disclosures About Market Risk</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301">
              <w:r>
                <w:rPr>
                  <w:rStyle w:val="InternetLink"/>
                  <w:rFonts w:ascii="Times New Roman;sans-serif" w:hAnsi="Times New Roman;sans-serif"/>
                  <w:b w:val="false"/>
                  <w:color w:val="0000FF"/>
                  <w:sz w:val="20"/>
                  <w:u w:val="single"/>
                </w:rPr>
                <w:t>65</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307">
              <w:r>
                <w:rPr>
                  <w:rStyle w:val="InternetLink"/>
                  <w:rFonts w:ascii="Times New Roman;sans-serif" w:hAnsi="Times New Roman;sans-serif"/>
                  <w:b w:val="false"/>
                  <w:color w:val="0000FF"/>
                  <w:sz w:val="20"/>
                  <w:u w:val="single"/>
                </w:rPr>
                <w:t>Controls and Procedures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307">
              <w:r>
                <w:rPr>
                  <w:rStyle w:val="InternetLink"/>
                  <w:rFonts w:ascii="Times New Roman;sans-serif" w:hAnsi="Times New Roman;sans-serif"/>
                  <w:b w:val="false"/>
                  <w:color w:val="0000FF"/>
                  <w:sz w:val="20"/>
                  <w:u w:val="single"/>
                </w:rPr>
                <w:t>66</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334">
              <w:r>
                <w:rPr>
                  <w:rStyle w:val="InternetLink"/>
                  <w:rFonts w:ascii="Times New Roman;sans-serif" w:hAnsi="Times New Roman;sans-serif"/>
                  <w:b/>
                  <w:color w:val="0000FF"/>
                  <w:sz w:val="20"/>
                  <w:u w:val="single"/>
                </w:rPr>
                <w:t>Part II - Other Information</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337">
              <w:r>
                <w:rPr>
                  <w:rStyle w:val="InternetLink"/>
                  <w:rFonts w:ascii="Times New Roman;sans-serif" w:hAnsi="Times New Roman;sans-serif"/>
                  <w:b w:val="false"/>
                  <w:color w:val="0000FF"/>
                  <w:sz w:val="20"/>
                  <w:u w:val="single"/>
                </w:rPr>
                <w:t>Legal Proceedings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337">
              <w:r>
                <w:rPr>
                  <w:rStyle w:val="InternetLink"/>
                  <w:rFonts w:ascii="Times New Roman;sans-serif" w:hAnsi="Times New Roman;sans-serif"/>
                  <w:b w:val="false"/>
                  <w:color w:val="0000FF"/>
                  <w:sz w:val="20"/>
                  <w:u w:val="single"/>
                </w:rPr>
                <w:t>67</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340">
              <w:r>
                <w:rPr>
                  <w:rStyle w:val="InternetLink"/>
                  <w:rFonts w:ascii="Times New Roman;sans-serif" w:hAnsi="Times New Roman;sans-serif"/>
                  <w:b w:val="false"/>
                  <w:color w:val="0000FF"/>
                  <w:sz w:val="20"/>
                  <w:u w:val="single"/>
                </w:rPr>
                <w:t>Risk Factors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340">
              <w:r>
                <w:rPr>
                  <w:rStyle w:val="InternetLink"/>
                  <w:rFonts w:ascii="Times New Roman;sans-serif" w:hAnsi="Times New Roman;sans-serif"/>
                  <w:b w:val="false"/>
                  <w:color w:val="0000FF"/>
                  <w:sz w:val="20"/>
                  <w:u w:val="single"/>
                </w:rPr>
                <w:t>67</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343">
              <w:r>
                <w:rPr>
                  <w:rStyle w:val="InternetLink"/>
                  <w:rFonts w:ascii="Times New Roman;sans-serif" w:hAnsi="Times New Roman;sans-serif"/>
                  <w:b w:val="false"/>
                  <w:color w:val="0000FF"/>
                  <w:sz w:val="20"/>
                  <w:u w:val="single"/>
                </w:rPr>
                <w:t>Unregistered Sales of Equity Securities and Use of Proceeds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343">
              <w:r>
                <w:rPr>
                  <w:rStyle w:val="InternetLink"/>
                  <w:rFonts w:ascii="Times New Roman;sans-serif" w:hAnsi="Times New Roman;sans-serif"/>
                  <w:b w:val="false"/>
                  <w:color w:val="0000FF"/>
                  <w:sz w:val="20"/>
                  <w:u w:val="single"/>
                </w:rPr>
                <w:t>68</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346">
              <w:r>
                <w:rPr>
                  <w:rStyle w:val="InternetLink"/>
                  <w:rFonts w:ascii="Times New Roman;sans-serif" w:hAnsi="Times New Roman;sans-serif"/>
                  <w:b w:val="false"/>
                  <w:color w:val="0000FF"/>
                  <w:sz w:val="20"/>
                  <w:u w:val="single"/>
                </w:rPr>
                <w:t>Defaults Upon Senior Securities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346">
              <w:r>
                <w:rPr>
                  <w:rStyle w:val="InternetLink"/>
                  <w:rFonts w:ascii="Times New Roman;sans-serif" w:hAnsi="Times New Roman;sans-serif"/>
                  <w:b w:val="false"/>
                  <w:color w:val="0000FF"/>
                  <w:sz w:val="20"/>
                  <w:u w:val="single"/>
                </w:rPr>
                <w:t>68</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349">
              <w:r>
                <w:rPr>
                  <w:rStyle w:val="InternetLink"/>
                  <w:rFonts w:ascii="Times New Roman;sans-serif" w:hAnsi="Times New Roman;sans-serif"/>
                  <w:b w:val="false"/>
                  <w:color w:val="0000FF"/>
                  <w:sz w:val="20"/>
                  <w:u w:val="single"/>
                </w:rPr>
                <w:t>Mine Safety Disclosures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349">
              <w:r>
                <w:rPr>
                  <w:rStyle w:val="InternetLink"/>
                  <w:rFonts w:ascii="Times New Roman;sans-serif" w:hAnsi="Times New Roman;sans-serif"/>
                  <w:b w:val="false"/>
                  <w:color w:val="0000FF"/>
                  <w:sz w:val="20"/>
                  <w:u w:val="single"/>
                </w:rPr>
                <w:t>68</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352">
              <w:r>
                <w:rPr>
                  <w:rStyle w:val="InternetLink"/>
                  <w:rFonts w:ascii="Times New Roman;sans-serif" w:hAnsi="Times New Roman;sans-serif"/>
                  <w:b w:val="false"/>
                  <w:color w:val="0000FF"/>
                  <w:sz w:val="20"/>
                  <w:u w:val="single"/>
                </w:rPr>
                <w:t>Other Information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352">
              <w:r>
                <w:rPr>
                  <w:rStyle w:val="InternetLink"/>
                  <w:rFonts w:ascii="Times New Roman;sans-serif" w:hAnsi="Times New Roman;sans-serif"/>
                  <w:b w:val="false"/>
                  <w:color w:val="0000FF"/>
                  <w:sz w:val="20"/>
                  <w:u w:val="single"/>
                </w:rPr>
                <w:t>69</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355">
              <w:r>
                <w:rPr>
                  <w:rStyle w:val="InternetLink"/>
                  <w:rFonts w:ascii="Times New Roman;sans-serif" w:hAnsi="Times New Roman;sans-serif"/>
                  <w:b w:val="false"/>
                  <w:color w:val="0000FF"/>
                  <w:sz w:val="20"/>
                  <w:u w:val="single"/>
                </w:rPr>
                <w:t>Exhibits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355">
              <w:r>
                <w:rPr>
                  <w:rStyle w:val="InternetLink"/>
                  <w:rFonts w:ascii="Times New Roman;sans-serif" w:hAnsi="Times New Roman;sans-serif"/>
                  <w:b w:val="false"/>
                  <w:color w:val="0000FF"/>
                  <w:sz w:val="20"/>
                  <w:u w:val="single"/>
                </w:rPr>
                <w:t>71</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e88298ef2424b9837cad1b109f255_412">
              <w:r>
                <w:rPr>
                  <w:rStyle w:val="InternetLink"/>
                  <w:rFonts w:ascii="Times New Roman;sans-serif" w:hAnsi="Times New Roman;sans-serif"/>
                  <w:b w:val="false"/>
                  <w:color w:val="0000FF"/>
                  <w:sz w:val="20"/>
                  <w:u w:val="single"/>
                </w:rPr>
                <w:t>Signatures</w:t>
              </w:r>
            </w:hyperlink>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e88298ef2424b9837cad1b109f255_412">
              <w:r>
                <w:rPr>
                  <w:rStyle w:val="InternetLink"/>
                  <w:rFonts w:ascii="Times New Roman;sans-serif" w:hAnsi="Times New Roman;sans-serif"/>
                  <w:b w:val="false"/>
                  <w:color w:val="0000FF"/>
                  <w:sz w:val="20"/>
                  <w:u w:val="single"/>
                </w:rPr>
                <w:t>73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CAUTIONARY STATEMENTS REGARDING CERTAIN FORWARD-LOOKING INFORMATION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including demand driven by new and existing customers;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"guidance," "should," "could," "may," "seeks," "intends," "predict," "potential," "opportunities,"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significant changes in the demand for electricity; changes in business strategy or operations, including with respect to the Evergy Companies' strategy to meet demand requirements of existing and future customers; the impact of federal, state and local political, legislative, judicial and regulatory actions or developments, including deregulation, re-regulation, securitization and restructuring of the electric utility industry; changes in U.S. trade policies (including tariffs and other trade measures) and responses from other countries; the ability to build or acquire generation and transmission facilities to meet the future demand for electricity from customers; the ability to control costs, avoid costs and schedule overruns during the development, construction and operation of generation,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development, adoption and use of artificial intelligence by the Evergy Companies and its third-party vendors; the impact of climate change, including increased frequency and severity of significant weather events; risks relating to potential wildfires, including costs of litigation, potential regulatory penalties and damages in excess of insurance liability coverage;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plans; cost, availability, quality and timely provision of equipment, supplies, labor and fuel; ability to achieve generation goals and the occurrence and duration of planned and unplanned generation outages; the Evergy Companies' ability to manage their generation,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differing views on environmental, social and governance concerns; the possibility that strategic initiatives, including mergers, acquisitions and divestitures, and long-term financial plans, may not create the value that they are expected to achieve in a timely manner or at all; difficulties in maintaining relationships with customers, employees, contractors, regulators or suppliers; the outcome of litigation involving the Evergy Companies; and other risks and uncertainties.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AVAILABLE INFORMATION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GLOSSARY OF TERMS</w:t>
      </w:r>
      <w:r>
        <w:rPr>
          <w:color w:val="000000"/>
        </w:rPr>
        <w:t> </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is a glossary of frequently used abbreviations or acronyms that are found throughout this report.</w:t>
      </w:r>
    </w:p>
    <w:tbl>
      <w:tblPr>
        <w:tblW w:w="10205" w:type="dxa"/>
        <w:jc w:val="left"/>
        <w:tblInd w:w="0" w:type="dxa"/>
        <w:tblLayout w:type="fixed"/>
        <w:tblCellMar>
          <w:top w:w="28" w:type="dxa"/>
          <w:left w:w="28" w:type="dxa"/>
          <w:bottom w:w="28" w:type="dxa"/>
          <w:right w:w="28" w:type="dxa"/>
        </w:tblCellMar>
      </w:tblPr>
      <w:tblGrid>
        <w:gridCol w:w="859"/>
        <w:gridCol w:w="748"/>
        <w:gridCol w:w="751"/>
        <w:gridCol w:w="109"/>
        <w:gridCol w:w="109"/>
        <w:gridCol w:w="109"/>
        <w:gridCol w:w="2419"/>
        <w:gridCol w:w="2104"/>
        <w:gridCol w:w="2997"/>
      </w:tblGrid>
      <w:tr>
        <w:trPr/>
        <w:tc>
          <w:tcPr>
            <w:tcW w:w="85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Abbreviation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Definition</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2"/>
              </w:rPr>
            </w:pPr>
            <w:r>
              <w:rPr>
                <w:rFonts w:ascii="Times New Roman;sans-serif" w:hAnsi="Times New Roman;sans-serif"/>
                <w:b/>
                <w:color w:val="000000"/>
                <w:sz w:val="22"/>
              </w:rPr>
              <w:t>AEP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American Electric Power Company, Inc.</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2"/>
              </w:rPr>
            </w:pPr>
            <w:r>
              <w:rPr>
                <w:rFonts w:ascii="Times New Roman;sans-serif" w:hAnsi="Times New Roman;sans-serif"/>
                <w:b/>
                <w:color w:val="000000"/>
                <w:sz w:val="22"/>
              </w:rPr>
              <w:t>AFUDC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Allowance for funds used during construction</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Accumulated other comprehensive income</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AROs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Asset retirement obligations</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BSER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Best system of emission reduction</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Clean Air Act</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Certificate of Convenience and Necessity</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CCRs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Coal combustion residuals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Carbon capture and sequestration</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2"/>
              </w:rPr>
              <w:t>CO</w:t>
            </w:r>
            <w:r>
              <w:rPr>
                <w:rFonts w:ascii="Times New Roman;sans-serif" w:hAnsi="Times New Roman;sans-serif"/>
                <w:b/>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Carbon dioxide</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COLI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Corporate-owned life insurance</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CSAPR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Cross-State Air Pollution Rule</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CWIP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Construction work in progress</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Environmental Protection Agency</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Earnings per common share</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Evergy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 Inc. and its consolidated subsidiaries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Evergy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Evergy Board of Directors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Evergy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Evergy, Evergy Kansas Central, and Evergy Metro, collectively, which are individual registrants within the Evergy consolidated group</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Evergy Kansas Central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 Inc., a wholly-owned subsidiary of Evergy, and its consolidated subsidiaries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Evergy Kansas South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South, Inc., a wholly-owned subsidiary of Evergy Kansas Central</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Evergy Metro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Evergy Metro, Inc., a wholly-owned subsidiary of Evergy, and its consolidated subsidiaries</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Evergy Missouri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Evergy Missouri West, Inc., a wholly-owned subsidiary of Evergy</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Evergy Transmission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Evergy Transmission Company, LLC</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Securities Exchange Act of 1934, as amended</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FERC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Energy Regulatory Commission</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FIP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implementation plan</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Generally Accepted Accounting Principles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GHG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Greenhouse gas</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IRP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Integrated Resource Plan</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ITFIP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Interstate Transport Federal Implementation Plans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ITSIP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Interstate Transport State Implementation Plans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JEC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Jeffrey Energy Center</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KCC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State Corporation Commission of the State of Kansas</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kV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Kilovolt</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MDNR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Missouri Department of Natural Resources</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MPSC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Public Service Commission of the State of Missouri</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Megawatt</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MWh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Megawatt hour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871"/>
        <w:gridCol w:w="765"/>
        <w:gridCol w:w="768"/>
        <w:gridCol w:w="109"/>
        <w:gridCol w:w="109"/>
        <w:gridCol w:w="109"/>
        <w:gridCol w:w="2259"/>
        <w:gridCol w:w="2155"/>
        <w:gridCol w:w="3060"/>
      </w:tblGrid>
      <w:tr>
        <w:trPr/>
        <w:tc>
          <w:tcPr>
            <w:tcW w:w="87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Abbreviation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Definition</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NAAQS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National Ambient Air Quality Standards</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asset value</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comprehensive income</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PISA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Plant-in-service accounting</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Prairie Wind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Prairie Wind Transmission, LLC, 50% owned by Evergy Kansas Central</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Regional transmission organization</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Securities and Exchange Commission</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State implementation plan</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Southwest Power Pool, Inc.</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Transmission congestion rights</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Transmission delivery charge</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Transmission formula rate</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Transource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Transource Energy, LLC and its subsidiaries, 13.5% owned by Evergy Transmission Company</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VIE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Variable interest entity</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Wolf Creek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Wolf Creek Generating Station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before="1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384"/>
        <w:gridCol w:w="1969"/>
        <w:gridCol w:w="1984"/>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5"/>
      </w:tblGrid>
      <w:tr>
        <w:trPr/>
        <w:tc>
          <w:tcPr>
            <w:tcW w:w="2384"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w:t>
            </w:r>
          </w:p>
        </w:tc>
      </w:tr>
      <w:tr>
        <w:trPr/>
        <w:tc>
          <w:tcPr>
            <w:tcW w:w="63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r>
      <w:tr>
        <w:trPr/>
        <w:tc>
          <w:tcPr>
            <w:tcW w:w="63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86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(millions, except share amounts)</w:t>
            </w:r>
          </w:p>
        </w:tc>
      </w:tr>
      <w:tr>
        <w:trPr/>
        <w:tc>
          <w:tcPr>
            <w:tcW w:w="6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 of allowance for credit losses of $11.2 and $15.7,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pledged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Fuel inventory and supplies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867.7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taxes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 includes $16.1 and $15.9 related to variable interest entity,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1,834.4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$124.7 and $126.5 related to variable interest entity,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25,078.5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 includes $290.4 and $294.5 related to variable interest entity,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1,752.5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decommissioning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867.3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584.9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5,541.3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32,454.2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32,282.1 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ans-serif" w:hAnsi="Times New Roman;sans-serif"/>
          <w:b w:val="false"/>
          <w:color w:val="000000"/>
          <w:sz w:val="18"/>
        </w:rPr>
        <w:t>The accompanying Notes to Unaudited Consolidated Financial Statements are an integral part of these statements.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296"/>
        <w:gridCol w:w="2015"/>
        <w:gridCol w:w="2025"/>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6"/>
      </w:tblGrid>
      <w:tr>
        <w:trPr/>
        <w:tc>
          <w:tcPr>
            <w:tcW w:w="2296"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r>
        <w:trPr/>
        <w:tc>
          <w:tcPr>
            <w:tcW w:w="6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w:t>
            </w:r>
          </w:p>
        </w:tc>
      </w:tr>
      <w:tr>
        <w:trPr/>
        <w:tc>
          <w:tcPr>
            <w:tcW w:w="6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r>
      <w:tr>
        <w:trPr/>
        <w:tc>
          <w:tcPr>
            <w:tcW w:w="63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3869"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(millions, except share amounts)</w:t>
            </w:r>
          </w:p>
        </w:tc>
      </w:tr>
      <w:tr>
        <w:trPr/>
        <w:tc>
          <w:tcPr>
            <w:tcW w:w="6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 includes $16.2 and $16.2 related to variable interest entity,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651.9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943.6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Collateralized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includes $5.4 and $1.3 related to variable interest entity,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3,314.4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Long-term debt, net, includes $295.8 and $295.7 related to variable interest entity, respectively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12,405.5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2,007.7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investment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19,171.9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Inc.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Common stock - 600,000,000 shares authorized, without par value </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230,084,735 and 229,983,615 shares issued, stated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7,248.4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2,704.6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Evergy, Inc.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9,930.6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9,967.9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32,454.2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32,282.1 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504"/>
        <w:gridCol w:w="1622"/>
        <w:gridCol w:w="1601"/>
        <w:gridCol w:w="279"/>
        <w:gridCol w:w="279"/>
        <w:gridCol w:w="279"/>
        <w:gridCol w:w="279"/>
        <w:gridCol w:w="270"/>
        <w:gridCol w:w="256"/>
        <w:gridCol w:w="109"/>
        <w:gridCol w:w="206"/>
        <w:gridCol w:w="744"/>
        <w:gridCol w:w="114"/>
        <w:gridCol w:w="114"/>
        <w:gridCol w:w="114"/>
        <w:gridCol w:w="114"/>
        <w:gridCol w:w="206"/>
        <w:gridCol w:w="728"/>
        <w:gridCol w:w="114"/>
        <w:gridCol w:w="109"/>
        <w:gridCol w:w="164"/>
      </w:tblGrid>
      <w:tr>
        <w:trPr/>
        <w:tc>
          <w:tcPr>
            <w:tcW w:w="2504"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INC.</w:t>
            </w:r>
          </w:p>
        </w:tc>
        <w:tc>
          <w:tcPr>
            <w:tcW w:w="2836" w:type="dxa"/>
            <w:gridSpan w:val="12"/>
            <w:tcBorders/>
          </w:tcPr>
          <w:p>
            <w:pPr>
              <w:pStyle w:val="TableContents"/>
              <w:bidi w:val="0"/>
              <w:spacing w:before="0" w:after="283"/>
              <w:jc w:val="left"/>
              <w:rPr>
                <w:sz w:val="4"/>
                <w:szCs w:val="4"/>
              </w:rPr>
            </w:pPr>
            <w:r>
              <w:rPr>
                <w:sz w:val="4"/>
                <w:szCs w:val="4"/>
              </w:rPr>
            </w:r>
          </w:p>
        </w:tc>
      </w:tr>
      <w:tr>
        <w:trPr/>
        <w:tc>
          <w:tcPr>
            <w:tcW w:w="7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Comprehensive Income</w:t>
            </w:r>
          </w:p>
        </w:tc>
        <w:tc>
          <w:tcPr>
            <w:tcW w:w="2836" w:type="dxa"/>
            <w:gridSpan w:val="12"/>
            <w:tcBorders/>
          </w:tcPr>
          <w:p>
            <w:pPr>
              <w:pStyle w:val="TableContents"/>
              <w:bidi w:val="0"/>
              <w:spacing w:before="0" w:after="283"/>
              <w:jc w:val="left"/>
              <w:rPr>
                <w:sz w:val="4"/>
                <w:szCs w:val="4"/>
              </w:rPr>
            </w:pPr>
            <w:r>
              <w:rPr>
                <w:sz w:val="4"/>
                <w:szCs w:val="4"/>
              </w:rPr>
            </w:r>
          </w:p>
        </w:tc>
      </w:tr>
      <w:tr>
        <w:trPr/>
        <w:tc>
          <w:tcPr>
            <w:tcW w:w="7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2836" w:type="dxa"/>
            <w:gridSpan w:val="12"/>
            <w:tcBorders/>
          </w:tcPr>
          <w:p>
            <w:pPr>
              <w:pStyle w:val="TableContents"/>
              <w:bidi w:val="0"/>
              <w:spacing w:before="0" w:after="283"/>
              <w:jc w:val="left"/>
              <w:rPr>
                <w:sz w:val="4"/>
                <w:szCs w:val="4"/>
              </w:rPr>
            </w:pPr>
            <w:r>
              <w:rPr>
                <w:sz w:val="4"/>
                <w:szCs w:val="4"/>
              </w:rPr>
            </w:r>
          </w:p>
        </w:tc>
      </w:tr>
      <w:tr>
        <w:trPr/>
        <w:tc>
          <w:tcPr>
            <w:tcW w:w="5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663" w:type="dxa"/>
            <w:gridSpan w:val="8"/>
            <w:tcBorders/>
          </w:tcPr>
          <w:p>
            <w:pPr>
              <w:pStyle w:val="TableContents"/>
              <w:bidi w:val="0"/>
              <w:spacing w:before="0" w:after="283"/>
              <w:jc w:val="left"/>
              <w:rPr>
                <w:sz w:val="4"/>
                <w:szCs w:val="4"/>
              </w:rPr>
            </w:pPr>
            <w:r>
              <w:rPr>
                <w:sz w:val="4"/>
                <w:szCs w:val="4"/>
              </w:rPr>
            </w:r>
          </w:p>
        </w:tc>
      </w:tr>
      <w:tr>
        <w:trPr/>
        <w:tc>
          <w:tcPr>
            <w:tcW w:w="5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(millions, except per share amounts)</w:t>
            </w:r>
          </w:p>
        </w:tc>
        <w:tc>
          <w:tcPr>
            <w:tcW w:w="273" w:type="dxa"/>
            <w:gridSpan w:val="2"/>
            <w:tcBorders/>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1,374.5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and purchased power</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355.3</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SPP network transmission costs</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96.4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and maintenance</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232.0</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288.1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111.1</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1,082.9</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291.6</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earnings</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152.5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136.1</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9.6</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equity method investees, net of income taxes</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128.1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EVERGY, INC.</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125.0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EARNINGS PER AVERAGE COMMON SHARE OUTSTANDING ATTRIBUTABLE TO EVERGY, INC. (see Note 1)</w:t>
            </w:r>
          </w:p>
        </w:tc>
        <w:tc>
          <w:tcPr>
            <w:tcW w:w="83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common share</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0.54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common share</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0.54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COMMON SHARES OUTSTANDING</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230.4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232.1</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w:t>
            </w:r>
          </w:p>
        </w:tc>
        <w:tc>
          <w:tcPr>
            <w:tcW w:w="83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128.1</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hedging activity</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to expenses, net of tax</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hedging activity, net of tax</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129.5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EVERGY, INC.</w:t>
            </w:r>
          </w:p>
        </w:tc>
        <w:tc>
          <w:tcPr>
            <w:tcW w:w="83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126.4</w:t>
            </w:r>
            <w:r>
              <w:rPr>
                <w:color w:val="000000"/>
              </w:rPr>
              <w:t> </w:t>
            </w:r>
          </w:p>
        </w:tc>
        <w:tc>
          <w:tcPr>
            <w:tcW w:w="1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9548" w:type="dxa"/>
        <w:jc w:val="left"/>
        <w:tblInd w:w="0" w:type="dxa"/>
        <w:tblLayout w:type="fixed"/>
        <w:tblCellMar>
          <w:top w:w="28" w:type="dxa"/>
          <w:left w:w="28" w:type="dxa"/>
          <w:bottom w:w="28" w:type="dxa"/>
          <w:right w:w="28" w:type="dxa"/>
        </w:tblCellMar>
      </w:tblPr>
      <w:tblGrid>
        <w:gridCol w:w="2335"/>
        <w:gridCol w:w="2048"/>
        <w:gridCol w:w="2066"/>
        <w:gridCol w:w="259"/>
        <w:gridCol w:w="754"/>
        <w:gridCol w:w="144"/>
        <w:gridCol w:w="144"/>
        <w:gridCol w:w="144"/>
        <w:gridCol w:w="144"/>
        <w:gridCol w:w="259"/>
        <w:gridCol w:w="735"/>
        <w:gridCol w:w="144"/>
        <w:gridCol w:w="109"/>
        <w:gridCol w:w="109"/>
        <w:gridCol w:w="154"/>
      </w:tblGrid>
      <w:tr>
        <w:trPr/>
        <w:tc>
          <w:tcPr>
            <w:tcW w:w="2335"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INC.</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1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1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3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OPERATING ACTIVITIES:</w:t>
            </w:r>
          </w:p>
        </w:tc>
        <w:tc>
          <w:tcPr>
            <w:tcW w:w="272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128.1</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income to net cash from operating activities: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288.1</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nuclear fuel</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16.2</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refueling outage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4.2</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corporate-owned life insurance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6.6</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income taxes and credits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equity funds used during construction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asset retirement obligations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equity method investees, net of income taxes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corporate-owned life insurance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0.3</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working capital items: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41.6</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pledged as collateral</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inventory and supplies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(31.9)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(155.3)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taxes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116.9</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60.6</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23.2</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liabilities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(35.5)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449.6</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INVESTING ACTIVITIES:</w:t>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property, plant and equipment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(592.8)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securities - trusts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securities - trusts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21.9</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corporate-owned life insurance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investment in corporate-owned life insurance </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0.7</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investing activities </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Investing Activities</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(598.9)</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(583.2)</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FINANCING ACTIVITIES:</w:t>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 net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(264.0)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Collateralized short-term borrowings, net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594.2</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against cash surrender value of corporate-owned life insurance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0.7</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borrowings against cash surrender value of corporate-owned life insurance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(153.6)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171.6</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22.3</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29.9</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52.2</w:t>
            </w:r>
            <w:r>
              <w:rPr>
                <w:color w:val="000000"/>
              </w:rPr>
              <w:t> </w:t>
            </w:r>
          </w:p>
        </w:tc>
        <w:tc>
          <w:tcPr>
            <w:tcW w:w="1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145"/>
        <w:gridCol w:w="894"/>
        <w:gridCol w:w="896"/>
        <w:gridCol w:w="604"/>
        <w:gridCol w:w="508"/>
        <w:gridCol w:w="404"/>
        <w:gridCol w:w="217"/>
        <w:gridCol w:w="766"/>
        <w:gridCol w:w="120"/>
        <w:gridCol w:w="234"/>
        <w:gridCol w:w="827"/>
        <w:gridCol w:w="130"/>
        <w:gridCol w:w="196"/>
        <w:gridCol w:w="504"/>
        <w:gridCol w:w="109"/>
        <w:gridCol w:w="402"/>
        <w:gridCol w:w="960"/>
        <w:gridCol w:w="226"/>
        <w:gridCol w:w="198"/>
        <w:gridCol w:w="701"/>
        <w:gridCol w:w="164"/>
      </w:tblGrid>
      <w:tr>
        <w:trPr/>
        <w:tc>
          <w:tcPr>
            <w:tcW w:w="114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INC.</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Changes in Equity</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r>
        <w:trPr/>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Inc. Shareholders</w:t>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shares</w:t>
            </w:r>
          </w:p>
        </w:tc>
        <w:tc>
          <w:tcPr>
            <w:tcW w:w="1103"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119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809"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AOCI</w:t>
            </w:r>
          </w:p>
        </w:tc>
        <w:tc>
          <w:tcPr>
            <w:tcW w:w="158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106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w:t>
            </w:r>
          </w:p>
        </w:tc>
      </w:tr>
      <w:tr>
        <w:trPr/>
        <w:tc>
          <w:tcPr>
            <w:tcW w:w="29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0"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 except share amounts)</w:t>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229,729,296 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stock compensation and reinvested dividends, net of tax withholding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193,042 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on common stock ($0.6425 per share)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equivalents declared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hedging activity, net of tax</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1112"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229,922,338 </w:t>
            </w:r>
          </w:p>
        </w:tc>
        <w:tc>
          <w:tcPr>
            <w:tcW w:w="4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7,235.0 </w:t>
            </w:r>
          </w:p>
        </w:tc>
        <w:tc>
          <w:tcPr>
            <w:tcW w:w="1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2,432.4 </w:t>
            </w:r>
          </w:p>
        </w:tc>
        <w:tc>
          <w:tcPr>
            <w:tcW w:w="1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9,664.1 </w:t>
            </w:r>
          </w:p>
        </w:tc>
        <w:tc>
          <w:tcPr>
            <w:tcW w:w="1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38"/>
        <w:gridCol w:w="1385"/>
        <w:gridCol w:w="1388"/>
        <w:gridCol w:w="525"/>
        <w:gridCol w:w="526"/>
        <w:gridCol w:w="109"/>
        <w:gridCol w:w="196"/>
        <w:gridCol w:w="691"/>
        <w:gridCol w:w="109"/>
        <w:gridCol w:w="196"/>
        <w:gridCol w:w="691"/>
        <w:gridCol w:w="109"/>
        <w:gridCol w:w="196"/>
        <w:gridCol w:w="523"/>
        <w:gridCol w:w="109"/>
        <w:gridCol w:w="196"/>
        <w:gridCol w:w="466"/>
        <w:gridCol w:w="109"/>
        <w:gridCol w:w="196"/>
        <w:gridCol w:w="691"/>
        <w:gridCol w:w="156"/>
      </w:tblGrid>
      <w:tr>
        <w:trPr/>
        <w:tc>
          <w:tcPr>
            <w:tcW w:w="163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5794" w:type="dxa"/>
            <w:gridSpan w:val="18"/>
            <w:tcBorders/>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5794" w:type="dxa"/>
            <w:gridSpan w:val="18"/>
            <w:tcBorders/>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5794" w:type="dxa"/>
            <w:gridSpan w:val="18"/>
            <w:tcBorders/>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2642" w:type="dxa"/>
            <w:gridSpan w:val="9"/>
            <w:tcBorders/>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634" w:type="dxa"/>
            <w:gridSpan w:val="15"/>
            <w:tcBorders/>
          </w:tcPr>
          <w:p>
            <w:pPr>
              <w:pStyle w:val="TableContents"/>
              <w:bidi w:val="0"/>
              <w:spacing w:before="0" w:after="283"/>
              <w:jc w:val="left"/>
              <w:rPr>
                <w:sz w:val="4"/>
                <w:szCs w:val="4"/>
              </w:rPr>
            </w:pPr>
            <w:r>
              <w:rPr>
                <w:sz w:val="4"/>
                <w:szCs w:val="4"/>
              </w:rPr>
            </w:r>
          </w:p>
        </w:tc>
      </w:tr>
      <w:tr>
        <w:trPr/>
        <w:tc>
          <w:tcPr>
            <w:tcW w:w="4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2024</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229,983,615 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stock compensation and reinvested dividends, net of tax withholding</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on common stock ($0.6675 per share)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equivalents declared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hedging activity,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2025</w:t>
            </w:r>
          </w:p>
        </w:tc>
        <w:tc>
          <w:tcPr>
            <w:tcW w:w="105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230,084,735 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7,248.4 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9,967.9 </w:t>
            </w:r>
          </w:p>
        </w:tc>
        <w:tc>
          <w:tcPr>
            <w:tcW w:w="1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385"/>
        <w:gridCol w:w="1968"/>
        <w:gridCol w:w="1984"/>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5"/>
      </w:tblGrid>
      <w:tr>
        <w:trPr/>
        <w:tc>
          <w:tcPr>
            <w:tcW w:w="238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KANSAS CENTRAL,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w:t>
            </w:r>
          </w:p>
        </w:tc>
      </w:tr>
      <w:tr>
        <w:trPr/>
        <w:tc>
          <w:tcPr>
            <w:tcW w:w="63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r>
      <w:tr>
        <w:trPr/>
        <w:tc>
          <w:tcPr>
            <w:tcW w:w="63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86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(millions, except share amounts)</w:t>
            </w:r>
          </w:p>
        </w:tc>
      </w:tr>
      <w:tr>
        <w:trPr/>
        <w:tc>
          <w:tcPr>
            <w:tcW w:w="6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 of allowance for credit losses of $5.4 and $7.8,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pledged as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inventory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957.7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$124.7 and $126.5 related to variable interest entity,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13,013.9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decommissioning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1,183.1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15,154.7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15,009.1 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disclosures regarding Evergy Kansas Central included in the accompanying Notes to Unaudited Consolidated Financial Statements are an integral part of these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9177" w:type="dxa"/>
        <w:jc w:val="center"/>
        <w:tblInd w:w="0" w:type="dxa"/>
        <w:tblLayout w:type="fixed"/>
        <w:tblCellMar>
          <w:top w:w="28" w:type="dxa"/>
          <w:left w:w="28" w:type="dxa"/>
          <w:bottom w:w="28" w:type="dxa"/>
          <w:right w:w="28" w:type="dxa"/>
        </w:tblCellMar>
      </w:tblPr>
      <w:tblGrid>
        <w:gridCol w:w="1925"/>
        <w:gridCol w:w="1688"/>
        <w:gridCol w:w="1697"/>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4"/>
      </w:tblGrid>
      <w:tr>
        <w:trPr/>
        <w:tc>
          <w:tcPr>
            <w:tcW w:w="1925"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7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KANSAS CENTRAL, INC.</w:t>
            </w:r>
          </w:p>
        </w:tc>
      </w:tr>
      <w:tr>
        <w:trPr/>
        <w:tc>
          <w:tcPr>
            <w:tcW w:w="917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tc>
      </w:tr>
      <w:tr>
        <w:trPr/>
        <w:tc>
          <w:tcPr>
            <w:tcW w:w="917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r>
      <w:tr>
        <w:trPr/>
        <w:tc>
          <w:tcPr>
            <w:tcW w:w="53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386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(millions, except share amounts)</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Collateralized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1,496.7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4,929.0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790.3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1,478.0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8,272.2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Evergy Kansas Central, Inc.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- 1,000 shares authorized, $0.01 par value, 1 share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2,737.6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Evergy Kansas Central, Inc.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5,348.5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5,385.8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15,154.7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15,009.1 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disclosures regarding Evergy Kansas Central included in the accompanying Notes to Unaudited Consolidated Financial Statements are an integral part of these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092"/>
        <w:gridCol w:w="1824"/>
        <w:gridCol w:w="1822"/>
        <w:gridCol w:w="335"/>
        <w:gridCol w:w="335"/>
        <w:gridCol w:w="335"/>
        <w:gridCol w:w="335"/>
        <w:gridCol w:w="335"/>
        <w:gridCol w:w="351"/>
        <w:gridCol w:w="109"/>
        <w:gridCol w:w="196"/>
        <w:gridCol w:w="571"/>
        <w:gridCol w:w="109"/>
        <w:gridCol w:w="109"/>
        <w:gridCol w:w="109"/>
        <w:gridCol w:w="109"/>
        <w:gridCol w:w="196"/>
        <w:gridCol w:w="556"/>
        <w:gridCol w:w="109"/>
        <w:gridCol w:w="109"/>
        <w:gridCol w:w="159"/>
      </w:tblGrid>
      <w:tr>
        <w:trPr/>
        <w:tc>
          <w:tcPr>
            <w:tcW w:w="2092"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KANSAS CENTRAL, INC.</w:t>
            </w:r>
          </w:p>
        </w:tc>
        <w:tc>
          <w:tcPr>
            <w:tcW w:w="2441" w:type="dxa"/>
            <w:gridSpan w:val="12"/>
            <w:tcBorders/>
          </w:tcPr>
          <w:p>
            <w:pPr>
              <w:pStyle w:val="TableContents"/>
              <w:bidi w:val="0"/>
              <w:spacing w:before="0" w:after="283"/>
              <w:jc w:val="left"/>
              <w:rPr>
                <w:sz w:val="4"/>
                <w:szCs w:val="4"/>
              </w:rPr>
            </w:pPr>
            <w:r>
              <w:rPr>
                <w:sz w:val="4"/>
                <w:szCs w:val="4"/>
              </w:rPr>
            </w:r>
          </w:p>
        </w:tc>
      </w:tr>
      <w:tr>
        <w:trPr/>
        <w:tc>
          <w:tcPr>
            <w:tcW w:w="7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Income</w:t>
            </w:r>
          </w:p>
        </w:tc>
        <w:tc>
          <w:tcPr>
            <w:tcW w:w="2441" w:type="dxa"/>
            <w:gridSpan w:val="12"/>
            <w:tcBorders/>
          </w:tcPr>
          <w:p>
            <w:pPr>
              <w:pStyle w:val="TableContents"/>
              <w:bidi w:val="0"/>
              <w:spacing w:before="0" w:after="283"/>
              <w:jc w:val="left"/>
              <w:rPr>
                <w:sz w:val="4"/>
                <w:szCs w:val="4"/>
              </w:rPr>
            </w:pPr>
            <w:r>
              <w:rPr>
                <w:sz w:val="4"/>
                <w:szCs w:val="4"/>
              </w:rPr>
            </w:r>
          </w:p>
        </w:tc>
      </w:tr>
      <w:tr>
        <w:trPr/>
        <w:tc>
          <w:tcPr>
            <w:tcW w:w="7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2441" w:type="dxa"/>
            <w:gridSpan w:val="12"/>
            <w:tcBorders/>
          </w:tcPr>
          <w:p>
            <w:pPr>
              <w:pStyle w:val="TableContents"/>
              <w:bidi w:val="0"/>
              <w:spacing w:before="0" w:after="283"/>
              <w:jc w:val="left"/>
              <w:rPr>
                <w:sz w:val="4"/>
                <w:szCs w:val="4"/>
              </w:rPr>
            </w:pPr>
            <w:r>
              <w:rPr>
                <w:sz w:val="4"/>
                <w:szCs w:val="4"/>
              </w:rPr>
            </w:r>
          </w:p>
        </w:tc>
      </w:tr>
      <w:tr>
        <w:trPr/>
        <w:tc>
          <w:tcPr>
            <w:tcW w:w="5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56" w:type="dxa"/>
            <w:gridSpan w:val="8"/>
            <w:tcBorders/>
          </w:tcPr>
          <w:p>
            <w:pPr>
              <w:pStyle w:val="TableContents"/>
              <w:bidi w:val="0"/>
              <w:spacing w:before="0" w:after="283"/>
              <w:jc w:val="left"/>
              <w:rPr>
                <w:sz w:val="4"/>
                <w:szCs w:val="4"/>
              </w:rPr>
            </w:pPr>
            <w:r>
              <w:rPr>
                <w:sz w:val="4"/>
                <w:szCs w:val="4"/>
              </w:rPr>
            </w:r>
          </w:p>
        </w:tc>
      </w:tr>
      <w:tr>
        <w:trPr/>
        <w:tc>
          <w:tcPr>
            <w:tcW w:w="5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(millions)</w:t>
            </w:r>
          </w:p>
        </w:tc>
        <w:tc>
          <w:tcPr>
            <w:tcW w:w="268" w:type="dxa"/>
            <w:gridSpan w:val="2"/>
            <w:tcBorders/>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709.1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and purchased power</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SPP network transmission costs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and maintenance</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earnings</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Net</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equity method investees, net of income taxes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5738"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EVERGY KANSAS CENTRAL, INC.</w:t>
            </w:r>
          </w:p>
        </w:tc>
        <w:tc>
          <w:tcPr>
            <w:tcW w:w="1005"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107.8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disclosures regarding Evergy Kansas Central included in the accompanying Notes to Unaudited Consolidated Financial Statements are an integral part of these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9436" w:type="dxa"/>
        <w:jc w:val="center"/>
        <w:tblInd w:w="0" w:type="dxa"/>
        <w:tblLayout w:type="fixed"/>
        <w:tblCellMar>
          <w:top w:w="28" w:type="dxa"/>
          <w:left w:w="28" w:type="dxa"/>
          <w:bottom w:w="28" w:type="dxa"/>
          <w:right w:w="28" w:type="dxa"/>
        </w:tblCellMar>
      </w:tblPr>
      <w:tblGrid>
        <w:gridCol w:w="2335"/>
        <w:gridCol w:w="2048"/>
        <w:gridCol w:w="2066"/>
        <w:gridCol w:w="259"/>
        <w:gridCol w:w="755"/>
        <w:gridCol w:w="143"/>
        <w:gridCol w:w="143"/>
        <w:gridCol w:w="143"/>
        <w:gridCol w:w="143"/>
        <w:gridCol w:w="259"/>
        <w:gridCol w:w="736"/>
        <w:gridCol w:w="143"/>
        <w:gridCol w:w="109"/>
        <w:gridCol w:w="154"/>
      </w:tblGrid>
      <w:tr>
        <w:trPr/>
        <w:tc>
          <w:tcPr>
            <w:tcW w:w="2335"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KANSAS CENTRAL, INC.</w:t>
            </w:r>
          </w:p>
        </w:tc>
        <w:tc>
          <w:tcPr>
            <w:tcW w:w="263" w:type="dxa"/>
            <w:gridSpan w:val="2"/>
            <w:tcBorders/>
          </w:tcPr>
          <w:p>
            <w:pPr>
              <w:pStyle w:val="TableContents"/>
              <w:bidi w:val="0"/>
              <w:spacing w:before="0" w:after="283"/>
              <w:jc w:val="left"/>
              <w:rPr>
                <w:sz w:val="4"/>
                <w:szCs w:val="4"/>
              </w:rPr>
            </w:pPr>
            <w:r>
              <w:rPr>
                <w:sz w:val="4"/>
                <w:szCs w:val="4"/>
              </w:rPr>
            </w:r>
          </w:p>
        </w:tc>
      </w:tr>
      <w:tr>
        <w:trPr/>
        <w:tc>
          <w:tcPr>
            <w:tcW w:w="91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tc>
        <w:tc>
          <w:tcPr>
            <w:tcW w:w="263" w:type="dxa"/>
            <w:gridSpan w:val="2"/>
            <w:tcBorders/>
          </w:tcPr>
          <w:p>
            <w:pPr>
              <w:pStyle w:val="TableContents"/>
              <w:bidi w:val="0"/>
              <w:spacing w:before="0" w:after="283"/>
              <w:jc w:val="left"/>
              <w:rPr>
                <w:sz w:val="4"/>
                <w:szCs w:val="4"/>
              </w:rPr>
            </w:pPr>
            <w:r>
              <w:rPr>
                <w:sz w:val="4"/>
                <w:szCs w:val="4"/>
              </w:rPr>
            </w:r>
          </w:p>
        </w:tc>
      </w:tr>
      <w:tr>
        <w:trPr/>
        <w:tc>
          <w:tcPr>
            <w:tcW w:w="91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263" w:type="dxa"/>
            <w:gridSpan w:val="2"/>
            <w:tcBorders/>
          </w:tcPr>
          <w:p>
            <w:pPr>
              <w:pStyle w:val="TableContents"/>
              <w:bidi w:val="0"/>
              <w:spacing w:before="0" w:after="283"/>
              <w:jc w:val="left"/>
              <w:rPr>
                <w:sz w:val="4"/>
                <w:szCs w:val="4"/>
              </w:rPr>
            </w:pPr>
            <w:r>
              <w:rPr>
                <w:sz w:val="4"/>
                <w:szCs w:val="4"/>
              </w:rPr>
            </w:r>
          </w:p>
        </w:tc>
      </w:tr>
      <w:tr>
        <w:trPr/>
        <w:tc>
          <w:tcPr>
            <w:tcW w:w="917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2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OPERATING ACTIVITIES:</w:t>
            </w:r>
          </w:p>
        </w:tc>
        <w:tc>
          <w:tcPr>
            <w:tcW w:w="272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110.9</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income to net cash from operating activities: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142.1</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nuclear fuel</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refueling outage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corporate-owned life insurance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6.6</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income taxes and credits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equity funds used during construction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asset retirement obligations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equity method investees, net of income taxes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corporate-owned life insurance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working capital items: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pledged as collateral</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inventory and supplies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(35.9)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taxes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63.7</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9.8</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assets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10.3</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liabilities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299.8</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INVESTING ACTIVITIES:</w:t>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property, plant and equipment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(370.1)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securities - trusts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securities - trusts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corporate-owned life insurance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investment in corporate-owned life insurance </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0.7</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investing activities </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Investing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(373.8)</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(283.7)</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 net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(504.8)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Collateralized short-term debt, net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594.7</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money pool borrowings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against cash surrender value of corporate-owned life insurance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0.7</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borrowings against cash surrender value of corporate-owned life insurance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78.1</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CASH EQUIVALENTS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7.8</w:t>
            </w:r>
            <w:r>
              <w:rPr>
                <w:color w:val="000000"/>
              </w:rPr>
              <w:t> </w:t>
            </w:r>
          </w:p>
        </w:tc>
        <w:tc>
          <w:tcPr>
            <w:tcW w:w="1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disclosures regarding Evergy Kansas Central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50"/>
        <w:gridCol w:w="835"/>
        <w:gridCol w:w="838"/>
        <w:gridCol w:w="575"/>
        <w:gridCol w:w="575"/>
        <w:gridCol w:w="577"/>
        <w:gridCol w:w="269"/>
        <w:gridCol w:w="949"/>
        <w:gridCol w:w="149"/>
        <w:gridCol w:w="286"/>
        <w:gridCol w:w="1011"/>
        <w:gridCol w:w="158"/>
        <w:gridCol w:w="494"/>
        <w:gridCol w:w="1178"/>
        <w:gridCol w:w="277"/>
        <w:gridCol w:w="202"/>
        <w:gridCol w:w="714"/>
        <w:gridCol w:w="168"/>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KANSAS CENTRAL, INC.</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Changes in Equity</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r>
        <w:trPr/>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Kansas Central, Inc. Shareholder</w:t>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shares</w:t>
            </w:r>
          </w:p>
        </w:tc>
        <w:tc>
          <w:tcPr>
            <w:tcW w:w="1367"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1455"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194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108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w:t>
            </w:r>
          </w:p>
        </w:tc>
      </w:tr>
      <w:tr>
        <w:trPr/>
        <w:tc>
          <w:tcPr>
            <w:tcW w:w="26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(millions, except share amounts)</w:t>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2024</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on common stock</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2025</w:t>
            </w:r>
          </w:p>
        </w:tc>
        <w:tc>
          <w:tcPr>
            <w:tcW w:w="115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7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2,737.6 </w:t>
            </w:r>
          </w:p>
        </w:tc>
        <w:tc>
          <w:tcPr>
            <w:tcW w:w="1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2,610.9 </w:t>
            </w:r>
          </w:p>
        </w:tc>
        <w:tc>
          <w:tcPr>
            <w:tcW w:w="1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27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5,385.8 </w:t>
            </w:r>
          </w:p>
        </w:tc>
        <w:tc>
          <w:tcPr>
            <w:tcW w:w="1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disclosures regarding Evergy Kansas Central included in the accompanying Unaudited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9206" w:type="dxa"/>
        <w:jc w:val="center"/>
        <w:tblInd w:w="0" w:type="dxa"/>
        <w:tblLayout w:type="fixed"/>
        <w:tblCellMar>
          <w:top w:w="28" w:type="dxa"/>
          <w:left w:w="28" w:type="dxa"/>
          <w:bottom w:w="28" w:type="dxa"/>
          <w:right w:w="28" w:type="dxa"/>
        </w:tblCellMar>
      </w:tblPr>
      <w:tblGrid>
        <w:gridCol w:w="1999"/>
        <w:gridCol w:w="1753"/>
        <w:gridCol w:w="1767"/>
        <w:gridCol w:w="109"/>
        <w:gridCol w:w="109"/>
        <w:gridCol w:w="109"/>
        <w:gridCol w:w="196"/>
        <w:gridCol w:w="706"/>
        <w:gridCol w:w="109"/>
        <w:gridCol w:w="109"/>
        <w:gridCol w:w="109"/>
        <w:gridCol w:w="109"/>
        <w:gridCol w:w="109"/>
        <w:gridCol w:w="109"/>
        <w:gridCol w:w="109"/>
        <w:gridCol w:w="109"/>
        <w:gridCol w:w="109"/>
        <w:gridCol w:w="109"/>
        <w:gridCol w:w="196"/>
        <w:gridCol w:w="691"/>
        <w:gridCol w:w="109"/>
        <w:gridCol w:w="109"/>
        <w:gridCol w:w="109"/>
        <w:gridCol w:w="154"/>
      </w:tblGrid>
      <w:tr>
        <w:trPr/>
        <w:tc>
          <w:tcPr>
            <w:tcW w:w="1999"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0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METRO, INC.</w:t>
            </w:r>
          </w:p>
        </w:tc>
      </w:tr>
      <w:tr>
        <w:trPr/>
        <w:tc>
          <w:tcPr>
            <w:tcW w:w="920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tc>
      </w:tr>
      <w:tr>
        <w:trPr/>
        <w:tc>
          <w:tcPr>
            <w:tcW w:w="920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w:t>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r>
      <w:tr>
        <w:trPr/>
        <w:tc>
          <w:tcPr>
            <w:tcW w:w="55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68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(millions, except share amounts)</w:t>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 of allowance for credit losses of $4.1 and $5.8,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pledged as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inventory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713.8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8,278.4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decommissioning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9,985.7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9,976.7 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disclosures regarding Evergy Metro included in the accompanying Notes to Unaudited Consolidated Financial Statements are an integral part of these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046" w:type="dxa"/>
        <w:jc w:val="center"/>
        <w:tblInd w:w="0" w:type="dxa"/>
        <w:tblLayout w:type="fixed"/>
        <w:tblCellMar>
          <w:top w:w="28" w:type="dxa"/>
          <w:left w:w="28" w:type="dxa"/>
          <w:bottom w:w="28" w:type="dxa"/>
          <w:right w:w="28" w:type="dxa"/>
        </w:tblCellMar>
      </w:tblPr>
      <w:tblGrid>
        <w:gridCol w:w="2305"/>
        <w:gridCol w:w="2022"/>
        <w:gridCol w:w="2032"/>
        <w:gridCol w:w="109"/>
        <w:gridCol w:w="109"/>
        <w:gridCol w:w="109"/>
        <w:gridCol w:w="196"/>
        <w:gridCol w:w="706"/>
        <w:gridCol w:w="109"/>
        <w:gridCol w:w="109"/>
        <w:gridCol w:w="109"/>
        <w:gridCol w:w="109"/>
        <w:gridCol w:w="109"/>
        <w:gridCol w:w="109"/>
        <w:gridCol w:w="109"/>
        <w:gridCol w:w="109"/>
        <w:gridCol w:w="109"/>
        <w:gridCol w:w="109"/>
        <w:gridCol w:w="196"/>
        <w:gridCol w:w="691"/>
        <w:gridCol w:w="109"/>
        <w:gridCol w:w="109"/>
        <w:gridCol w:w="109"/>
        <w:gridCol w:w="154"/>
      </w:tblGrid>
      <w:tr>
        <w:trPr/>
        <w:tc>
          <w:tcPr>
            <w:tcW w:w="2305"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METRO, INC.</w:t>
            </w:r>
          </w:p>
        </w:tc>
      </w:tr>
      <w:tr>
        <w:trPr/>
        <w:tc>
          <w:tcPr>
            <w:tcW w:w="1004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tc>
      </w:tr>
      <w:tr>
        <w:trPr/>
        <w:tc>
          <w:tcPr>
            <w:tcW w:w="1004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w:t>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r>
      <w:tr>
        <w:trPr/>
        <w:tc>
          <w:tcPr>
            <w:tcW w:w="63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368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(millions, except share amounts)</w:t>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Collateralized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1,179.6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2,874.0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744.3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494.5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5,443.1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- 1,000 shares authorized, without par value, 1 share issued, stated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1,796.6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3,363.0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9,985.7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9,976.7 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disclosures regarding Evergy Metro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8228" w:type="dxa"/>
        <w:jc w:val="center"/>
        <w:tblInd w:w="0" w:type="dxa"/>
        <w:tblLayout w:type="fixed"/>
        <w:tblCellMar>
          <w:top w:w="28" w:type="dxa"/>
          <w:left w:w="28" w:type="dxa"/>
          <w:bottom w:w="28" w:type="dxa"/>
          <w:right w:w="28" w:type="dxa"/>
        </w:tblCellMar>
      </w:tblPr>
      <w:tblGrid>
        <w:gridCol w:w="1128"/>
        <w:gridCol w:w="988"/>
        <w:gridCol w:w="988"/>
        <w:gridCol w:w="448"/>
        <w:gridCol w:w="448"/>
        <w:gridCol w:w="448"/>
        <w:gridCol w:w="448"/>
        <w:gridCol w:w="448"/>
        <w:gridCol w:w="448"/>
        <w:gridCol w:w="109"/>
        <w:gridCol w:w="196"/>
        <w:gridCol w:w="571"/>
        <w:gridCol w:w="109"/>
        <w:gridCol w:w="109"/>
        <w:gridCol w:w="109"/>
        <w:gridCol w:w="109"/>
        <w:gridCol w:w="196"/>
        <w:gridCol w:w="556"/>
        <w:gridCol w:w="109"/>
        <w:gridCol w:w="109"/>
        <w:gridCol w:w="154"/>
      </w:tblGrid>
      <w:tr>
        <w:trPr/>
        <w:tc>
          <w:tcPr>
            <w:tcW w:w="112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METRO, INC.</w:t>
            </w:r>
          </w:p>
        </w:tc>
        <w:tc>
          <w:tcPr>
            <w:tcW w:w="2436" w:type="dxa"/>
            <w:gridSpan w:val="12"/>
            <w:tcBorders/>
          </w:tcPr>
          <w:p>
            <w:pPr>
              <w:pStyle w:val="TableContents"/>
              <w:bidi w:val="0"/>
              <w:spacing w:before="0" w:after="283"/>
              <w:jc w:val="left"/>
              <w:rPr>
                <w:sz w:val="4"/>
                <w:szCs w:val="4"/>
              </w:rPr>
            </w:pPr>
            <w:r>
              <w:rPr>
                <w:sz w:val="4"/>
                <w:szCs w:val="4"/>
              </w:rPr>
            </w:r>
          </w:p>
        </w:tc>
      </w:tr>
      <w:tr>
        <w:trPr/>
        <w:tc>
          <w:tcPr>
            <w:tcW w:w="5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Comprehensive Income</w:t>
            </w:r>
          </w:p>
        </w:tc>
        <w:tc>
          <w:tcPr>
            <w:tcW w:w="2436" w:type="dxa"/>
            <w:gridSpan w:val="12"/>
            <w:tcBorders/>
          </w:tcPr>
          <w:p>
            <w:pPr>
              <w:pStyle w:val="TableContents"/>
              <w:bidi w:val="0"/>
              <w:spacing w:before="0" w:after="283"/>
              <w:jc w:val="left"/>
              <w:rPr>
                <w:sz w:val="4"/>
                <w:szCs w:val="4"/>
              </w:rPr>
            </w:pPr>
            <w:r>
              <w:rPr>
                <w:sz w:val="4"/>
                <w:szCs w:val="4"/>
              </w:rPr>
            </w:r>
          </w:p>
        </w:tc>
      </w:tr>
      <w:tr>
        <w:trPr/>
        <w:tc>
          <w:tcPr>
            <w:tcW w:w="5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2436" w:type="dxa"/>
            <w:gridSpan w:val="12"/>
            <w:tcBorders/>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51" w:type="dxa"/>
            <w:gridSpan w:val="8"/>
            <w:tcBorders/>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427.7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and purchased power</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and maintenance</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earnings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w:t>
            </w:r>
          </w:p>
        </w:tc>
        <w:tc>
          <w:tcPr>
            <w:tcW w:w="13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hedging activity</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to expenses, net of tax</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hedging activity, net of tax</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344"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disclosures regarding Evergy Metro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7975" w:type="dxa"/>
        <w:jc w:val="center"/>
        <w:tblInd w:w="0" w:type="dxa"/>
        <w:tblLayout w:type="fixed"/>
        <w:tblCellMar>
          <w:top w:w="28" w:type="dxa"/>
          <w:left w:w="28" w:type="dxa"/>
          <w:bottom w:w="28" w:type="dxa"/>
          <w:right w:w="28" w:type="dxa"/>
        </w:tblCellMar>
      </w:tblPr>
      <w:tblGrid>
        <w:gridCol w:w="1819"/>
        <w:gridCol w:w="1596"/>
        <w:gridCol w:w="1610"/>
        <w:gridCol w:w="280"/>
        <w:gridCol w:w="687"/>
        <w:gridCol w:w="155"/>
        <w:gridCol w:w="155"/>
        <w:gridCol w:w="155"/>
        <w:gridCol w:w="155"/>
        <w:gridCol w:w="280"/>
        <w:gridCol w:w="665"/>
        <w:gridCol w:w="155"/>
        <w:gridCol w:w="109"/>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EVERGY METRO, INC.</w:t>
            </w:r>
          </w:p>
        </w:tc>
        <w:tc>
          <w:tcPr>
            <w:tcW w:w="263" w:type="dxa"/>
            <w:gridSpan w:val="2"/>
            <w:tcBorders/>
          </w:tcPr>
          <w:p>
            <w:pPr>
              <w:pStyle w:val="TableContents"/>
              <w:bidi w:val="0"/>
              <w:spacing w:before="0" w:after="283"/>
              <w:jc w:val="left"/>
              <w:rPr>
                <w:sz w:val="4"/>
                <w:szCs w:val="4"/>
              </w:rPr>
            </w:pPr>
            <w:r>
              <w:rPr>
                <w:sz w:val="4"/>
                <w:szCs w:val="4"/>
              </w:rPr>
            </w:r>
          </w:p>
        </w:tc>
      </w:tr>
      <w:tr>
        <w:trPr/>
        <w:tc>
          <w:tcPr>
            <w:tcW w:w="77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tc>
        <w:tc>
          <w:tcPr>
            <w:tcW w:w="263" w:type="dxa"/>
            <w:gridSpan w:val="2"/>
            <w:tcBorders/>
          </w:tcPr>
          <w:p>
            <w:pPr>
              <w:pStyle w:val="TableContents"/>
              <w:bidi w:val="0"/>
              <w:spacing w:before="0" w:after="283"/>
              <w:jc w:val="left"/>
              <w:rPr>
                <w:sz w:val="4"/>
                <w:szCs w:val="4"/>
              </w:rPr>
            </w:pPr>
            <w:r>
              <w:rPr>
                <w:sz w:val="4"/>
                <w:szCs w:val="4"/>
              </w:rPr>
            </w:r>
          </w:p>
        </w:tc>
      </w:tr>
      <w:tr>
        <w:trPr/>
        <w:tc>
          <w:tcPr>
            <w:tcW w:w="77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263" w:type="dxa"/>
            <w:gridSpan w:val="2"/>
            <w:tcBorders/>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6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OPERATING ACTIVITIES:</w:t>
            </w:r>
          </w:p>
        </w:tc>
        <w:tc>
          <w:tcPr>
            <w:tcW w:w="268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36.9</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income to net cash from operating activities:</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103.8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nuclear fuel</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refueling outage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income taxes and credits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equity funds used during construction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asset retirement obligations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working capital items:</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receivable pledged as collateral </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inventory and supplies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(75.9)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taxes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37.2</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assets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liabilities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115.3</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INVESTING ACTIVITIES:</w:t>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property, plant and equipment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securities - trusts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securities - trusts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20.5</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investing activities </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Investing Activities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(156.1)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FINANCING ACTIVITIES:</w:t>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 net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94.1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Collateralized short-term debt, net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43.3</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CASH EQUIVALENTS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2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6.2</w:t>
            </w:r>
            <w:r>
              <w:rPr>
                <w:color w:val="000000"/>
              </w:rPr>
              <w:t> </w:t>
            </w:r>
          </w:p>
        </w:tc>
        <w:tc>
          <w:tcPr>
            <w:tcW w:w="1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disclosures regarding Evergy Metro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798"/>
        <w:gridCol w:w="702"/>
        <w:gridCol w:w="703"/>
        <w:gridCol w:w="517"/>
        <w:gridCol w:w="517"/>
        <w:gridCol w:w="519"/>
        <w:gridCol w:w="244"/>
        <w:gridCol w:w="864"/>
        <w:gridCol w:w="136"/>
        <w:gridCol w:w="271"/>
        <w:gridCol w:w="955"/>
        <w:gridCol w:w="150"/>
        <w:gridCol w:w="781"/>
        <w:gridCol w:w="1499"/>
        <w:gridCol w:w="434"/>
        <w:gridCol w:w="208"/>
        <w:gridCol w:w="735"/>
        <w:gridCol w:w="172"/>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EVERGY METRO, INC </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Changes in Equity</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Common stock shares</w:t>
            </w:r>
          </w:p>
        </w:tc>
        <w:tc>
          <w:tcPr>
            <w:tcW w:w="124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Common Stock</w:t>
            </w:r>
          </w:p>
        </w:tc>
        <w:tc>
          <w:tcPr>
            <w:tcW w:w="137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Retained earnings</w:t>
            </w:r>
          </w:p>
        </w:tc>
        <w:tc>
          <w:tcPr>
            <w:tcW w:w="271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AOCI - Net gains (losses) on cash flow hedges</w:t>
            </w:r>
          </w:p>
        </w:tc>
        <w:tc>
          <w:tcPr>
            <w:tcW w:w="111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Total equity</w:t>
            </w:r>
          </w:p>
        </w:tc>
      </w:tr>
      <w:tr>
        <w:trPr/>
        <w:tc>
          <w:tcPr>
            <w:tcW w:w="22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(millions, except share amounts)</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hedging activity, net of tax</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3,225.6 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2024</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Dividends declared on common stock </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hedging activity, net of tax</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2025</w:t>
            </w:r>
          </w:p>
        </w:tc>
        <w:tc>
          <w:tcPr>
            <w:tcW w:w="1034"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1,563.1 </w:t>
            </w:r>
          </w:p>
        </w:tc>
        <w:tc>
          <w:tcPr>
            <w:tcW w:w="1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1,796.6 </w:t>
            </w:r>
          </w:p>
        </w:tc>
        <w:tc>
          <w:tcPr>
            <w:tcW w:w="15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4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3,363.0 </w:t>
            </w:r>
          </w:p>
        </w:tc>
        <w:tc>
          <w:tcPr>
            <w:tcW w:w="1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disclosures regarding Evergy Metro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EVERGY, INC.</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EVERGY KANSAS CENTRAL, INC.</w:t>
      </w: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EVERGY METRO, INC.</w:t>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 xml:space="preserve">Combined Notes to Unaudited Consolidated Financial Statements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1. ORGANIZATION AND BASIS OF PRESENTATION</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Organization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Evergy is a public utility holding company incorporated in 2017 and headquartered in Kansas City, Missouri. Evergy operates primarily through the following wholly-owned direct subsidiaries listed below.</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Evergy Metro, Inc. (Evergy Metro) is an integrated, regulated electric utility that provides electricity to customers in the states of Missouri and Kansas.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Evergy Missouri West, Inc. (Evergy Missouri West) is an integrated, regulated electric utility that provides electricity to customers in the state of Missouri.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 </w:t>
      </w:r>
    </w:p>
    <w:p>
      <w:pPr>
        <w:pStyle w:val="TextBody"/>
        <w:bidi w:val="0"/>
        <w:spacing w:lineRule="auto" w:line="288" w:before="0" w:after="240"/>
        <w:jc w:val="left"/>
        <w:rPr/>
      </w:pPr>
      <w:r>
        <w:rPr>
          <w:rFonts w:ascii="Times New Roman;sans-serif" w:hAnsi="Times New Roman;sans-serif"/>
          <w:b w:val="false"/>
          <w:color w:val="000000"/>
          <w:sz w:val="22"/>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w:t>
      </w:r>
      <w:r>
        <w:rPr>
          <w:color w:val="000000"/>
        </w:rPr>
        <w:t xml:space="preserve"> </w:t>
      </w:r>
      <w:r>
        <w:rPr>
          <w:rFonts w:ascii="Times New Roman;sans-serif" w:hAnsi="Times New Roman;sans-serif"/>
          <w:b w:val="false"/>
          <w:color w:val="000000"/>
          <w:sz w:val="22"/>
        </w:rPr>
        <w:t>Kansas Central accounts for its investment in Prairie Wind under the equity method.</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 Evergy Kansas South, Evergy Metro and Evergy Missouri West conduct business in their respective service territories using the name Evergy. Collectively, the Evergy Companies have approximately 15,800 megawatts (MWs) of owned generating capacity and renewable power purchase agreements and engage in the generation, transmission, distribution and sale of electricity to approximately 1.7 million customers in the states of Kansas and Missouri.</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Basis of Presentation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2024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Principles of Consolidation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Each of Evergy's, Evergy Kansas Central's and Evergy Metro's unaudited consolidated financial statements includes the accounts of their subsidiaries and the variable interest entities (VIE) of which Evergy and Evergy Kansas Central are the primary beneficiaries.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Cash, Cash Equivalents and Restricted Cash</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Cash equivalents consist of highly liquid investments with original maturities of three months or less at acquisition. Evergy has restricted cash included in Other Current Assets and Other Non-current Assets on Evergy's consolidated balance sheet to facilitate the servicing of Evergy Missouri West Storm Funding I, LLC's debt and the funding requirements for a jointly-owned generation facility. The following table summarizes the cash, cash equivalents and restricted cash included on Evergy's consolidated balance sheet. </w:t>
      </w:r>
    </w:p>
    <w:tbl>
      <w:tblPr>
        <w:tblW w:w="7115" w:type="dxa"/>
        <w:jc w:val="left"/>
        <w:tblInd w:w="0" w:type="dxa"/>
        <w:tblLayout w:type="fixed"/>
        <w:tblCellMar>
          <w:top w:w="28" w:type="dxa"/>
          <w:left w:w="28" w:type="dxa"/>
          <w:bottom w:w="28" w:type="dxa"/>
          <w:right w:w="28" w:type="dxa"/>
        </w:tblCellMar>
      </w:tblPr>
      <w:tblGrid>
        <w:gridCol w:w="1429"/>
        <w:gridCol w:w="1254"/>
        <w:gridCol w:w="1261"/>
        <w:gridCol w:w="109"/>
        <w:gridCol w:w="109"/>
        <w:gridCol w:w="109"/>
        <w:gridCol w:w="236"/>
        <w:gridCol w:w="572"/>
        <w:gridCol w:w="122"/>
        <w:gridCol w:w="109"/>
        <w:gridCol w:w="109"/>
        <w:gridCol w:w="109"/>
        <w:gridCol w:w="109"/>
        <w:gridCol w:w="109"/>
        <w:gridCol w:w="109"/>
        <w:gridCol w:w="303"/>
        <w:gridCol w:w="734"/>
        <w:gridCol w:w="223"/>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3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Fuel Inventory and Supplies</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Evergy Companies record fuel inventory and supplies at average cost. The following table separately states the balances for fuel inventory and supplies.</w:t>
      </w:r>
    </w:p>
    <w:tbl>
      <w:tblPr>
        <w:tblW w:w="5669" w:type="dxa"/>
        <w:jc w:val="left"/>
        <w:tblInd w:w="0" w:type="dxa"/>
        <w:tblLayout w:type="fixed"/>
        <w:tblCellMar>
          <w:top w:w="28" w:type="dxa"/>
          <w:left w:w="28" w:type="dxa"/>
          <w:bottom w:w="28" w:type="dxa"/>
          <w:right w:w="28" w:type="dxa"/>
        </w:tblCellMar>
      </w:tblPr>
      <w:tblGrid>
        <w:gridCol w:w="862"/>
        <w:gridCol w:w="757"/>
        <w:gridCol w:w="765"/>
        <w:gridCol w:w="109"/>
        <w:gridCol w:w="109"/>
        <w:gridCol w:w="109"/>
        <w:gridCol w:w="211"/>
        <w:gridCol w:w="616"/>
        <w:gridCol w:w="109"/>
        <w:gridCol w:w="109"/>
        <w:gridCol w:w="109"/>
        <w:gridCol w:w="109"/>
        <w:gridCol w:w="109"/>
        <w:gridCol w:w="109"/>
        <w:gridCol w:w="109"/>
        <w:gridCol w:w="273"/>
        <w:gridCol w:w="799"/>
        <w:gridCol w:w="142"/>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inventory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inventory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Metro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inventory and supplies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Property, Plant and Equipment</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tables summarize the property, plant and equipment of Evergy, Evergy Kansas Central and Evergy Metro.</w:t>
      </w:r>
    </w:p>
    <w:tbl>
      <w:tblPr>
        <w:tblW w:w="9919" w:type="dxa"/>
        <w:jc w:val="center"/>
        <w:tblInd w:w="0" w:type="dxa"/>
        <w:tblLayout w:type="fixed"/>
        <w:tblCellMar>
          <w:top w:w="28" w:type="dxa"/>
          <w:left w:w="28" w:type="dxa"/>
          <w:bottom w:w="28" w:type="dxa"/>
          <w:right w:w="28" w:type="dxa"/>
        </w:tblCellMar>
      </w:tblPr>
      <w:tblGrid>
        <w:gridCol w:w="1129"/>
        <w:gridCol w:w="993"/>
        <w:gridCol w:w="997"/>
        <w:gridCol w:w="109"/>
        <w:gridCol w:w="109"/>
        <w:gridCol w:w="109"/>
        <w:gridCol w:w="109"/>
        <w:gridCol w:w="109"/>
        <w:gridCol w:w="109"/>
        <w:gridCol w:w="211"/>
        <w:gridCol w:w="871"/>
        <w:gridCol w:w="109"/>
        <w:gridCol w:w="109"/>
        <w:gridCol w:w="109"/>
        <w:gridCol w:w="109"/>
        <w:gridCol w:w="109"/>
        <w:gridCol w:w="109"/>
        <w:gridCol w:w="109"/>
        <w:gridCol w:w="123"/>
        <w:gridCol w:w="123"/>
        <w:gridCol w:w="123"/>
        <w:gridCol w:w="238"/>
        <w:gridCol w:w="985"/>
        <w:gridCol w:w="123"/>
        <w:gridCol w:w="123"/>
        <w:gridCol w:w="123"/>
        <w:gridCol w:w="123"/>
        <w:gridCol w:w="109"/>
        <w:gridCol w:w="109"/>
        <w:gridCol w:w="109"/>
        <w:gridCol w:w="109"/>
        <w:gridCol w:w="109"/>
        <w:gridCol w:w="109"/>
        <w:gridCol w:w="211"/>
        <w:gridCol w:w="871"/>
        <w:gridCol w:w="109"/>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Metro</w:t>
            </w:r>
          </w:p>
        </w:tc>
      </w:tr>
      <w:tr>
        <w:trPr/>
        <w:tc>
          <w:tcPr>
            <w:tcW w:w="3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 plant in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 plant acquisition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in service,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fuel,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13,013.9 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Metro</w:t>
            </w:r>
          </w:p>
        </w:tc>
      </w:tr>
      <w:tr>
        <w:trPr/>
        <w:tc>
          <w:tcPr>
            <w:tcW w:w="3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 plant in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 plant acquisition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in service,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11,725.4 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fuel,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Plant to be retired, net</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24,930.9 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12,880.1 </w:t>
            </w:r>
          </w:p>
        </w:tc>
        <w:tc>
          <w:tcPr>
            <w:tcW w:w="1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pPr>
      <w:r>
        <w:rPr>
          <w:rFonts w:ascii="Times New Roman;sans-serif" w:hAnsi="Times New Roman;sans-serif"/>
          <w:b w:val="false"/>
          <w:color w:val="000000"/>
          <w:sz w:val="12"/>
        </w:rPr>
        <w:t>(a)</w:t>
      </w:r>
      <w:r>
        <w:rPr>
          <w:color w:val="000000"/>
        </w:rPr>
        <w:t xml:space="preserve"> </w:t>
      </w:r>
      <w:r>
        <w:rPr>
          <w:rFonts w:ascii="Times New Roman;sans-serif" w:hAnsi="Times New Roman;sans-serif"/>
          <w:b w:val="false"/>
          <w:color w:val="000000"/>
          <w:sz w:val="18"/>
        </w:rPr>
        <w:t>As of December 31, 2024, represents the planned retirement of Evergy Kansas Central analog meters prior to the end of their remaining useful lives.</w:t>
      </w:r>
    </w:p>
    <w:p>
      <w:pPr>
        <w:pStyle w:val="TextBody"/>
        <w:bidi w:val="0"/>
        <w:spacing w:lineRule="auto" w:line="288" w:before="0" w:after="0"/>
        <w:ind w:left="0" w:right="0" w:hanging="180"/>
        <w:jc w:val="left"/>
        <w:rPr>
          <w:rFonts w:ascii="Times New Roman;sans-serif" w:hAnsi="Times New Roman;sans-serif"/>
          <w:b/>
          <w:color w:val="000000"/>
          <w:sz w:val="22"/>
        </w:rPr>
      </w:pPr>
      <w:r>
        <w:rPr>
          <w:rFonts w:ascii="Times New Roman;sans-serif" w:hAnsi="Times New Roman;sans-serif"/>
          <w:b/>
          <w:color w:val="000000"/>
          <w:sz w:val="22"/>
        </w:rPr>
        <w:t>Other Expense</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table below shows the detail of other expense for each of the Evergy Companies.</w:t>
      </w:r>
    </w:p>
    <w:tbl>
      <w:tblPr>
        <w:tblW w:w="6339" w:type="dxa"/>
        <w:jc w:val="left"/>
        <w:tblInd w:w="0" w:type="dxa"/>
        <w:tblLayout w:type="fixed"/>
        <w:tblCellMar>
          <w:top w:w="28" w:type="dxa"/>
          <w:left w:w="28" w:type="dxa"/>
          <w:bottom w:w="28" w:type="dxa"/>
          <w:right w:w="28" w:type="dxa"/>
        </w:tblCellMar>
      </w:tblPr>
      <w:tblGrid>
        <w:gridCol w:w="1423"/>
        <w:gridCol w:w="1250"/>
        <w:gridCol w:w="1256"/>
        <w:gridCol w:w="211"/>
        <w:gridCol w:w="481"/>
        <w:gridCol w:w="109"/>
        <w:gridCol w:w="109"/>
        <w:gridCol w:w="109"/>
        <w:gridCol w:w="109"/>
        <w:gridCol w:w="211"/>
        <w:gridCol w:w="481"/>
        <w:gridCol w:w="109"/>
        <w:gridCol w:w="109"/>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8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w:t>
            </w:r>
          </w:p>
        </w:tc>
        <w:tc>
          <w:tcPr>
            <w:tcW w:w="19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Non-service cost component of net benefit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Corporate-owned life insurance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Non-service cost component of net benefit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Corporate-owned life insurance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Metro</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Non-service cost component of net benefit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Corporate-owned life insurance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Earnings Per Share</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To compute basic earnings per common share (EPS), Evergy divides net income attributable to Evergy, Inc. by the weighted average number of common shares outstanding. Diluted EPS includes the effect of issuable common shares resulting from restricted share units, convertible notes and a warrant. Evergy computes the dilutive effects of potential issuances of common shares using the treasury stock method, the contingently issuable share method or the if-converted method, as applicable.</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reconciles Evergy's basic and diluted EPS.</w:t>
      </w:r>
    </w:p>
    <w:tbl>
      <w:tblPr>
        <w:tblW w:w="8377" w:type="dxa"/>
        <w:jc w:val="left"/>
        <w:tblInd w:w="0" w:type="dxa"/>
        <w:tblLayout w:type="fixed"/>
        <w:tblCellMar>
          <w:top w:w="28" w:type="dxa"/>
          <w:left w:w="28" w:type="dxa"/>
          <w:bottom w:w="28" w:type="dxa"/>
          <w:right w:w="28" w:type="dxa"/>
        </w:tblCellMar>
      </w:tblPr>
      <w:tblGrid>
        <w:gridCol w:w="1933"/>
        <w:gridCol w:w="1699"/>
        <w:gridCol w:w="1707"/>
        <w:gridCol w:w="109"/>
        <w:gridCol w:w="109"/>
        <w:gridCol w:w="109"/>
        <w:gridCol w:w="115"/>
        <w:gridCol w:w="115"/>
        <w:gridCol w:w="115"/>
        <w:gridCol w:w="222"/>
        <w:gridCol w:w="650"/>
        <w:gridCol w:w="115"/>
        <w:gridCol w:w="115"/>
        <w:gridCol w:w="115"/>
        <w:gridCol w:w="115"/>
        <w:gridCol w:w="222"/>
        <w:gridCol w:w="650"/>
        <w:gridCol w:w="162"/>
      </w:tblGrid>
      <w:tr>
        <w:trPr/>
        <w:tc>
          <w:tcPr>
            <w:tcW w:w="1933"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1" w:type="dxa"/>
            <w:gridSpan w:val="12"/>
            <w:tcBorders/>
          </w:tcPr>
          <w:p>
            <w:pPr>
              <w:pStyle w:val="TableContents"/>
              <w:bidi w:val="0"/>
              <w:spacing w:before="0" w:after="283"/>
              <w:jc w:val="left"/>
              <w:rPr>
                <w:sz w:val="4"/>
                <w:szCs w:val="4"/>
              </w:rPr>
            </w:pPr>
            <w:r>
              <w:rPr>
                <w:sz w:val="4"/>
                <w:szCs w:val="4"/>
              </w:rPr>
            </w:r>
          </w:p>
        </w:tc>
      </w:tr>
      <w:tr>
        <w:trPr/>
        <w:tc>
          <w:tcPr>
            <w:tcW w:w="53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5"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 except per share amounts)</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Evergy,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average number of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effect of dilutive securities for the three months ended March 31, 2025 included 1.3 million shares resulting from Evergy's convertible notes. There was no dilution resulting from Evergy's convertible notes for the three months ended March 31, 2024. There were no anti-dilutive shares excluded from the computation of diluted EPS for the three months ended March 31, 2025. Anti-dilutive securities excluded from the computation of diluted EPS for the three months ended March 31, 2024 were 3,950,000 common shares issuable pursuant to a warrant that expired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Supplemental Cash Flow Information</w:t>
      </w:r>
    </w:p>
    <w:tbl>
      <w:tblPr>
        <w:tblW w:w="8660" w:type="dxa"/>
        <w:jc w:val="center"/>
        <w:tblInd w:w="0" w:type="dxa"/>
        <w:tblLayout w:type="fixed"/>
        <w:tblCellMar>
          <w:top w:w="28" w:type="dxa"/>
          <w:left w:w="28" w:type="dxa"/>
          <w:bottom w:w="28" w:type="dxa"/>
          <w:right w:w="28" w:type="dxa"/>
        </w:tblCellMar>
      </w:tblPr>
      <w:tblGrid>
        <w:gridCol w:w="2243"/>
        <w:gridCol w:w="1970"/>
        <w:gridCol w:w="1981"/>
        <w:gridCol w:w="109"/>
        <w:gridCol w:w="109"/>
        <w:gridCol w:w="109"/>
        <w:gridCol w:w="211"/>
        <w:gridCol w:w="511"/>
        <w:gridCol w:w="109"/>
        <w:gridCol w:w="109"/>
        <w:gridCol w:w="109"/>
        <w:gridCol w:w="109"/>
        <w:gridCol w:w="211"/>
        <w:gridCol w:w="616"/>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(received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 of amount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additions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8555" w:type="dxa"/>
        <w:jc w:val="center"/>
        <w:tblInd w:w="0" w:type="dxa"/>
        <w:tblLayout w:type="fixed"/>
        <w:tblCellMar>
          <w:top w:w="28" w:type="dxa"/>
          <w:left w:w="28" w:type="dxa"/>
          <w:bottom w:w="28" w:type="dxa"/>
          <w:right w:w="28" w:type="dxa"/>
        </w:tblCellMar>
      </w:tblPr>
      <w:tblGrid>
        <w:gridCol w:w="2241"/>
        <w:gridCol w:w="1972"/>
        <w:gridCol w:w="1981"/>
        <w:gridCol w:w="109"/>
        <w:gridCol w:w="109"/>
        <w:gridCol w:w="109"/>
        <w:gridCol w:w="211"/>
        <w:gridCol w:w="511"/>
        <w:gridCol w:w="109"/>
        <w:gridCol w:w="109"/>
        <w:gridCol w:w="109"/>
        <w:gridCol w:w="109"/>
        <w:gridCol w:w="211"/>
        <w:gridCol w:w="511"/>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(received from):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 of amount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additions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tbl>
      <w:tblPr>
        <w:tblW w:w="8555" w:type="dxa"/>
        <w:jc w:val="center"/>
        <w:tblInd w:w="0" w:type="dxa"/>
        <w:tblLayout w:type="fixed"/>
        <w:tblCellMar>
          <w:top w:w="28" w:type="dxa"/>
          <w:left w:w="28" w:type="dxa"/>
          <w:bottom w:w="28" w:type="dxa"/>
          <w:right w:w="28" w:type="dxa"/>
        </w:tblCellMar>
      </w:tblPr>
      <w:tblGrid>
        <w:gridCol w:w="2243"/>
        <w:gridCol w:w="1970"/>
        <w:gridCol w:w="1981"/>
        <w:gridCol w:w="109"/>
        <w:gridCol w:w="109"/>
        <w:gridCol w:w="109"/>
        <w:gridCol w:w="211"/>
        <w:gridCol w:w="511"/>
        <w:gridCol w:w="109"/>
        <w:gridCol w:w="109"/>
        <w:gridCol w:w="109"/>
        <w:gridCol w:w="109"/>
        <w:gridCol w:w="211"/>
        <w:gridCol w:w="511"/>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Metro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(received from):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 of amount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additions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Dividends Declared</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May 2025, Evergy's Board of Directors (Evergy Board) declared a quarterly dividend of $0.6675 per share on Evergy's common stock. The common dividend is payable on June 20, 2025, to shareholders of record as of May 23, 2025.</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May 2025, Evergy Kansas Central's Board of Directors and Evergy Metro's Board of Directors each declared a cash dividend to Evergy of up to $50.0 million payable on or before June 19, 2025.</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Missouri Legislation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April 2025, Missouri S.B. 4 was signed into law by the Governor of Missouri. Most notably, S.B. 4 establishes new mechanisms for Missouri electric utilities to recover the costs associated with the construction of new natural gas-fired generating units. The utilities will be able to include certain costs of construction work in progress (CWIP) in rate base. The inclusion of CWIP will be in lieu of allowance for funds used during construction (AFUDC) applicable to the construction of the new natural gas-fired generating units. The Public Service Commission of the State of Missouri (MPSC) will determine the amount of CWIP that may be included in rate base. Additionally, amounts collected arising from the inclusion of CWIP in rate base are subject to refund under certain circumstances. These provisions are scheduled to expire at the end of 2035.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Additionally, the law extends Missouri's existing plant-in service accounting (PISA) provisions to include certain natural gas-fired generating units as qualifying electric plant and extends the sunset date of these provisions through the end of 2035. These provisions allow electric utilities to defer to a regulatory asset for recovery in a subsequent general rate case 85% of depreciation expense and the associated return on investment for qualifying electric plant rate base additions for assets placed in-service between general rate cases.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Natural Gas Plant Investments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Evergy Companies use a triennial integrated resource plan (IRP), a detailed analysis that estimates factors that influence the future supply and demand for electricity, to inform the manner in which they supply electricity. The most recent IRPs incorporate the latest SPP resource adequacy requirements and anticipated load growth. Based on these and other factors, the IRP indicated the addition of new supply side resources, including combined and simple cycle natural gas plants, would be needed.</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October 2024, Evergy announced its plan to construct two combined-cycle natural gas plants located in Kansas. Evergy Kansas Central and Evergy Missouri West will jointly-own each plant and expect each plant to have an initial generating capacity of approximately 705 MW. The first plant is expected to begin operations by summer of 2029 and the second plant is expected to begin operations by summer of 2030.</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Additionally, Evergy Missouri West plans to construct a 440 MW simple-cycle natural gas plant located in Missouri. The plant is expected to begin operations in 2030.</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2024, Evergy Kansas Central and Evergy Missouri West requested predetermination from the KCC and a CCN from the MPSC, respectively, for their planned natural gas investments. In April 2025, Evergy Kansas Central and intervenors in the case reached a non-unanimous partial settlement agreement regarding its investments in its planned natural gas plants. See "Applications for Predetermination" and "Requests for Certificate of Convenience and Necessity" in Note 4 for information regarding Evergy Kansas Central's and Evergy Missouri West's applications for predetermination and Certificate of Convenience and Necessity (CCN) for their investments in these natural gas plants.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Renewable Plant Investments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 intends to construct and own an approximately 159 MW solar generation facility to be located in Kansas and called Kansas Sky. The solar generation facility is expected to begin operations by summer of 2027. The construction of Kansas Sky is subject to the granting by the Kansas Corporation Commission (KCC) of predetermination with reasonably acceptable terms and other closing conditions. In April 2025, Evergy Kansas Central and intervenors in the case reached a unanimous partial settlement agreement regarding the Kansas Sky solar investment. See "Applications for Predetermination" in Note 4 for additional information regarding Evergy Kansas Central's application for predetermination for its investment in this renewable generating plant.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2024, Evergy Missouri West entered into agreements to own two solar generation facilities currently under development. The first facility, to be called Sunflower Sky, is a solar generation facility to be located in Kansas with an expected generating capacity of approximately 65 MW. The second facility, to be called Foxtrot, is a solar generation facility to be located in Missouri with an expected generating capacity of approximately 100 MW. The solar generation facilities are expected to begin operations by summer of 2027. The agreements are subject to regulatory approvals and closing conditions, including the granting by the MPSC of a CCN with reasonably acceptable terms. See "Requests for Certificate of Convenience and Necessity" in Note 4 for information regarding Evergy Missouri West's application for a CCN for its investment in this renewable generating plant.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2. REVENUE</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Evergy's, Evergy Kansas Central's and Evergy Metro's revenues disaggregated by customer class are summarized in the following tables.</w:t>
      </w:r>
    </w:p>
    <w:tbl>
      <w:tblPr>
        <w:tblW w:w="7040" w:type="dxa"/>
        <w:jc w:val="left"/>
        <w:tblInd w:w="0" w:type="dxa"/>
        <w:tblLayout w:type="fixed"/>
        <w:tblCellMar>
          <w:top w:w="28" w:type="dxa"/>
          <w:left w:w="28" w:type="dxa"/>
          <w:bottom w:w="28" w:type="dxa"/>
          <w:right w:w="28" w:type="dxa"/>
        </w:tblCellMar>
      </w:tblPr>
      <w:tblGrid>
        <w:gridCol w:w="1341"/>
        <w:gridCol w:w="1179"/>
        <w:gridCol w:w="1184"/>
        <w:gridCol w:w="109"/>
        <w:gridCol w:w="109"/>
        <w:gridCol w:w="109"/>
        <w:gridCol w:w="211"/>
        <w:gridCol w:w="766"/>
        <w:gridCol w:w="109"/>
        <w:gridCol w:w="109"/>
        <w:gridCol w:w="109"/>
        <w:gridCol w:w="109"/>
        <w:gridCol w:w="211"/>
        <w:gridCol w:w="766"/>
        <w:gridCol w:w="109"/>
        <w:gridCol w:w="109"/>
        <w:gridCol w:w="401"/>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8"/>
            <w:tcBorders/>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923" w:type="dxa"/>
            <w:gridSpan w:val="8"/>
            <w:tcBorders/>
          </w:tcPr>
          <w:p>
            <w:pPr>
              <w:pStyle w:val="TableContents"/>
              <w:bidi w:val="0"/>
              <w:spacing w:before="0" w:after="283"/>
              <w:jc w:val="left"/>
              <w:rPr>
                <w:sz w:val="4"/>
                <w:szCs w:val="4"/>
              </w:rPr>
            </w:pPr>
            <w:r>
              <w:rPr>
                <w:sz w:val="4"/>
                <w:szCs w:val="4"/>
              </w:rPr>
            </w:r>
          </w:p>
        </w:tc>
      </w:tr>
      <w:tr>
        <w:trPr/>
        <w:tc>
          <w:tcPr>
            <w:tcW w:w="37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510"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retail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electric retail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Wholesale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Industrial steam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8" w:type="dxa"/>
            <w:gridSpan w:val="12"/>
            <w:tcBorders/>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923" w:type="dxa"/>
            <w:gridSpan w:val="8"/>
            <w:tcBorders/>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923" w:type="dxa"/>
            <w:gridSpan w:val="8"/>
            <w:tcBorders/>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tbl>
      <w:tblPr>
        <w:tblW w:w="6740" w:type="dxa"/>
        <w:jc w:val="left"/>
        <w:tblInd w:w="0" w:type="dxa"/>
        <w:tblLayout w:type="fixed"/>
        <w:tblCellMar>
          <w:top w:w="28" w:type="dxa"/>
          <w:left w:w="28" w:type="dxa"/>
          <w:bottom w:w="28" w:type="dxa"/>
          <w:right w:w="28" w:type="dxa"/>
        </w:tblCellMar>
      </w:tblPr>
      <w:tblGrid>
        <w:gridCol w:w="1340"/>
        <w:gridCol w:w="1180"/>
        <w:gridCol w:w="1184"/>
        <w:gridCol w:w="109"/>
        <w:gridCol w:w="109"/>
        <w:gridCol w:w="109"/>
        <w:gridCol w:w="211"/>
        <w:gridCol w:w="616"/>
        <w:gridCol w:w="109"/>
        <w:gridCol w:w="109"/>
        <w:gridCol w:w="109"/>
        <w:gridCol w:w="109"/>
        <w:gridCol w:w="211"/>
        <w:gridCol w:w="616"/>
        <w:gridCol w:w="109"/>
        <w:gridCol w:w="109"/>
        <w:gridCol w:w="401"/>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773" w:type="dxa"/>
            <w:gridSpan w:val="8"/>
            <w:tcBorders/>
          </w:tcPr>
          <w:p>
            <w:pPr>
              <w:pStyle w:val="TableContents"/>
              <w:bidi w:val="0"/>
              <w:spacing w:before="0" w:after="283"/>
              <w:jc w:val="left"/>
              <w:rPr>
                <w:sz w:val="4"/>
                <w:szCs w:val="4"/>
              </w:rPr>
            </w:pPr>
            <w:r>
              <w:rPr>
                <w:sz w:val="4"/>
                <w:szCs w:val="4"/>
              </w:rPr>
            </w:r>
          </w:p>
        </w:tc>
      </w:tr>
      <w:tr>
        <w:trPr/>
        <w:tc>
          <w:tcPr>
            <w:tcW w:w="37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510"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retail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electric retail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6740" w:type="dxa"/>
        <w:jc w:val="left"/>
        <w:tblInd w:w="0" w:type="dxa"/>
        <w:tblLayout w:type="fixed"/>
        <w:tblCellMar>
          <w:top w:w="28" w:type="dxa"/>
          <w:left w:w="28" w:type="dxa"/>
          <w:bottom w:w="28" w:type="dxa"/>
          <w:right w:w="28" w:type="dxa"/>
        </w:tblCellMar>
      </w:tblPr>
      <w:tblGrid>
        <w:gridCol w:w="1341"/>
        <w:gridCol w:w="1179"/>
        <w:gridCol w:w="1184"/>
        <w:gridCol w:w="109"/>
        <w:gridCol w:w="109"/>
        <w:gridCol w:w="109"/>
        <w:gridCol w:w="211"/>
        <w:gridCol w:w="616"/>
        <w:gridCol w:w="109"/>
        <w:gridCol w:w="109"/>
        <w:gridCol w:w="109"/>
        <w:gridCol w:w="109"/>
        <w:gridCol w:w="211"/>
        <w:gridCol w:w="616"/>
        <w:gridCol w:w="109"/>
        <w:gridCol w:w="109"/>
        <w:gridCol w:w="401"/>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Metro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773" w:type="dxa"/>
            <w:gridSpan w:val="8"/>
            <w:tcBorders/>
          </w:tcPr>
          <w:p>
            <w:pPr>
              <w:pStyle w:val="TableContents"/>
              <w:bidi w:val="0"/>
              <w:spacing w:before="0" w:after="283"/>
              <w:jc w:val="left"/>
              <w:rPr>
                <w:sz w:val="4"/>
                <w:szCs w:val="4"/>
              </w:rPr>
            </w:pPr>
            <w:r>
              <w:rPr>
                <w:sz w:val="4"/>
                <w:szCs w:val="4"/>
              </w:rPr>
            </w:r>
          </w:p>
        </w:tc>
      </w:tr>
      <w:tr>
        <w:trPr/>
        <w:tc>
          <w:tcPr>
            <w:tcW w:w="37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510"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retail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electric retail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Wholesale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3. RECEIVABLES</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Evergy Companies' receivables are detailed in the following table.</w:t>
      </w:r>
    </w:p>
    <w:tbl>
      <w:tblPr>
        <w:tblW w:w="6238" w:type="dxa"/>
        <w:jc w:val="left"/>
        <w:tblInd w:w="0" w:type="dxa"/>
        <w:tblLayout w:type="fixed"/>
        <w:tblCellMar>
          <w:top w:w="28" w:type="dxa"/>
          <w:left w:w="28" w:type="dxa"/>
          <w:bottom w:w="28" w:type="dxa"/>
          <w:right w:w="28" w:type="dxa"/>
        </w:tblCellMar>
      </w:tblPr>
      <w:tblGrid>
        <w:gridCol w:w="1227"/>
        <w:gridCol w:w="1076"/>
        <w:gridCol w:w="1086"/>
        <w:gridCol w:w="109"/>
        <w:gridCol w:w="109"/>
        <w:gridCol w:w="109"/>
        <w:gridCol w:w="211"/>
        <w:gridCol w:w="616"/>
        <w:gridCol w:w="109"/>
        <w:gridCol w:w="109"/>
        <w:gridCol w:w="109"/>
        <w:gridCol w:w="109"/>
        <w:gridCol w:w="270"/>
        <w:gridCol w:w="790"/>
        <w:gridCol w:w="199"/>
      </w:tblGrid>
      <w:tr>
        <w:trPr/>
        <w:tc>
          <w:tcPr>
            <w:tcW w:w="122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3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accounts receivable - billed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accounts receivable - unbilled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accounts receivable - unbilled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Metro</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accounts receivable - unbilled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Evergy Companies' other receivables as of March 31, 2025 and December 31, 2024,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tbl>
      <w:tblPr>
        <w:tblW w:w="5134" w:type="dxa"/>
        <w:jc w:val="center"/>
        <w:tblInd w:w="0" w:type="dxa"/>
        <w:tblLayout w:type="fixed"/>
        <w:tblCellMar>
          <w:top w:w="28" w:type="dxa"/>
          <w:left w:w="28" w:type="dxa"/>
          <w:bottom w:w="28" w:type="dxa"/>
          <w:right w:w="28" w:type="dxa"/>
        </w:tblCellMar>
      </w:tblPr>
      <w:tblGrid>
        <w:gridCol w:w="708"/>
        <w:gridCol w:w="624"/>
        <w:gridCol w:w="632"/>
        <w:gridCol w:w="236"/>
        <w:gridCol w:w="572"/>
        <w:gridCol w:w="122"/>
        <w:gridCol w:w="109"/>
        <w:gridCol w:w="109"/>
        <w:gridCol w:w="109"/>
        <w:gridCol w:w="308"/>
        <w:gridCol w:w="746"/>
        <w:gridCol w:w="160"/>
        <w:gridCol w:w="109"/>
        <w:gridCol w:w="109"/>
        <w:gridCol w:w="109"/>
        <w:gridCol w:w="109"/>
        <w:gridCol w:w="109"/>
        <w:gridCol w:w="154"/>
      </w:tblGrid>
      <w:tr>
        <w:trPr/>
        <w:tc>
          <w:tcPr>
            <w:tcW w:w="7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Kansas Central</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Metro</w:t>
            </w:r>
          </w:p>
        </w:tc>
        <w:tc>
          <w:tcPr>
            <w:tcW w:w="80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2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change in the Evergy Companies' allowance for credit losses is summarized in the following table.</w:t>
      </w:r>
    </w:p>
    <w:tbl>
      <w:tblPr>
        <w:tblW w:w="4523" w:type="dxa"/>
        <w:jc w:val="left"/>
        <w:tblInd w:w="0" w:type="dxa"/>
        <w:tblLayout w:type="fixed"/>
        <w:tblCellMar>
          <w:top w:w="28" w:type="dxa"/>
          <w:left w:w="28" w:type="dxa"/>
          <w:bottom w:w="28" w:type="dxa"/>
          <w:right w:w="28" w:type="dxa"/>
        </w:tblCellMar>
      </w:tblPr>
      <w:tblGrid>
        <w:gridCol w:w="899"/>
        <w:gridCol w:w="791"/>
        <w:gridCol w:w="799"/>
        <w:gridCol w:w="211"/>
        <w:gridCol w:w="511"/>
        <w:gridCol w:w="109"/>
        <w:gridCol w:w="109"/>
        <w:gridCol w:w="109"/>
        <w:gridCol w:w="109"/>
        <w:gridCol w:w="211"/>
        <w:gridCol w:w="51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w:t>
            </w:r>
          </w:p>
        </w:tc>
        <w:tc>
          <w:tcPr>
            <w:tcW w:w="203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of prior write-offs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March 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of prior write-offs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March 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Metro</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of prior 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March 31</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Sale of Accounts Receivable</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tbl>
      <w:tblPr>
        <w:tblW w:w="5140" w:type="dxa"/>
        <w:jc w:val="center"/>
        <w:tblInd w:w="0" w:type="dxa"/>
        <w:tblLayout w:type="fixed"/>
        <w:tblCellMar>
          <w:top w:w="28" w:type="dxa"/>
          <w:left w:w="28" w:type="dxa"/>
          <w:bottom w:w="28" w:type="dxa"/>
          <w:right w:w="28" w:type="dxa"/>
        </w:tblCellMar>
      </w:tblPr>
      <w:tblGrid>
        <w:gridCol w:w="708"/>
        <w:gridCol w:w="624"/>
        <w:gridCol w:w="632"/>
        <w:gridCol w:w="211"/>
        <w:gridCol w:w="616"/>
        <w:gridCol w:w="109"/>
        <w:gridCol w:w="109"/>
        <w:gridCol w:w="109"/>
        <w:gridCol w:w="109"/>
        <w:gridCol w:w="273"/>
        <w:gridCol w:w="799"/>
        <w:gridCol w:w="142"/>
        <w:gridCol w:w="109"/>
        <w:gridCol w:w="109"/>
        <w:gridCol w:w="109"/>
        <w:gridCol w:w="109"/>
        <w:gridCol w:w="109"/>
        <w:gridCol w:w="154"/>
      </w:tblGrid>
      <w:tr>
        <w:trPr/>
        <w:tc>
          <w:tcPr>
            <w:tcW w:w="7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Kansas Central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Metro</w:t>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4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April 2025, Evergy Kansas Central, Evergy Metro and Evergy Missouri West extended the expiration of each receivable sale facility from November 2025 to April 2028. Evergy Kansas Central's facility allows up to $185.0 million in aggregate outstanding principal amount to be borrowed at any time. To the extent Evergy Kansas Central has qualifying accounts receivable and subject to the lender's discretion, Evergy Kansas Central's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allows for an additional $65.0 million in aggregate outstanding principal amount to be borrowed at any time. Evergy Metro's facility allows up to $130.0 million in aggregate outstanding principal amount to be borrowed at any time. To the extent Evergy Metro has qualifying accounts receivable and subject to the lender's discretion, Evergy Metro's facility allows for an additional $70.0 million in aggregate outstanding principal amount to be borrowed at any time. Evergy Missouri West's facility allows up to $50.0 million in aggregate outstanding principal amount to be borrowed at any time. To the extent Evergy Missouri West has qualifying accounts receivable and subject to the lender's discretion, Evergy Missouri West's facility allows for an additional $65.0 million in aggregate outstanding principal amount to be borrowed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4. RATE MATTERS AND REGULATION</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KCC Proceedings</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Evergy Kansas Central's 2025 Rate Case Proceeding</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January 2025, Evergy Kansas Central filed an application with the KCC to request an increase to its retail revenues of approximately $196 million. Evergy Kansas Central's request reflected a return on equity of 10.5% (with a capital structure composed of 52% equity) and increases related to the recovery of infrastructure investments made to improve reliability and enhance customer service and the update of expenses to current levels of spend. An evidentiary hearing in the case is scheduled to occur in July 2025 and new rates are expected to be effective in September 2025.</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Applications for Predetermination</w:t>
      </w:r>
    </w:p>
    <w:p>
      <w:pPr>
        <w:pStyle w:val="TextBody"/>
        <w:bidi w:val="0"/>
        <w:spacing w:lineRule="auto" w:line="288" w:before="0" w:after="240"/>
        <w:jc w:val="left"/>
        <w:rPr/>
      </w:pPr>
      <w:r>
        <w:rPr>
          <w:rFonts w:ascii="Times New Roman;sans-serif" w:hAnsi="Times New Roman;sans-serif"/>
          <w:b w:val="false"/>
          <w:color w:val="000000"/>
          <w:sz w:val="22"/>
        </w:rPr>
        <w:t>The KCC uses a process referred to as ‘predetermination’ to establish ratemaking principles and treatments for certain utility investments before they are included in a utility’s rate base. The process helps balance the interest of utilities and customers by ensuring broad agreement to the reasonableness of the investment and regulatory certainty regarding the recovery of costs associated with the investment.</w:t>
      </w:r>
      <w:r>
        <w:rPr>
          <w:color w:val="000000"/>
        </w:rPr>
        <w:t xml:space="preserve"> </w:t>
      </w:r>
      <w:r>
        <w:rPr>
          <w:rFonts w:ascii="Times New Roman;sans-serif" w:hAnsi="Times New Roman;sans-serif"/>
          <w:b w:val="false"/>
          <w:color w:val="000000"/>
          <w:sz w:val="22"/>
        </w:rPr>
        <w:t>Investment in utility projects may be dependent on acceptable regulatory treatment determined in the predetermination process.</w:t>
      </w:r>
    </w:p>
    <w:p>
      <w:pPr>
        <w:pStyle w:val="TextBody"/>
        <w:bidi w:val="0"/>
        <w:spacing w:lineRule="auto" w:line="288" w:before="0" w:after="240"/>
        <w:jc w:val="left"/>
        <w:rPr/>
      </w:pPr>
      <w:r>
        <w:rPr>
          <w:rFonts w:ascii="Times New Roman;sans-serif" w:hAnsi="Times New Roman;sans-serif"/>
          <w:b w:val="false"/>
          <w:color w:val="000000"/>
          <w:sz w:val="22"/>
        </w:rPr>
        <w:t>In November 2024, Evergy Kansas Central requested predetermination from the KCC for its planned natural gas plant investments and Kansas Sky solar investment. In April 2025, Evergy Kansas Central and intervenors in the case reached a non-unanimous partial settlement agreement regarding its planned natural gas plant investments and a unanimous partial settlement agreement regarding the Kansas Sky solar investment.</w:t>
      </w:r>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partial settlement agreement for the natural gas plant investments, if approved by the KCC, establishes that Evergy Kansas Central's investment in its planned natural plants is prudent. Subject to the approval of the KCC and within limitations, the agreement will permit Evergy Kansas Central to implement a CWIP rider one year after construction of each plant begins and Evergy Kansas Central will recover through the CWIP rider the return on up to 100% of amounts recorded to CWIP for each plant. Evergy Kansas Central will be permitted to update rates charged through the CWIP rider every six months. Evergy Kansas Central will be permitted to collect these amounts through the CWIP rider until new base rates reflecting Evergy Kansas Central's investment in the natural gas plants take effect. Evergy Kansas Central will not be able to accrue AFUDC on these amounts once the CWIP rider becomes effective and is included in customer rates. When new base rates reflecting Evergy Kansas Central's investment in each plant take effect, those base rates would include a deferral for depreciation expense incurred and carrying costs on any unrecovered portion of Evergy Kansas Central's investment in natural gas plants incurred between the time the natural gas plants are placed in service and the time the investment in the natural gas plants is included in base rates. Investments above certain amounts established in the settlement agreement would be subject to a prudence review.</w:t>
      </w:r>
    </w:p>
    <w:p>
      <w:pPr>
        <w:pStyle w:val="TextBody"/>
        <w:bidi w:val="0"/>
        <w:spacing w:lineRule="auto" w:line="288" w:before="0" w:after="240"/>
        <w:jc w:val="left"/>
        <w:rPr/>
      </w:pPr>
      <w:r>
        <w:rPr>
          <w:rFonts w:ascii="Times New Roman;sans-serif" w:hAnsi="Times New Roman;sans-serif"/>
          <w:b w:val="false"/>
          <w:color w:val="000000"/>
          <w:sz w:val="22"/>
        </w:rPr>
        <w:t>The partial settlement agreement for the Kansas Sky solar investment, if approved by the KCC, allows Evergy Kansas Central’s investment in Kansas Sky to be included in rates at Evergy Kansas Central’s next general rate case at a fixed amount for the first thirty years of the life of the generation site.</w:t>
      </w:r>
      <w:r>
        <w:rPr>
          <w:color w:val="000000"/>
        </w:rPr>
        <w:t xml:space="preserve"> </w:t>
      </w:r>
      <w:r>
        <w:rPr>
          <w:rFonts w:ascii="Times New Roman;sans-serif" w:hAnsi="Times New Roman;sans-serif"/>
          <w:b w:val="false"/>
          <w:color w:val="000000"/>
          <w:sz w:val="22"/>
        </w:rPr>
        <w:t>In addition, Evergy Kansas Central would be permitted to defer to a regulatory asset and recover over the remaining life of the Kansas Sky solar investment depreciation expense, the associated return on investment and other costs incurred between the time the investment is placed in service and the effective date of rates that include the fixed revenue requirement.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 is expecting an order from the KCC on its planned natural gas plant investments and its Kansas Sky solar investment in July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Evergy Kansas Central 2025 Transmission Delivery Charge (TDC)</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April 2025, the KCC issued an order adjusting Evergy Kansas Central's retail prices to include updated transmission costs as reflected in the Federal Energy Regulatory Commission (FERC) transmission formula rate (TFR). The new prices are effective in May 2025 and are expected to increase Evergy Kansas Central's annual retail revenues by $55.9 million when compared to 2024.</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Evergy Metro 2025 TDC</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April 2025, the KCC issued an order adjusting Evergy Metro's retail prices to include updated transmission costs as reflected in the FERC TFR. The new prices are effective in May 2025 and are expected to increase Evergy Metro's annual retail revenues by $4.8 million when compared to 2024. </w:t>
      </w:r>
    </w:p>
    <w:p>
      <w:pPr>
        <w:pStyle w:val="TextBody"/>
        <w:bidi w:val="0"/>
        <w:spacing w:lineRule="auto" w:line="288" w:before="0" w:after="0"/>
        <w:jc w:val="left"/>
        <w:rPr/>
      </w:pPr>
      <w:r>
        <w:rPr>
          <w:rFonts w:ascii="Times New Roman;sans-serif" w:hAnsi="Times New Roman;sans-serif"/>
          <w:b/>
          <w:color w:val="000000"/>
          <w:sz w:val="22"/>
        </w:rPr>
        <w:t>MPSC Proceedings</w:t>
        <w:br/>
      </w:r>
      <w:r>
        <w:rPr>
          <w:rFonts w:ascii="Times New Roman;sans-serif" w:hAnsi="Times New Roman;sans-serif"/>
          <w:b/>
          <w:i/>
          <w:color w:val="000000"/>
          <w:sz w:val="22"/>
        </w:rPr>
        <w:t>Evergy Missouri West's 2024 Rate Case Proceeding</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January 2025, Evergy Missouri West implemented new rates approved by the MPSC in December 2024 providing for an increase to Evergy Missouri West's retail revenues of approximately $55 million after lowering base rates for fuel and purchased power expense of approximately $49 million and rebasing property tax expense.</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Requests for Certificate of Convenience and Necessity</w:t>
      </w:r>
    </w:p>
    <w:p>
      <w:pPr>
        <w:pStyle w:val="TextBody"/>
        <w:bidi w:val="0"/>
        <w:spacing w:lineRule="auto" w:line="288" w:before="0" w:after="240"/>
        <w:jc w:val="left"/>
        <w:rPr/>
      </w:pPr>
      <w:r>
        <w:rPr>
          <w:rFonts w:ascii="Times New Roman;sans-serif" w:hAnsi="Times New Roman;sans-serif"/>
          <w:b w:val="false"/>
          <w:color w:val="000000"/>
          <w:sz w:val="22"/>
        </w:rPr>
        <w:t>Missouri utilities must request a CCN from the MPSC to authorize them to build certain utility projects. The CCN process authorizes utilities to build projects and can provide assurance that the project is prudent and necessary. Investment in projects is dependent upon the granting by the MPSC of a CCN with reasonably acceptable terms.</w:t>
      </w:r>
      <w:r>
        <w:rPr>
          <w:color w:val="000000"/>
        </w:rPr>
        <w:t xml:space="preserve"> </w:t>
      </w:r>
      <w:r>
        <w:rPr>
          <w:rFonts w:ascii="Times New Roman;sans-serif" w:hAnsi="Times New Roman;sans-serif"/>
          <w:b w:val="false"/>
          <w:color w:val="000000"/>
          <w:sz w:val="22"/>
        </w:rPr>
        <w:t>In 2024, Evergy Missouri West filed applications for CCNs for its planned renewable and natural gas plant investments. Final orders from the MPSC are expected in August 2025.</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FERC Proceedings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Evergy Kansas Central TFR Annual Update</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Most recently, the updated TFR was expected to adjust Evergy Kansas Central's annual transmission revenues by approximately: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$19.1 million increase effective in January 2025;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$115.8 million increase effective in January 2024. </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Evergy Kansas Central TFR Formal Complaint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February 2023, certain Evergy Kansas Central TFR customers submitted a formal complaint with FERC requesting the refund of over-collections related to the capital structure calculation in determining Evergy Kansas Central's Annual Transmission Revenue Requirement for the 2018 and 2019 rate years. As of March 31, 2025 and December 31, 2024, Evergy and Evergy Kansas Central had recorded a $7.1 million regulatory liability related to the 2018 and 2019 rate year refund request. Evergy and Evergy Kansas Central are awaiting a response from FERC.</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Evergy Metro TFR Annual Update</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Most recently, the updated TFR was expected to adjust Evergy Metro's annual transmission revenues by approximately: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$1.0 million increase effective in January 2025;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$23.7 million increase effective in January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5. PENSION PLANS AND POST-RETIREMENT BENEFITS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 Generating Station (Wolf Creek) defined benefit plans, consisting of Evergy Kansas South's and Evergy Metro's respective 47% ownership shares.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pStyle w:val="TextBody"/>
        <w:bidi w:val="0"/>
        <w:spacing w:lineRule="auto" w:line="288" w:before="24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 </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tables provide the components of net periodic benefit costs prior to the effects of capitalization and sharing with joint owners of power plants. </w:t>
      </w:r>
    </w:p>
    <w:tbl>
      <w:tblPr>
        <w:tblW w:w="10205" w:type="dxa"/>
        <w:jc w:val="left"/>
        <w:tblInd w:w="0" w:type="dxa"/>
        <w:tblLayout w:type="fixed"/>
        <w:tblCellMar>
          <w:top w:w="28" w:type="dxa"/>
          <w:left w:w="28" w:type="dxa"/>
          <w:bottom w:w="28" w:type="dxa"/>
          <w:right w:w="28" w:type="dxa"/>
        </w:tblCellMar>
      </w:tblPr>
      <w:tblGrid>
        <w:gridCol w:w="1270"/>
        <w:gridCol w:w="804"/>
        <w:gridCol w:w="807"/>
        <w:gridCol w:w="211"/>
        <w:gridCol w:w="511"/>
        <w:gridCol w:w="109"/>
        <w:gridCol w:w="109"/>
        <w:gridCol w:w="109"/>
        <w:gridCol w:w="109"/>
        <w:gridCol w:w="327"/>
        <w:gridCol w:w="629"/>
        <w:gridCol w:w="171"/>
        <w:gridCol w:w="109"/>
        <w:gridCol w:w="109"/>
        <w:gridCol w:w="109"/>
        <w:gridCol w:w="259"/>
        <w:gridCol w:w="500"/>
        <w:gridCol w:w="136"/>
        <w:gridCol w:w="109"/>
        <w:gridCol w:w="109"/>
        <w:gridCol w:w="109"/>
        <w:gridCol w:w="211"/>
        <w:gridCol w:w="437"/>
        <w:gridCol w:w="109"/>
        <w:gridCol w:w="109"/>
        <w:gridCol w:w="109"/>
        <w:gridCol w:w="109"/>
        <w:gridCol w:w="306"/>
        <w:gridCol w:w="663"/>
        <w:gridCol w:w="158"/>
        <w:gridCol w:w="109"/>
        <w:gridCol w:w="109"/>
        <w:gridCol w:w="109"/>
        <w:gridCol w:w="246"/>
        <w:gridCol w:w="519"/>
        <w:gridCol w:w="187"/>
      </w:tblGrid>
      <w:tr>
        <w:trPr/>
        <w:tc>
          <w:tcPr>
            <w:tcW w:w="127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8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Post-Retirement Benefits</w:t>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Metro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Metro</w:t>
            </w:r>
          </w:p>
        </w:tc>
      </w:tr>
      <w:tr>
        <w:trPr/>
        <w:tc>
          <w:tcPr>
            <w:tcW w:w="2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net periodic benefit costs</w:t>
            </w:r>
          </w:p>
        </w:tc>
        <w:tc>
          <w:tcPr>
            <w:tcW w:w="732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actuarial gain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costs before regulatory adjustment and intercompany allocations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adjustment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allocations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costs (income)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8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70"/>
        <w:gridCol w:w="804"/>
        <w:gridCol w:w="807"/>
        <w:gridCol w:w="211"/>
        <w:gridCol w:w="511"/>
        <w:gridCol w:w="109"/>
        <w:gridCol w:w="109"/>
        <w:gridCol w:w="109"/>
        <w:gridCol w:w="109"/>
        <w:gridCol w:w="327"/>
        <w:gridCol w:w="629"/>
        <w:gridCol w:w="171"/>
        <w:gridCol w:w="109"/>
        <w:gridCol w:w="109"/>
        <w:gridCol w:w="109"/>
        <w:gridCol w:w="259"/>
        <w:gridCol w:w="500"/>
        <w:gridCol w:w="136"/>
        <w:gridCol w:w="109"/>
        <w:gridCol w:w="109"/>
        <w:gridCol w:w="109"/>
        <w:gridCol w:w="211"/>
        <w:gridCol w:w="437"/>
        <w:gridCol w:w="109"/>
        <w:gridCol w:w="109"/>
        <w:gridCol w:w="109"/>
        <w:gridCol w:w="109"/>
        <w:gridCol w:w="306"/>
        <w:gridCol w:w="663"/>
        <w:gridCol w:w="158"/>
        <w:gridCol w:w="109"/>
        <w:gridCol w:w="109"/>
        <w:gridCol w:w="109"/>
        <w:gridCol w:w="246"/>
        <w:gridCol w:w="519"/>
        <w:gridCol w:w="187"/>
      </w:tblGrid>
      <w:tr>
        <w:trPr/>
        <w:tc>
          <w:tcPr>
            <w:tcW w:w="127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8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Post-Retirement Benefits</w:t>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Metro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Metro</w:t>
            </w:r>
          </w:p>
        </w:tc>
      </w:tr>
      <w:tr>
        <w:trPr/>
        <w:tc>
          <w:tcPr>
            <w:tcW w:w="2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net periodic benefit costs</w:t>
            </w:r>
          </w:p>
        </w:tc>
        <w:tc>
          <w:tcPr>
            <w:tcW w:w="732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actuarial (gain) loss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costs before regulatory adjustment and intercompany allocations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adjustment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allocations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costs (income)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8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components of net periodic benefit costs other than the service cost component are included in other expense on the Evergy Companies' consolidated statements of income and comprehensive income.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three months ended March 31, 2025, Evergy, Evergy Kansas Central and Evergy Metro made cash pension contributions of $20.1 million, $9.9 million and $10.2 million, respectively. Evergy expects to make additional cash pension contributions of $46.0 million in 2025 to satisfy the Employee Retirement Income Security Act of 1974, as amended, funding requirements and KCC and MPSC rate orders, of which $24.8 million is expected to be paid by Evergy Kansas Central and $21.2 million is expected to be paid by Evergy Metro.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2025, Evergy, Evergy Kansas Central and Evergy Metro made post-retirement benefit contributions of $0.2 million, $0.1 million and $0.1 million, respectively. Evergy, Evergy Kansas Central and Evergy Metro expect to make additional contributions in 2025 of $0.4 million, $0.2 million and $0.2 million, respectively, to the post-retirement benefit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6. SHORT-TERM BORROWINGS AND SHORT-TERM BANK LINES OF CREDIT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Evergy Companies' $2.5 billion master credit facility expires in 2028.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also subject to changes in ratings by the credit rating agencies.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As of March 31, 2025, Evergy, Evergy Kansas Central, Evergy Metro and Evergy Missouri West were in compliance with this covenant.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committed credit facilities (excluding receivable sale facilities discussed in Note 3) available to the Evergy Companies as of March 31, 2025 and December 31, 2024.</w:t>
      </w:r>
    </w:p>
    <w:tbl>
      <w:tblPr>
        <w:tblW w:w="10205" w:type="dxa"/>
        <w:jc w:val="center"/>
        <w:tblInd w:w="0" w:type="dxa"/>
        <w:tblLayout w:type="fixed"/>
        <w:tblCellMar>
          <w:top w:w="28" w:type="dxa"/>
          <w:left w:w="28" w:type="dxa"/>
          <w:bottom w:w="28" w:type="dxa"/>
          <w:right w:w="28" w:type="dxa"/>
        </w:tblCellMar>
      </w:tblPr>
      <w:tblGrid>
        <w:gridCol w:w="580"/>
        <w:gridCol w:w="325"/>
        <w:gridCol w:w="326"/>
        <w:gridCol w:w="256"/>
        <w:gridCol w:w="932"/>
        <w:gridCol w:w="132"/>
        <w:gridCol w:w="254"/>
        <w:gridCol w:w="926"/>
        <w:gridCol w:w="133"/>
        <w:gridCol w:w="255"/>
        <w:gridCol w:w="618"/>
        <w:gridCol w:w="131"/>
        <w:gridCol w:w="356"/>
        <w:gridCol w:w="688"/>
        <w:gridCol w:w="186"/>
        <w:gridCol w:w="299"/>
        <w:gridCol w:w="1091"/>
        <w:gridCol w:w="157"/>
        <w:gridCol w:w="109"/>
        <w:gridCol w:w="109"/>
        <w:gridCol w:w="109"/>
        <w:gridCol w:w="649"/>
        <w:gridCol w:w="649"/>
        <w:gridCol w:w="935"/>
      </w:tblGrid>
      <w:tr>
        <w:trPr/>
        <w:tc>
          <w:tcPr>
            <w:tcW w:w="5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Amounts Drawn</w:t>
            </w:r>
          </w:p>
        </w:tc>
        <w:tc>
          <w:tcPr>
            <w:tcW w:w="154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Master Credit Facility</w:t>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Commercial Paper</w:t>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Letters of Credit</w:t>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Cash Borrowings</w:t>
            </w:r>
          </w:p>
        </w:tc>
        <w:tc>
          <w:tcPr>
            <w:tcW w:w="15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Available Borrowings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Interest Rate on Short-Term Borrowings </w:t>
            </w:r>
          </w:p>
        </w:tc>
      </w:tr>
      <w:tr>
        <w:trPr/>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641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Inc.</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4.63%</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Kansas Central</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4.63%</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Metro</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Missouri West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4.58%</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Inc.</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4.70%</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Kansas Central</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4.74%</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Metro</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4.64%</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Missouri West</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4.71%</w:t>
            </w:r>
          </w:p>
        </w:tc>
      </w:tr>
      <w:tr>
        <w:trPr/>
        <w:tc>
          <w:tcPr>
            <w:tcW w:w="1231"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w:t>
            </w:r>
          </w:p>
        </w:tc>
        <w:tc>
          <w:tcPr>
            <w:tcW w:w="2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1,207.6 </w:t>
            </w:r>
          </w:p>
        </w:tc>
        <w:tc>
          <w:tcPr>
            <w:tcW w:w="1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1,289.7 </w:t>
            </w:r>
          </w:p>
        </w:tc>
        <w:tc>
          <w:tcPr>
            <w:tcW w:w="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7. LONG-TERM DEBT</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Mortgage Bonds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March 2025, Evergy Kansas Central issued, at a discount, $300.0 million of 5.25% First Mortgage Bonds, maturing in 2035. Proceeds were used to pay down commercial paper and for general corporate purposes.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March 2025, Evergy Kansas Central issued, at a discount, $300.0 million of 4.70% Notes, maturing in 2028. Proceeds were used to pay down commercial paper and for general corporate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8. DERIVATIVE INSTRUMENTS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Evergy Companies engage in the wholesale and retail sale of electricity as part of their regulated electric operations, in addition to limited non-regulated energy marketing activities.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settles under accrual accounting. The Evergy Companies account for derivative instruments that are not designated as NPNS primarily as either economic hedges or trading contracts (non-hedging derivatives) which are recorded as assets or liabilities on the consolidated balance sheets at fair value. See Note 9 for additional information on the Evergy Companies' methods for assessing the fair value of derivative instruments. Changes in the fair value of non-hedging derivatives that are related to the Evergy Companies' regulated operations are deferred to a regulatory asset or regulatory liability when determined to be probable of future recovery or refund from/to customers. Recovery of the actual costs incurred by regulated activities will not impact earnings but will impact cash flows due to the timing of the recovery mechanism. Cash flows for all derivative instruments are classified as operating activities on the Evergy Companies' statements of cash flows, with the exception of cash flows for interest rate swap agreements accounted for as cash flows hedges of forecasted debt transactions, which are recorded as financing activities. Changes in the fair value of non-hedging derivatives that are not related to the Evergy Companies' regulated operations are recorded in operating revenues on the Evergy Companies' statements of income and comprehensive income.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Evergy Companies offset fair value amounts recognized for derivative instruments under master netting arrangements, which include rights to reclaim cash collateral (a receivable), or the obligation to return cash collateral (a payable).</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gross notional contract amount by commodity type for derivative instruments is summarized in the following table.</w:t>
      </w:r>
    </w:p>
    <w:tbl>
      <w:tblPr>
        <w:tblW w:w="7569" w:type="dxa"/>
        <w:jc w:val="left"/>
        <w:tblInd w:w="0" w:type="dxa"/>
        <w:tblLayout w:type="fixed"/>
        <w:tblCellMar>
          <w:top w:w="28" w:type="dxa"/>
          <w:left w:w="28" w:type="dxa"/>
          <w:bottom w:w="28" w:type="dxa"/>
          <w:right w:w="28" w:type="dxa"/>
        </w:tblCellMar>
      </w:tblPr>
      <w:tblGrid>
        <w:gridCol w:w="793"/>
        <w:gridCol w:w="696"/>
        <w:gridCol w:w="700"/>
        <w:gridCol w:w="954"/>
        <w:gridCol w:w="954"/>
        <w:gridCol w:w="957"/>
        <w:gridCol w:w="309"/>
        <w:gridCol w:w="309"/>
        <w:gridCol w:w="311"/>
        <w:gridCol w:w="109"/>
        <w:gridCol w:w="109"/>
        <w:gridCol w:w="109"/>
        <w:gridCol w:w="368"/>
        <w:gridCol w:w="368"/>
        <w:gridCol w:w="523"/>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Non-hedging derivatives</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volume unit of measure</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w:t>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MWhs</w:t>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MWhs</w:t>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Metro</w:t>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286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MWhs</w:t>
            </w:r>
          </w:p>
        </w:tc>
        <w:tc>
          <w:tcPr>
            <w:tcW w:w="61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1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52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fair values of Evergy's open derivative positions and balance sheet classifications are summarized in the following tables. The fair values below are gross values before netting agreements and netting of cash collateral. </w:t>
      </w:r>
    </w:p>
    <w:tbl>
      <w:tblPr>
        <w:tblW w:w="7091" w:type="dxa"/>
        <w:jc w:val="left"/>
        <w:tblInd w:w="0" w:type="dxa"/>
        <w:tblLayout w:type="fixed"/>
        <w:tblCellMar>
          <w:top w:w="28" w:type="dxa"/>
          <w:left w:w="28" w:type="dxa"/>
          <w:bottom w:w="28" w:type="dxa"/>
          <w:right w:w="28" w:type="dxa"/>
        </w:tblCellMar>
      </w:tblPr>
      <w:tblGrid>
        <w:gridCol w:w="813"/>
        <w:gridCol w:w="715"/>
        <w:gridCol w:w="721"/>
        <w:gridCol w:w="774"/>
        <w:gridCol w:w="774"/>
        <w:gridCol w:w="777"/>
        <w:gridCol w:w="236"/>
        <w:gridCol w:w="572"/>
        <w:gridCol w:w="122"/>
        <w:gridCol w:w="109"/>
        <w:gridCol w:w="109"/>
        <w:gridCol w:w="109"/>
        <w:gridCol w:w="303"/>
        <w:gridCol w:w="734"/>
        <w:gridCol w:w="223"/>
      </w:tblGrid>
      <w:tr>
        <w:trPr/>
        <w:tc>
          <w:tcPr>
            <w:tcW w:w="8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w:t>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Non-hedging derivatives</w:t>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2517" w:type="dxa"/>
            <w:gridSpan w:val="9"/>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current</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long-term</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current</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long-term</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assets</w:t>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current</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long-term</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current</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long-term</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liabilities</w:t>
            </w:r>
          </w:p>
        </w:tc>
        <w:tc>
          <w:tcPr>
            <w:tcW w:w="2325"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2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92" w:type="dxa"/>
        <w:jc w:val="left"/>
        <w:tblInd w:w="0" w:type="dxa"/>
        <w:tblLayout w:type="fixed"/>
        <w:tblCellMar>
          <w:top w:w="28" w:type="dxa"/>
          <w:left w:w="28" w:type="dxa"/>
          <w:bottom w:w="28" w:type="dxa"/>
          <w:right w:w="28" w:type="dxa"/>
        </w:tblCellMar>
      </w:tblPr>
      <w:tblGrid>
        <w:gridCol w:w="814"/>
        <w:gridCol w:w="717"/>
        <w:gridCol w:w="719"/>
        <w:gridCol w:w="774"/>
        <w:gridCol w:w="774"/>
        <w:gridCol w:w="777"/>
        <w:gridCol w:w="236"/>
        <w:gridCol w:w="572"/>
        <w:gridCol w:w="122"/>
        <w:gridCol w:w="109"/>
        <w:gridCol w:w="109"/>
        <w:gridCol w:w="109"/>
        <w:gridCol w:w="303"/>
        <w:gridCol w:w="734"/>
        <w:gridCol w:w="223"/>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Non-hedging derivatives</w:t>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2517" w:type="dxa"/>
            <w:gridSpan w:val="9"/>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current</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long-term</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current</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long-term</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assets</w:t>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current</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long-term</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current</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long-term</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liabilities</w:t>
            </w:r>
          </w:p>
        </w:tc>
        <w:tc>
          <w:tcPr>
            <w:tcW w:w="2325"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2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67" w:type="dxa"/>
        <w:jc w:val="left"/>
        <w:tblInd w:w="0" w:type="dxa"/>
        <w:tblLayout w:type="fixed"/>
        <w:tblCellMar>
          <w:top w:w="28" w:type="dxa"/>
          <w:left w:w="28" w:type="dxa"/>
          <w:bottom w:w="28" w:type="dxa"/>
          <w:right w:w="28" w:type="dxa"/>
        </w:tblCellMar>
      </w:tblPr>
      <w:tblGrid>
        <w:gridCol w:w="815"/>
        <w:gridCol w:w="716"/>
        <w:gridCol w:w="719"/>
        <w:gridCol w:w="699"/>
        <w:gridCol w:w="699"/>
        <w:gridCol w:w="702"/>
        <w:gridCol w:w="236"/>
        <w:gridCol w:w="572"/>
        <w:gridCol w:w="122"/>
        <w:gridCol w:w="109"/>
        <w:gridCol w:w="109"/>
        <w:gridCol w:w="109"/>
        <w:gridCol w:w="303"/>
        <w:gridCol w:w="734"/>
        <w:gridCol w:w="223"/>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Metro</w:t>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Non-hedging derivatives</w:t>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2517" w:type="dxa"/>
            <w:gridSpan w:val="9"/>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current</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assets</w:t>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current</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liabilities</w:t>
            </w:r>
          </w:p>
        </w:tc>
        <w:tc>
          <w:tcPr>
            <w:tcW w:w="2100"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120"/>
        <w:jc w:val="left"/>
        <w:rPr/>
      </w:pPr>
      <w:r>
        <w:rPr>
          <w:rFonts w:ascii="Times New Roman;sans-serif" w:hAnsi="Times New Roman;sans-serif"/>
          <w:b w:val="false"/>
          <w:color w:val="000000"/>
          <w:sz w:val="22"/>
        </w:rPr>
        <w:t>The following tables present</w:t>
      </w:r>
      <w:r>
        <w:rPr>
          <w:color w:val="000000"/>
        </w:rPr>
        <w:t xml:space="preserve"> </w:t>
      </w:r>
      <w:r>
        <w:rPr>
          <w:rFonts w:ascii="Times New Roman;sans-serif" w:hAnsi="Times New Roman;sans-serif"/>
          <w:b w:val="false"/>
          <w:color w:val="000000"/>
          <w:sz w:val="22"/>
        </w:rPr>
        <w:t>the line items on the Evergy Companies' consolidated balance sheets where derivative assets and liabilities are reported. The gross amounts offset in the tables below show the effect of master netting arrangements and include collateral posted to offset the net position.</w:t>
      </w:r>
    </w:p>
    <w:tbl>
      <w:tblPr>
        <w:tblW w:w="9374" w:type="dxa"/>
        <w:jc w:val="left"/>
        <w:tblInd w:w="0" w:type="dxa"/>
        <w:tblLayout w:type="fixed"/>
        <w:tblCellMar>
          <w:top w:w="28" w:type="dxa"/>
          <w:left w:w="28" w:type="dxa"/>
          <w:bottom w:w="28" w:type="dxa"/>
          <w:right w:w="28" w:type="dxa"/>
        </w:tblCellMar>
      </w:tblPr>
      <w:tblGrid>
        <w:gridCol w:w="1596"/>
        <w:gridCol w:w="1403"/>
        <w:gridCol w:w="1411"/>
        <w:gridCol w:w="211"/>
        <w:gridCol w:w="511"/>
        <w:gridCol w:w="109"/>
        <w:gridCol w:w="109"/>
        <w:gridCol w:w="109"/>
        <w:gridCol w:w="109"/>
        <w:gridCol w:w="529"/>
        <w:gridCol w:w="1282"/>
        <w:gridCol w:w="273"/>
        <w:gridCol w:w="109"/>
        <w:gridCol w:w="109"/>
        <w:gridCol w:w="109"/>
        <w:gridCol w:w="336"/>
        <w:gridCol w:w="814"/>
        <w:gridCol w:w="245"/>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Evergy Metro </w:t>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49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offset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amounts presented in other assets -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offset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amounts presented in other assets - long-term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offset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amounts presented in other liabilities - current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offset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amounts presented in other liabilities - long-term</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74" w:type="dxa"/>
        <w:jc w:val="left"/>
        <w:tblInd w:w="0" w:type="dxa"/>
        <w:tblLayout w:type="fixed"/>
        <w:tblCellMar>
          <w:top w:w="28" w:type="dxa"/>
          <w:left w:w="28" w:type="dxa"/>
          <w:bottom w:w="28" w:type="dxa"/>
          <w:right w:w="28" w:type="dxa"/>
        </w:tblCellMar>
      </w:tblPr>
      <w:tblGrid>
        <w:gridCol w:w="1595"/>
        <w:gridCol w:w="1406"/>
        <w:gridCol w:w="1409"/>
        <w:gridCol w:w="211"/>
        <w:gridCol w:w="511"/>
        <w:gridCol w:w="109"/>
        <w:gridCol w:w="109"/>
        <w:gridCol w:w="109"/>
        <w:gridCol w:w="109"/>
        <w:gridCol w:w="529"/>
        <w:gridCol w:w="1282"/>
        <w:gridCol w:w="273"/>
        <w:gridCol w:w="109"/>
        <w:gridCol w:w="109"/>
        <w:gridCol w:w="109"/>
        <w:gridCol w:w="336"/>
        <w:gridCol w:w="814"/>
        <w:gridCol w:w="245"/>
      </w:tblGrid>
      <w:tr>
        <w:trPr/>
        <w:tc>
          <w:tcPr>
            <w:tcW w:w="1595"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Evergy Metro </w:t>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4133" w:type="dxa"/>
            <w:gridSpan w:val="12"/>
            <w:tcBorders/>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49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offset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amounts presented in other assets -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offset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amounts presented in other assets - long-term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offset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amounts presented in other liabilities - current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amounts offset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amounts presented in other liabilities - long-term</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2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the amounts of gain (loss) recognized in income for the change in fair value of derivatives not designated as hedging instruments for the Evergy Companies. </w:t>
      </w:r>
    </w:p>
    <w:tbl>
      <w:tblPr>
        <w:tblW w:w="6353" w:type="dxa"/>
        <w:jc w:val="left"/>
        <w:tblInd w:w="0" w:type="dxa"/>
        <w:tblLayout w:type="fixed"/>
        <w:tblCellMar>
          <w:top w:w="28" w:type="dxa"/>
          <w:left w:w="28" w:type="dxa"/>
          <w:bottom w:w="28" w:type="dxa"/>
          <w:right w:w="28" w:type="dxa"/>
        </w:tblCellMar>
      </w:tblPr>
      <w:tblGrid>
        <w:gridCol w:w="999"/>
        <w:gridCol w:w="878"/>
        <w:gridCol w:w="882"/>
        <w:gridCol w:w="419"/>
        <w:gridCol w:w="419"/>
        <w:gridCol w:w="421"/>
        <w:gridCol w:w="109"/>
        <w:gridCol w:w="109"/>
        <w:gridCol w:w="211"/>
        <w:gridCol w:w="406"/>
        <w:gridCol w:w="109"/>
        <w:gridCol w:w="109"/>
        <w:gridCol w:w="109"/>
        <w:gridCol w:w="109"/>
        <w:gridCol w:w="211"/>
        <w:gridCol w:w="481"/>
        <w:gridCol w:w="109"/>
        <w:gridCol w:w="109"/>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5"/>
            <w:tcBorders/>
          </w:tcPr>
          <w:p>
            <w:pPr>
              <w:pStyle w:val="TableContents"/>
              <w:bidi w:val="0"/>
              <w:spacing w:before="0" w:after="283"/>
              <w:jc w:val="left"/>
              <w:rPr>
                <w:sz w:val="4"/>
                <w:szCs w:val="4"/>
              </w:rPr>
            </w:pPr>
            <w:r>
              <w:rPr>
                <w:sz w:val="4"/>
                <w:szCs w:val="4"/>
              </w:rPr>
            </w:r>
          </w:p>
        </w:tc>
      </w:tr>
      <w:tr>
        <w:trPr/>
        <w:tc>
          <w:tcPr>
            <w:tcW w:w="27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2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Location of gain (loss)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25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of the Evergy Companies' counterparty credit risk associated with derivative instruments relates to Evergy Kansas Central's non-regulated energy marketing activities. As of March 31, 2025, if counterparty groups completely failed to perform on contracts, Evergy's and Evergy Kansas Central's maximum exposure related to derivative assets was $32.9 million. As of March 31, 2025, the potential loss after the consideration of applicable master netting arrangements and collateral received for Evergy and Evergy Kansas Central was $20.0 million.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Certain of the Evergy Companies' derivative instruments contain collateral provisions that are tied to the Evergy Companies' credit ratings and may require the posting of collateral for various reasons, including if the Evergy Companies' credit ratings were to fall below investment grade. Substantially all of these derivative instruments relate to Evergy Kansas Central's non-regulated energy marketing activities. The aggregate fair value of all derivative instruments with credit-risk-related contingent features that were in a liability position as of March 31, 2025, was $37.0 million for which Evergy and Evergy Kansas Central have posted $2.5 million collateral in the normal course of business. If the credit-risk-related contingent features underlying these agreements were triggered as of March 31, 2025, Evergy and Evergy Kansas Central could be required to post an additional $32.9 million of collateral to their counterparties.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9. FAIR VALUE MEASUREMENTS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Values of Financial Instruments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 available to corroborate the valuation inputs and transmission congestion rights (TCRs) in the SPP Integrated Marketplace.</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Evergy Companies record cash and cash equivalents, accounts receivable and short-term borrowings on their consolidated balance sheets at cost, which approximates fair value due to the short-term nature of these instruments. </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Fair Value of Long-Term Debt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Evergy Companies measure the fair value of long-term debt using Level 2 measurements available as of the measurement date. The book value and fair value of the Evergy Companies' long-term debt are summarized in the following table.</w:t>
      </w:r>
    </w:p>
    <w:tbl>
      <w:tblPr>
        <w:tblW w:w="8081"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211"/>
        <w:gridCol w:w="871"/>
        <w:gridCol w:w="109"/>
        <w:gridCol w:w="109"/>
        <w:gridCol w:w="109"/>
        <w:gridCol w:w="109"/>
        <w:gridCol w:w="211"/>
        <w:gridCol w:w="871"/>
        <w:gridCol w:w="109"/>
        <w:gridCol w:w="109"/>
        <w:gridCol w:w="109"/>
        <w:gridCol w:w="109"/>
        <w:gridCol w:w="211"/>
        <w:gridCol w:w="871"/>
        <w:gridCol w:w="109"/>
        <w:gridCol w:w="109"/>
        <w:gridCol w:w="109"/>
        <w:gridCol w:w="109"/>
        <w:gridCol w:w="211"/>
        <w:gridCol w:w="871"/>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081" w:type="dxa"/>
            <w:gridSpan w:val="12"/>
            <w:tcBorders/>
          </w:tcPr>
          <w:p>
            <w:pPr>
              <w:pStyle w:val="TableContents"/>
              <w:bidi w:val="0"/>
              <w:spacing w:before="0" w:after="283"/>
              <w:jc w:val="left"/>
              <w:rPr>
                <w:sz w:val="4"/>
                <w:szCs w:val="4"/>
              </w:rPr>
            </w:pPr>
            <w:r>
              <w:rPr>
                <w:sz w:val="4"/>
                <w:szCs w:val="4"/>
              </w:rPr>
            </w:r>
          </w:p>
        </w:tc>
      </w:tr>
      <w:tr>
        <w:trPr/>
        <w:tc>
          <w:tcPr>
            <w:tcW w:w="19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Book Value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Book Value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Long-term debt</w:t>
            </w:r>
            <w:r>
              <w:rPr>
                <w:rFonts w:ascii="Times New Roman;sans-serif" w:hAnsi="Times New Roman;sans-serif"/>
                <w:b/>
                <w:color w:val="000000"/>
                <w:sz w:val="13"/>
              </w:rPr>
              <w:t>(a)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Evergy</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Kansas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Metro</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3,224.0 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3,007.3 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3,223.4 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2,966.3 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2"/>
        </w:rPr>
        <w:t xml:space="preserve">(a) </w:t>
      </w:r>
      <w:r>
        <w:rPr>
          <w:rFonts w:ascii="Times New Roman;sans-serif" w:hAnsi="Times New Roman;sans-serif"/>
          <w:b w:val="false"/>
          <w:color w:val="000000"/>
          <w:sz w:val="18"/>
        </w:rPr>
        <w:t>Includes current maturities.</w:t>
      </w:r>
    </w:p>
    <w:p>
      <w:pPr>
        <w:pStyle w:val="TextBody"/>
        <w:bidi w:val="0"/>
        <w:spacing w:lineRule="auto" w:line="288" w:before="0" w:after="240"/>
        <w:ind w:left="0" w:right="0" w:hanging="180"/>
        <w:jc w:val="left"/>
        <w:rPr/>
      </w:pPr>
      <w:r>
        <w:rPr>
          <w:rFonts w:ascii="Times New Roman;sans-serif" w:hAnsi="Times New Roman;sans-serif"/>
          <w:b w:val="false"/>
          <w:color w:val="000000"/>
          <w:sz w:val="12"/>
        </w:rPr>
        <w:t xml:space="preserve">(b) </w:t>
      </w:r>
      <w:r>
        <w:rPr>
          <w:rFonts w:ascii="Times New Roman;sans-serif" w:hAnsi="Times New Roman;sans-serif"/>
          <w:b w:val="false"/>
          <w:color w:val="000000"/>
          <w:sz w:val="18"/>
        </w:rPr>
        <w:t>Book value as of March 31, 2025 and December 31, 2024, includes $80.3 million and $81.7 million, respectively, of fair value adjustments recorded in connection with purchase accounting for the merger that created Evergy, which are not part of future principal payments and will amortize over the remaining life of the associated debt instrument.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Recurring Fair Value Measurements</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tables include balances of financial assets and liabilities measured at fair value on a recurring basis.</w:t>
      </w:r>
    </w:p>
    <w:tbl>
      <w:tblPr>
        <w:tblW w:w="10205" w:type="dxa"/>
        <w:jc w:val="left"/>
        <w:tblInd w:w="0" w:type="dxa"/>
        <w:tblLayout w:type="fixed"/>
        <w:tblCellMar>
          <w:top w:w="28" w:type="dxa"/>
          <w:left w:w="28" w:type="dxa"/>
          <w:bottom w:w="28" w:type="dxa"/>
          <w:right w:w="28" w:type="dxa"/>
        </w:tblCellMar>
      </w:tblPr>
      <w:tblGrid>
        <w:gridCol w:w="905"/>
        <w:gridCol w:w="639"/>
        <w:gridCol w:w="621"/>
        <w:gridCol w:w="109"/>
        <w:gridCol w:w="109"/>
        <w:gridCol w:w="109"/>
        <w:gridCol w:w="196"/>
        <w:gridCol w:w="556"/>
        <w:gridCol w:w="109"/>
        <w:gridCol w:w="109"/>
        <w:gridCol w:w="109"/>
        <w:gridCol w:w="109"/>
        <w:gridCol w:w="109"/>
        <w:gridCol w:w="109"/>
        <w:gridCol w:w="109"/>
        <w:gridCol w:w="196"/>
        <w:gridCol w:w="503"/>
        <w:gridCol w:w="109"/>
        <w:gridCol w:w="109"/>
        <w:gridCol w:w="109"/>
        <w:gridCol w:w="109"/>
        <w:gridCol w:w="196"/>
        <w:gridCol w:w="556"/>
        <w:gridCol w:w="109"/>
        <w:gridCol w:w="109"/>
        <w:gridCol w:w="109"/>
        <w:gridCol w:w="109"/>
        <w:gridCol w:w="196"/>
        <w:gridCol w:w="466"/>
        <w:gridCol w:w="109"/>
        <w:gridCol w:w="109"/>
        <w:gridCol w:w="109"/>
        <w:gridCol w:w="109"/>
        <w:gridCol w:w="109"/>
        <w:gridCol w:w="109"/>
        <w:gridCol w:w="109"/>
        <w:gridCol w:w="196"/>
        <w:gridCol w:w="406"/>
        <w:gridCol w:w="109"/>
        <w:gridCol w:w="109"/>
        <w:gridCol w:w="109"/>
        <w:gridCol w:w="109"/>
        <w:gridCol w:w="109"/>
        <w:gridCol w:w="109"/>
        <w:gridCol w:w="109"/>
        <w:gridCol w:w="196"/>
        <w:gridCol w:w="406"/>
        <w:gridCol w:w="109"/>
        <w:gridCol w:w="109"/>
        <w:gridCol w:w="109"/>
        <w:gridCol w:w="156"/>
      </w:tblGrid>
      <w:tr>
        <w:trPr/>
        <w:tc>
          <w:tcPr>
            <w:tcW w:w="90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151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Netting</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142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136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038"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2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Evergy Kansas Central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9"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Nuclear decommissioning trust</w:t>
            </w:r>
            <w:r>
              <w:rPr>
                <w:rFonts w:ascii="Times New Roman;sans-serif" w:hAnsi="Times New Roman;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Domestic equity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High-yield bond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markets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Alternative investments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securities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nuclear decommissioning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Rabbi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income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Combination debt/equity/other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rabbi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Evergy Metro</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Nuclear decommissioning trust</w:t>
            </w:r>
            <w:r>
              <w:rPr>
                <w:rFonts w:ascii="Times New Roman;sans-serif" w:hAnsi="Times New Roman;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local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nuclear decommissioning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Self-insured health plan trust</w:t>
            </w:r>
            <w:r>
              <w:rPr>
                <w:rFonts w:ascii="Times New Roman;sans-serif" w:hAnsi="Times New Roman;sans-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self-insured health plan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12"/>
        <w:gridCol w:w="595"/>
        <w:gridCol w:w="600"/>
        <w:gridCol w:w="109"/>
        <w:gridCol w:w="109"/>
        <w:gridCol w:w="109"/>
        <w:gridCol w:w="196"/>
        <w:gridCol w:w="556"/>
        <w:gridCol w:w="109"/>
        <w:gridCol w:w="109"/>
        <w:gridCol w:w="109"/>
        <w:gridCol w:w="109"/>
        <w:gridCol w:w="109"/>
        <w:gridCol w:w="109"/>
        <w:gridCol w:w="109"/>
        <w:gridCol w:w="196"/>
        <w:gridCol w:w="501"/>
        <w:gridCol w:w="109"/>
        <w:gridCol w:w="109"/>
        <w:gridCol w:w="109"/>
        <w:gridCol w:w="109"/>
        <w:gridCol w:w="196"/>
        <w:gridCol w:w="556"/>
        <w:gridCol w:w="109"/>
        <w:gridCol w:w="109"/>
        <w:gridCol w:w="109"/>
        <w:gridCol w:w="109"/>
        <w:gridCol w:w="196"/>
        <w:gridCol w:w="466"/>
        <w:gridCol w:w="109"/>
        <w:gridCol w:w="109"/>
        <w:gridCol w:w="109"/>
        <w:gridCol w:w="109"/>
        <w:gridCol w:w="109"/>
        <w:gridCol w:w="109"/>
        <w:gridCol w:w="109"/>
        <w:gridCol w:w="196"/>
        <w:gridCol w:w="406"/>
        <w:gridCol w:w="109"/>
        <w:gridCol w:w="109"/>
        <w:gridCol w:w="109"/>
        <w:gridCol w:w="109"/>
        <w:gridCol w:w="109"/>
        <w:gridCol w:w="109"/>
        <w:gridCol w:w="109"/>
        <w:gridCol w:w="196"/>
        <w:gridCol w:w="466"/>
        <w:gridCol w:w="109"/>
        <w:gridCol w:w="109"/>
        <w:gridCol w:w="109"/>
        <w:gridCol w:w="156"/>
      </w:tblGrid>
      <w:tr>
        <w:trPr/>
        <w:tc>
          <w:tcPr>
            <w:tcW w:w="91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151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Netting</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142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136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098"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2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Evergy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7"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Rabbi trusts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rabbi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Evergy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Nuclear decommissioning trust</w:t>
            </w:r>
            <w:r>
              <w:rPr>
                <w:rFonts w:ascii="Times New Roman;sans-serif" w:hAnsi="Times New Roman;sans-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Rabbi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Self-insured health plan trust</w:t>
            </w:r>
            <w:r>
              <w:rPr>
                <w:rFonts w:ascii="Times New Roman;sans-serif" w:hAnsi="Times New Roman;sans-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02"/>
        <w:gridCol w:w="636"/>
        <w:gridCol w:w="617"/>
        <w:gridCol w:w="109"/>
        <w:gridCol w:w="109"/>
        <w:gridCol w:w="109"/>
        <w:gridCol w:w="197"/>
        <w:gridCol w:w="560"/>
        <w:gridCol w:w="109"/>
        <w:gridCol w:w="109"/>
        <w:gridCol w:w="109"/>
        <w:gridCol w:w="109"/>
        <w:gridCol w:w="196"/>
        <w:gridCol w:w="503"/>
        <w:gridCol w:w="109"/>
        <w:gridCol w:w="109"/>
        <w:gridCol w:w="109"/>
        <w:gridCol w:w="109"/>
        <w:gridCol w:w="196"/>
        <w:gridCol w:w="556"/>
        <w:gridCol w:w="109"/>
        <w:gridCol w:w="109"/>
        <w:gridCol w:w="109"/>
        <w:gridCol w:w="109"/>
        <w:gridCol w:w="109"/>
        <w:gridCol w:w="109"/>
        <w:gridCol w:w="109"/>
        <w:gridCol w:w="196"/>
        <w:gridCol w:w="466"/>
        <w:gridCol w:w="109"/>
        <w:gridCol w:w="109"/>
        <w:gridCol w:w="109"/>
        <w:gridCol w:w="109"/>
        <w:gridCol w:w="109"/>
        <w:gridCol w:w="109"/>
        <w:gridCol w:w="109"/>
        <w:gridCol w:w="196"/>
        <w:gridCol w:w="406"/>
        <w:gridCol w:w="109"/>
        <w:gridCol w:w="109"/>
        <w:gridCol w:w="109"/>
        <w:gridCol w:w="109"/>
        <w:gridCol w:w="109"/>
        <w:gridCol w:w="109"/>
        <w:gridCol w:w="109"/>
        <w:gridCol w:w="196"/>
        <w:gridCol w:w="406"/>
        <w:gridCol w:w="109"/>
        <w:gridCol w:w="109"/>
        <w:gridCol w:w="109"/>
        <w:gridCol w:w="161"/>
      </w:tblGrid>
      <w:tr>
        <w:trPr/>
        <w:tc>
          <w:tcPr>
            <w:tcW w:w="90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152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80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Netting</w:t>
            </w:r>
          </w:p>
        </w:tc>
        <w:tc>
          <w:tcPr>
            <w:tcW w:w="151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142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136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038"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Evergy Kansas Central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4"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Nuclear decommissioning trust</w:t>
            </w:r>
            <w:r>
              <w:rPr>
                <w:rFonts w:ascii="Times New Roman;sans-serif" w:hAnsi="Times New Roman;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Domestic equity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High-yield bond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markets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Alternative investments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securities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nuclear decommissioning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Rabbi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income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Combination debt/equity/other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rabbi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Evergy Metro</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Nuclear decommissioning trust</w:t>
            </w:r>
            <w:r>
              <w:rPr>
                <w:rFonts w:ascii="Times New Roman;sans-serif" w:hAnsi="Times New Roman;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local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nuclear decommissioning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Self-insured health plan trust</w:t>
            </w:r>
            <w:r>
              <w:rPr>
                <w:rFonts w:ascii="Times New Roman;sans-serif" w:hAnsi="Times New Roman;sans-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self-insured health plan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871"/>
        <w:gridCol w:w="535"/>
        <w:gridCol w:w="540"/>
        <w:gridCol w:w="109"/>
        <w:gridCol w:w="109"/>
        <w:gridCol w:w="109"/>
        <w:gridCol w:w="197"/>
        <w:gridCol w:w="559"/>
        <w:gridCol w:w="109"/>
        <w:gridCol w:w="109"/>
        <w:gridCol w:w="109"/>
        <w:gridCol w:w="109"/>
        <w:gridCol w:w="196"/>
        <w:gridCol w:w="497"/>
        <w:gridCol w:w="109"/>
        <w:gridCol w:w="109"/>
        <w:gridCol w:w="109"/>
        <w:gridCol w:w="109"/>
        <w:gridCol w:w="196"/>
        <w:gridCol w:w="556"/>
        <w:gridCol w:w="109"/>
        <w:gridCol w:w="109"/>
        <w:gridCol w:w="109"/>
        <w:gridCol w:w="109"/>
        <w:gridCol w:w="109"/>
        <w:gridCol w:w="109"/>
        <w:gridCol w:w="109"/>
        <w:gridCol w:w="196"/>
        <w:gridCol w:w="466"/>
        <w:gridCol w:w="109"/>
        <w:gridCol w:w="109"/>
        <w:gridCol w:w="109"/>
        <w:gridCol w:w="109"/>
        <w:gridCol w:w="109"/>
        <w:gridCol w:w="109"/>
        <w:gridCol w:w="109"/>
        <w:gridCol w:w="196"/>
        <w:gridCol w:w="406"/>
        <w:gridCol w:w="109"/>
        <w:gridCol w:w="109"/>
        <w:gridCol w:w="109"/>
        <w:gridCol w:w="109"/>
        <w:gridCol w:w="109"/>
        <w:gridCol w:w="109"/>
        <w:gridCol w:w="109"/>
        <w:gridCol w:w="196"/>
        <w:gridCol w:w="466"/>
        <w:gridCol w:w="109"/>
        <w:gridCol w:w="109"/>
        <w:gridCol w:w="109"/>
        <w:gridCol w:w="317"/>
      </w:tblGrid>
      <w:tr>
        <w:trPr/>
        <w:tc>
          <w:tcPr>
            <w:tcW w:w="87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1519"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802"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Netting</w:t>
            </w:r>
          </w:p>
        </w:tc>
        <w:tc>
          <w:tcPr>
            <w:tcW w:w="151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142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136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098"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cPr>
          <w:p>
            <w:pPr>
              <w:pStyle w:val="TableContents"/>
              <w:bidi w:val="0"/>
              <w:spacing w:before="0" w:after="283"/>
              <w:jc w:val="left"/>
              <w:rPr>
                <w:sz w:val="4"/>
                <w:szCs w:val="4"/>
              </w:rPr>
            </w:pPr>
            <w:r>
              <w:rPr>
                <w:sz w:val="4"/>
                <w:szCs w:val="4"/>
              </w:rPr>
            </w:r>
          </w:p>
        </w:tc>
      </w:tr>
      <w:tr>
        <w:trPr/>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Evergy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7"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Rabbi trusts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rabbi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Evergy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Nuclear decommissioning trust</w:t>
            </w:r>
            <w:r>
              <w:rPr>
                <w:rFonts w:ascii="Times New Roman;sans-serif" w:hAnsi="Times New Roman;sans-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Rabbi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Self-insured health plan trust</w:t>
            </w:r>
            <w:r>
              <w:rPr>
                <w:rFonts w:ascii="Times New Roman;sans-serif" w:hAnsi="Times New Roman;sans-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Derivative instruments - commodity contracts</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2"/>
        </w:rPr>
        <w:t>(a)</w:t>
      </w:r>
      <w:r>
        <w:rPr>
          <w:rFonts w:ascii="Times New Roman;sans-serif" w:hAnsi="Times New Roman;sans-serif"/>
          <w:b w:val="false"/>
          <w:color w:val="000000"/>
          <w:sz w:val="18"/>
        </w:rPr>
        <w:t>With the exception of investments measured at NAV, fair value is based on quoted market prices of the investments held by the trust and/or valuation models.  </w:t>
      </w:r>
    </w:p>
    <w:p>
      <w:pPr>
        <w:pStyle w:val="TextBody"/>
        <w:bidi w:val="0"/>
        <w:spacing w:lineRule="auto" w:line="288" w:before="0" w:after="20"/>
        <w:ind w:left="0" w:right="0" w:hanging="180"/>
        <w:jc w:val="left"/>
        <w:rPr/>
      </w:pPr>
      <w:r>
        <w:rPr>
          <w:rFonts w:ascii="Times New Roman;sans-serif" w:hAnsi="Times New Roman;sans-serif"/>
          <w:b w:val="false"/>
          <w:color w:val="000000"/>
          <w:sz w:val="12"/>
        </w:rPr>
        <w:t>(b)</w:t>
      </w:r>
      <w:r>
        <w:rPr>
          <w:rFonts w:ascii="Times New Roman;sans-serif" w:hAnsi="Times New Roman;sans-serif"/>
          <w:b w:val="false"/>
          <w:color w:val="000000"/>
          <w:sz w:val="18"/>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pStyle w:val="TextBody"/>
        <w:bidi w:val="0"/>
        <w:spacing w:lineRule="auto" w:line="288" w:before="0" w:after="240"/>
        <w:ind w:left="0" w:right="0" w:hanging="180"/>
        <w:jc w:val="left"/>
        <w:rPr/>
      </w:pPr>
      <w:r>
        <w:rPr>
          <w:rFonts w:ascii="Times New Roman;sans-serif" w:hAnsi="Times New Roman;sans-serif"/>
          <w:b w:val="false"/>
          <w:color w:val="000000"/>
          <w:sz w:val="12"/>
        </w:rPr>
        <w:t>(c)</w:t>
      </w:r>
      <w:r>
        <w:rPr>
          <w:rFonts w:ascii="Times New Roman;sans-serif" w:hAnsi="Times New Roman;sans-serif"/>
          <w:b w:val="false"/>
          <w:color w:val="000000"/>
          <w:sz w:val="18"/>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Certain Evergy and Evergy Kansas Central investments included in the table above are measured at NAV as they do not have readily determinable fair values. In certain situations, these investments may have redemption restrictions. The following table provides additional information on these Evergy and Evergy Kansas Central investments.</w:t>
      </w:r>
    </w:p>
    <w:tbl>
      <w:tblPr>
        <w:tblW w:w="10205" w:type="dxa"/>
        <w:jc w:val="center"/>
        <w:tblInd w:w="0" w:type="dxa"/>
        <w:tblLayout w:type="fixed"/>
        <w:tblCellMar>
          <w:top w:w="28" w:type="dxa"/>
          <w:left w:w="28" w:type="dxa"/>
          <w:bottom w:w="28" w:type="dxa"/>
          <w:right w:w="28" w:type="dxa"/>
        </w:tblCellMar>
      </w:tblPr>
      <w:tblGrid>
        <w:gridCol w:w="873"/>
        <w:gridCol w:w="704"/>
        <w:gridCol w:w="525"/>
        <w:gridCol w:w="211"/>
        <w:gridCol w:w="511"/>
        <w:gridCol w:w="109"/>
        <w:gridCol w:w="109"/>
        <w:gridCol w:w="109"/>
        <w:gridCol w:w="109"/>
        <w:gridCol w:w="374"/>
        <w:gridCol w:w="721"/>
        <w:gridCol w:w="196"/>
        <w:gridCol w:w="109"/>
        <w:gridCol w:w="109"/>
        <w:gridCol w:w="109"/>
        <w:gridCol w:w="211"/>
        <w:gridCol w:w="511"/>
        <w:gridCol w:w="109"/>
        <w:gridCol w:w="109"/>
        <w:gridCol w:w="109"/>
        <w:gridCol w:w="109"/>
        <w:gridCol w:w="374"/>
        <w:gridCol w:w="721"/>
        <w:gridCol w:w="196"/>
        <w:gridCol w:w="109"/>
        <w:gridCol w:w="109"/>
        <w:gridCol w:w="109"/>
        <w:gridCol w:w="375"/>
        <w:gridCol w:w="375"/>
        <w:gridCol w:w="376"/>
        <w:gridCol w:w="129"/>
        <w:gridCol w:w="129"/>
        <w:gridCol w:w="129"/>
        <w:gridCol w:w="303"/>
        <w:gridCol w:w="303"/>
        <w:gridCol w:w="432"/>
      </w:tblGrid>
      <w:tr>
        <w:trPr/>
        <w:tc>
          <w:tcPr>
            <w:tcW w:w="87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1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Redemption</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Length of</w:t>
            </w:r>
          </w:p>
        </w:tc>
      </w:tr>
      <w:tr>
        <w:trPr/>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Frequency</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Settlement</w:t>
            </w:r>
          </w:p>
        </w:tc>
      </w:tr>
      <w:tr>
        <w:trPr/>
        <w:tc>
          <w:tcPr>
            <w:tcW w:w="2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52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decommissioning trust:</w:t>
            </w:r>
          </w:p>
        </w:tc>
        <w:tc>
          <w:tcPr>
            <w:tcW w:w="522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equity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Alternative investments fund</w:t>
            </w:r>
            <w:r>
              <w:rPr>
                <w:rFonts w:ascii="Times New Roman;sans-serif" w:hAnsi="Times New Roman;sans-serif"/>
                <w:b w:val="false"/>
                <w:color w:val="000000"/>
                <w:sz w:val="12"/>
              </w:rPr>
              <w:t>(b)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Quarterly</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 days</w:t>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Real estate securities fund</w:t>
            </w:r>
            <w:r>
              <w:rPr>
                <w:rFonts w:ascii="Times New Roman;sans-serif" w:hAnsi="Times New Roman;sans-serif"/>
                <w:b w:val="false"/>
                <w:color w:val="000000"/>
                <w:sz w:val="12"/>
              </w:rPr>
              <w:t>(b)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Quarterly</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 days</w:t>
            </w:r>
          </w:p>
        </w:tc>
      </w:tr>
      <w:tr>
        <w:trPr/>
        <w:tc>
          <w:tcPr>
            <w:tcW w:w="210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10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10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10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10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10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10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10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102"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Evergy investments at NAV</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2"/>
        </w:rPr>
        <w:t>(a)</w:t>
      </w:r>
      <w:r>
        <w:rPr>
          <w:rFonts w:ascii="Times New Roman;sans-serif" w:hAnsi="Times New Roman;sans-serif"/>
          <w:b w:val="false"/>
          <w:color w:val="000000"/>
          <w:sz w:val="18"/>
        </w:rPr>
        <w:t>This investment is in four long-term private equity funds that do not permit early withdrawal. Investments in these funds cannot be distributed until the underlying investments have been liquidated, which may take years from the date of initial liquidation. All funds have begun to make distributions.</w:t>
      </w:r>
    </w:p>
    <w:p>
      <w:pPr>
        <w:pStyle w:val="TextBody"/>
        <w:bidi w:val="0"/>
        <w:spacing w:lineRule="auto" w:line="288" w:before="0" w:after="240"/>
        <w:ind w:left="0" w:right="0" w:hanging="180"/>
        <w:jc w:val="left"/>
        <w:rPr/>
      </w:pPr>
      <w:r>
        <w:rPr>
          <w:rFonts w:ascii="Times New Roman;sans-serif" w:hAnsi="Times New Roman;sans-serif"/>
          <w:b w:val="false"/>
          <w:color w:val="000000"/>
          <w:sz w:val="12"/>
        </w:rPr>
        <w:t>(b)</w:t>
      </w:r>
      <w:r>
        <w:rPr>
          <w:rFonts w:ascii="Times New Roman;sans-serif" w:hAnsi="Times New Roman;sans-serif"/>
          <w:b w:val="false"/>
          <w:color w:val="000000"/>
          <w:sz w:val="18"/>
        </w:rPr>
        <w:t xml:space="preserve">There is a holdback on final redemptions.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 </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the net unrealized gains (losses) for the Evergy Companies' nuclear decommissioning trusts and rabbi trusts. </w:t>
      </w:r>
    </w:p>
    <w:tbl>
      <w:tblPr>
        <w:tblW w:w="7215" w:type="dxa"/>
        <w:jc w:val="center"/>
        <w:tblInd w:w="0" w:type="dxa"/>
        <w:tblLayout w:type="fixed"/>
        <w:tblCellMar>
          <w:top w:w="28" w:type="dxa"/>
          <w:left w:w="28" w:type="dxa"/>
          <w:bottom w:w="28" w:type="dxa"/>
          <w:right w:w="28" w:type="dxa"/>
        </w:tblCellMar>
      </w:tblPr>
      <w:tblGrid>
        <w:gridCol w:w="1493"/>
        <w:gridCol w:w="1313"/>
        <w:gridCol w:w="1319"/>
        <w:gridCol w:w="109"/>
        <w:gridCol w:w="109"/>
        <w:gridCol w:w="109"/>
        <w:gridCol w:w="109"/>
        <w:gridCol w:w="109"/>
        <w:gridCol w:w="109"/>
        <w:gridCol w:w="109"/>
        <w:gridCol w:w="211"/>
        <w:gridCol w:w="586"/>
        <w:gridCol w:w="109"/>
        <w:gridCol w:w="109"/>
        <w:gridCol w:w="109"/>
        <w:gridCol w:w="109"/>
        <w:gridCol w:w="211"/>
        <w:gridCol w:w="511"/>
        <w:gridCol w:w="109"/>
        <w:gridCol w:w="109"/>
        <w:gridCol w:w="154"/>
      </w:tblGrid>
      <w:tr>
        <w:trPr/>
        <w:tc>
          <w:tcPr>
            <w:tcW w:w="149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421" w:type="dxa"/>
            <w:gridSpan w:val="8"/>
            <w:tcBorders/>
          </w:tcPr>
          <w:p>
            <w:pPr>
              <w:pStyle w:val="TableContents"/>
              <w:bidi w:val="0"/>
              <w:spacing w:before="0" w:after="283"/>
              <w:jc w:val="left"/>
              <w:rPr>
                <w:sz w:val="4"/>
                <w:szCs w:val="4"/>
              </w:rPr>
            </w:pPr>
            <w:r>
              <w:rPr>
                <w:sz w:val="4"/>
                <w:szCs w:val="4"/>
              </w:rPr>
            </w:r>
          </w:p>
        </w:tc>
      </w:tr>
      <w:tr>
        <w:trPr/>
        <w:tc>
          <w:tcPr>
            <w:tcW w:w="41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decommissioning trust -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decommissioning trust -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Rabbi trusts -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decommissioning trust -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Rabbi trust -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Metro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decommissioning trust -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decommissioning trust -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10. COMMITMENTS AND CONTINGENCIES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Environmental Matters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the Evergy Companies' operations or financial results. The failure to comply with these laws, regulations, interpretations and actions could result in the assessment of administrative, civil and criminal penalties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imposition of remedial requirements. The Evergy Companies believe that all their operations are in substantial compliance with current federal, state and local environmental standards.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Ozone Interstate Transport State Implementation Plans (ITSIP)</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2015, the Environmental Protection Agency (EPA) lowered the Ozone National Ambient Air Quality Standards (NAAQS) from 75 ppb to 70 ppb. States were required to submit ITSIPs in 2018 to comply with the "Good Neighbor Provision" of the Clean Air Act (CAA) as it applies to the revised NAAQS. The EPA did not act on these ITSIP submissions by the deadline established in the CAA and entered consent decrees establishing deadlines for the EPA to take final action on various ITSIPs. In February 2022, the EPA published a proposed rule to disapprove the ITSIPs submitted by nineteen states including Missouri and Oklahoma. In April 2022, the EPA published an approval of the Kansas ITSIP in the Federal Register. The Missouri Department of Natural Resources (MDNR) submitted a supplemental ITSIP to the EPA in November 2022. In February 2023, the EPA published a final rule disapproving the ITSIPs submitted by nineteen states, including the final disapproval of the Missouri and Oklahoma ITSIPs. In April 2023, the Attorneys General of Missouri and Oklahoma filed Petitions for Review in the U.S. Court of Appeals for the Eighth Circuit (Eighth Circuit) and the U.S. Court of Appeals for the Tenth Circuit (Tenth Circuit), respectively, challenging the EPA's disapproval. In May 2023, the Eighth Circuit granted a stay of the EPA's disapproval of the Missouri ITSIP. Similarly, in July 2023, the Tenth Circuit granted a stay of the EPA's disapproval of the Oklahoma ITSIP. In August 2024, the EPA published in the Federal Register a proposed rule to disapprove the supplemental ITSIP that Missouri submitted in November 2022. Due to uncertainty regarding the stays of the EPA's disapprovals of the Missouri and Oklahoma ITSIPs, the Evergy Companies are unable to accurately assess the impact on their operations or consolidated financial results, but the cost to comply could be material. In January 2024, the EPA proposed to disapprove the ITSIP for Kansas and four other states. The Kansas ITSIP was previously approved in April 2022. The impact of the EPA's disapproval of the Kansas ITSIP could have a material impact on the Evergy Companies' operations. </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Ozone Interstate Transport Federal Implementation Plans (ITFIP)</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April 2022, the EPA published in the Federal Register the proposed ITFIP to resolve outstanding "Good Neighbor" obligations with respect to the 2015 Ozone NAAQS for twenty-six states including Missouri and Oklahoma. This ITFIP would establish a revised Cross-State Air Pollution Rule (CSAPR) ozone season nitrogen oxide (NOx) emissions trading program for EGUs beginning in 2023 and would limit ozone season NOx emissions from certain industrial stationary sources beginning in 2026. The proposed rule would also establish a new daily backstop NOx emissions rate limit for applicable coal-fired units larger than 100 MW, as well as unit-specific NOx emission rate limits for certain industrial emission units and would feature "dynamic" adjustments of emission budgets for EGUs beginning with ozone season 2025. The proposed ITFIP included reductions to the state ozone season NOx budgets for Missouri and Oklahoma beginning in 2023 with additional reductions in future years. The Evergy Companies provided formal comments as part of the rulemaking process. In March 2023, the EPA issued the final ITFIPs for twenty-three states, including Missouri and Oklahoma, which included reduced ozone season NOx budgets for EGUs in Missouri, Oklahoma and other states, and included other features and requirements that were in the proposed version of the rule. Because the EPA's authority to impose an ITFIP for a state is triggered by the state's failure to submit an ITSIP addressing NAAQS by the statutory deadline or disapproval of an ITSIP, the EPA lacks authority under the CAA to impose an ITFIP on a state for which state implementation plan (SIP) disapprovals have been stayed by the courts. Accordingly, the EPA issued interim final rules staying the effectiveness of the ITFIP in both Missouri and Oklahoma while the stays issued by the Eighth and Tenth Circuits in the ITSIP disapproval cases remain in place. During this time, both states will continue to operate under the existing CSAPR program. While Kansas was not originally included in the ITFIP, in January 2024, the EPA issued a proposal to include Kansas in the ITFIP. In June 2024, the U.S. Supreme Court issued an order granting emergency motions for stay filed by state and industry petitioners of the final ITFIP pending further review of the ITFIP by the U.S. Court of Appeals for the D.C. Circuit (D.C. Circuit). In March 2025, the EPA announced plans to end the Good Neighbor Rule for the 2015 Ozone NAAQS. And in April 2025, the D.C. Circuit granted an EPA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request to hold all challenges to the ITFIP in indefinite abeyance. If the ITFIP ultimately takes effect for Missouri, Kansas and Oklahoma following the pending litigation or the EPA is unable to end the program as announced, the impact on the Evergy Companies' operations and the cost to comply could be material. </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Particulate Matter National Ambient Air Quality Standards</w:t>
      </w:r>
    </w:p>
    <w:p>
      <w:pPr>
        <w:pStyle w:val="TextBody"/>
        <w:bidi w:val="0"/>
        <w:spacing w:lineRule="auto" w:line="268" w:before="0" w:after="240"/>
        <w:jc w:val="left"/>
        <w:rPr/>
      </w:pPr>
      <w:r>
        <w:rPr>
          <w:rFonts w:ascii="Times New Roman;sans-serif" w:hAnsi="Times New Roman;sans-serif"/>
          <w:b w:val="false"/>
          <w:color w:val="000000"/>
          <w:sz w:val="22"/>
        </w:rPr>
        <w:t>In March 2024, the EPA published in the Federal Register the final rule which strengthens the primary annual PM</w:t>
      </w:r>
      <w:r>
        <w:rPr>
          <w:rFonts w:ascii="Times New Roman;sans-serif" w:hAnsi="Times New Roman;sans-serif"/>
          <w:b w:val="false"/>
          <w:color w:val="000000"/>
          <w:sz w:val="14"/>
        </w:rPr>
        <w:t xml:space="preserve">2.5 </w:t>
      </w:r>
      <w:r>
        <w:rPr>
          <w:rFonts w:ascii="Times New Roman;sans-serif" w:hAnsi="Times New Roman;sans-serif"/>
          <w:b w:val="false"/>
          <w:color w:val="000000"/>
          <w:sz w:val="22"/>
        </w:rPr>
        <w:t>(particulate matter less than 2.5 microns in diameter) NAAQS. The EPA is lowering the primary annual PM</w:t>
      </w:r>
      <w:r>
        <w:rPr>
          <w:rFonts w:ascii="Times New Roman;sans-serif" w:hAnsi="Times New Roman;sans-serif"/>
          <w:b w:val="false"/>
          <w:color w:val="000000"/>
          <w:sz w:val="14"/>
        </w:rPr>
        <w:t>2.5</w:t>
      </w:r>
      <w:r>
        <w:rPr>
          <w:color w:val="000000"/>
        </w:rPr>
        <w:t xml:space="preserve"> </w:t>
      </w:r>
      <w:r>
        <w:rPr>
          <w:rFonts w:ascii="Times New Roman;sans-serif" w:hAnsi="Times New Roman;sans-serif"/>
          <w:b w:val="false"/>
          <w:color w:val="000000"/>
          <w:sz w:val="22"/>
        </w:rPr>
        <w:t>NAAQS from 12.0 µg/m3 (micrograms per cubic meter) to 9.0 µg/m3. The final rule took effect in May 2024. In August 2024, the EPA released the PM</w:t>
      </w:r>
      <w:r>
        <w:rPr>
          <w:rFonts w:ascii="Times New Roman;sans-serif" w:hAnsi="Times New Roman;sans-serif"/>
          <w:b w:val="false"/>
          <w:color w:val="000000"/>
          <w:sz w:val="14"/>
        </w:rPr>
        <w:t xml:space="preserve">2.5 </w:t>
      </w:r>
      <w:r>
        <w:rPr>
          <w:rFonts w:ascii="Times New Roman;sans-serif" w:hAnsi="Times New Roman;sans-serif"/>
          <w:b w:val="false"/>
          <w:color w:val="000000"/>
          <w:sz w:val="22"/>
        </w:rPr>
        <w:t>ambient monitor design values for calendar years 2021 through 2023. These design values will be used by each state governor for recommending to the EPA attainment designations for their states. In February 2025, the Kansas Governor sent recommendations to the EPA to designate the entire state of Kansas as either attainment or attainment/unclassifiable for the 2024 annual PM</w:t>
      </w:r>
      <w:r>
        <w:rPr>
          <w:rFonts w:ascii="Times New Roman;sans-serif" w:hAnsi="Times New Roman;sans-serif"/>
          <w:b w:val="false"/>
          <w:color w:val="000000"/>
          <w:sz w:val="14"/>
        </w:rPr>
        <w:t>2.5</w:t>
      </w:r>
      <w:r>
        <w:rPr>
          <w:color w:val="000000"/>
        </w:rPr>
        <w:t xml:space="preserve"> </w:t>
      </w:r>
      <w:r>
        <w:rPr>
          <w:rFonts w:ascii="Times New Roman;sans-serif" w:hAnsi="Times New Roman;sans-serif"/>
          <w:b w:val="false"/>
          <w:color w:val="000000"/>
          <w:sz w:val="22"/>
        </w:rPr>
        <w:t>NAAQS. In March 2025, the EPA announced it plans to reconsider the 2024 PM</w:t>
      </w:r>
      <w:r>
        <w:rPr>
          <w:rFonts w:ascii="Times New Roman;sans-serif" w:hAnsi="Times New Roman;sans-serif"/>
          <w:b w:val="false"/>
          <w:color w:val="000000"/>
          <w:sz w:val="14"/>
        </w:rPr>
        <w:t>2.5</w:t>
      </w:r>
      <w:r>
        <w:rPr>
          <w:color w:val="000000"/>
        </w:rPr>
        <w:t xml:space="preserve"> </w:t>
      </w:r>
      <w:r>
        <w:rPr>
          <w:rFonts w:ascii="Times New Roman;sans-serif" w:hAnsi="Times New Roman;sans-serif"/>
          <w:b w:val="false"/>
          <w:color w:val="000000"/>
          <w:sz w:val="22"/>
        </w:rPr>
        <w:t>NAAQS. As a result of the EPA's plans to reconsider this NAAQS, the Missouri Governor delayed submitting area designations to the EPA. While the EPA is required to issue final designations for all states, including Kansas and Missouri, by February 2026, the issuance of final designations is in question based on the EPA's plans to reconsider this NAAQS. Due to the uncertainty of the attainment status of portions of the service territory and potential reconsideration of the NAAQS, the Evergy Companies are unable to accurately assess the impacts on their operations or consolidated financial results, but the cost to comply with lower PM</w:t>
      </w:r>
      <w:r>
        <w:rPr>
          <w:rFonts w:ascii="Times New Roman;sans-serif" w:hAnsi="Times New Roman;sans-serif"/>
          <w:b w:val="false"/>
          <w:color w:val="000000"/>
          <w:sz w:val="14"/>
        </w:rPr>
        <w:t>2.5</w:t>
      </w:r>
      <w:r>
        <w:rPr>
          <w:color w:val="000000"/>
        </w:rPr>
        <w:t xml:space="preserve"> </w:t>
      </w:r>
      <w:r>
        <w:rPr>
          <w:rFonts w:ascii="Times New Roman;sans-serif" w:hAnsi="Times New Roman;sans-serif"/>
          <w:b w:val="false"/>
          <w:color w:val="000000"/>
          <w:sz w:val="22"/>
        </w:rPr>
        <w:t xml:space="preserve">NAAQS could be material. </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Regional Haze Rule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state implementation plans (SIPs) every ten years and the first round was due in 2007. For the second ten-year implementation period, the EPA issued a final rule revision in 2017 that allowed states to submit their SIP revisions by July 2021.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Missouri SIP revision does not require any additional reductions from the Evergy Companies' generating units in the state. MDNR submitted the Missouri SIP revision to the EPA in August 2022, however, they failed to do so by the EPA's revised submittal deadline in August 2022. As a result, in August 2022, the EPA published "finding of failure" with respect to Missouri and fourteen other states for failing to submit their Regional Haze SIP revisions by the applicable deadline. This finding of failure established a two-year deadline for the EPA to issue a Regional Haze federal implementation plan (FIP) for each state unless the state submits and the EPA approves a revised SIP that meets all applicable requirements before the EPA issues the FIP. In July 2024, the EPA published in the Federal Register a proposal to partially approve and partially disapprove Missouri's Regional Haze SIP revision.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Kansas SIP revision did not include any additional emission reductions by electric utilities based on the significant reductions that were achieved during the first implementation period. The Kansas Department of Health and Environment submitted the Kansas SIP revision in July 2021. In August 2024, the EPA issued the final disapproval of the Kansas SIP revision for failing to conduct a four-factor analysis for at least two emission sources in Kansas. If a Kansas generating unit of the Evergy Companies is selected for analysis, the possibility exists that the state or the EPA, through a revised SIP or a FIP, could determine that additional operational or physical modifications are required on the generating unit to further reduce emissions.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March 2025, the EPA announced it plans to restructure the Regional Haze Program, however no specific details of the planned restructuring have been provided. If a Kansas or Missouri revised SIP or FIP is finalized, the overall costs of implementing the rules could be material to the Evergy Companies. </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Greenhouse Gases</w:t>
      </w:r>
    </w:p>
    <w:p>
      <w:pPr>
        <w:pStyle w:val="TextBody"/>
        <w:bidi w:val="0"/>
        <w:spacing w:lineRule="auto" w:line="288" w:before="0" w:after="240"/>
        <w:jc w:val="left"/>
        <w:rPr/>
      </w:pPr>
      <w:r>
        <w:rPr>
          <w:rFonts w:ascii="Times New Roman;sans-serif" w:hAnsi="Times New Roman;sans-serif"/>
          <w:b w:val="false"/>
          <w:color w:val="000000"/>
          <w:sz w:val="22"/>
        </w:rPr>
        <w:t>Burning coal and other fossil fuels releases carbon dioxide (CO</w:t>
      </w:r>
      <w:r>
        <w:rPr>
          <w:rFonts w:ascii="Times New Roman;sans-serif" w:hAnsi="Times New Roman;sans-serif"/>
          <w:b w:val="false"/>
          <w:color w:val="000000"/>
          <w:sz w:val="14"/>
        </w:rPr>
        <w:t>2</w:t>
      </w:r>
      <w:r>
        <w:rPr>
          <w:rFonts w:ascii="Times New Roman;sans-serif" w:hAnsi="Times New Roman;sans-serif"/>
          <w:b w:val="false"/>
          <w:color w:val="000000"/>
          <w:sz w:val="22"/>
        </w:rPr>
        <w:t>) and other gases referred to as greenhouse gases (GHG). Various regulations under the CAA limit CO</w:t>
      </w:r>
      <w:r>
        <w:rPr>
          <w:rFonts w:ascii="Times New Roman;sans-serif" w:hAnsi="Times New Roman;sans-serif"/>
          <w:b w:val="false"/>
          <w:color w:val="000000"/>
          <w:sz w:val="14"/>
        </w:rPr>
        <w:t>2</w:t>
      </w:r>
      <w:r>
        <w:rPr>
          <w:color w:val="000000"/>
        </w:rPr>
        <w:t xml:space="preserve"> </w:t>
      </w:r>
      <w:r>
        <w:rPr>
          <w:rFonts w:ascii="Times New Roman;sans-serif" w:hAnsi="Times New Roman;sans-serif"/>
          <w:b w:val="false"/>
          <w:color w:val="000000"/>
          <w:sz w:val="22"/>
        </w:rPr>
        <w:t xml:space="preserve">and other GHG emissions, and in addition, other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left"/>
        <w:rPr/>
      </w:pPr>
      <w:r>
        <w:rPr>
          <w:rFonts w:ascii="Times New Roman;sans-serif" w:hAnsi="Times New Roman;sans-serif"/>
          <w:b w:val="false"/>
          <w:color w:val="000000"/>
          <w:sz w:val="22"/>
        </w:rPr>
        <w:t>are being imposed or offered by individual states, municipalities and regional agreements with the goal of reducing GHG emissions. In April 2024, the EPA finalized the GHG regulations and GHG guidelines that apply to new and existing fossil fuel fired EGUs. The final GHG regulation establishes CO</w:t>
      </w:r>
      <w:r>
        <w:rPr>
          <w:rFonts w:ascii="Times New Roman;sans-serif" w:hAnsi="Times New Roman;sans-serif"/>
          <w:b w:val="false"/>
          <w:color w:val="000000"/>
          <w:sz w:val="14"/>
        </w:rPr>
        <w:t>2</w:t>
      </w:r>
      <w:r>
        <w:rPr>
          <w:color w:val="000000"/>
        </w:rPr>
        <w:t xml:space="preserve"> </w:t>
      </w:r>
      <w:r>
        <w:rPr>
          <w:rFonts w:ascii="Times New Roman;sans-serif" w:hAnsi="Times New Roman;sans-serif"/>
          <w:b w:val="false"/>
          <w:color w:val="000000"/>
          <w:sz w:val="22"/>
        </w:rPr>
        <w:t>limitations on emissions from new and reconstructed stationary combustion turbines. The GHG guidelines set CO</w:t>
      </w:r>
      <w:r>
        <w:rPr>
          <w:rFonts w:ascii="Times New Roman;sans-serif" w:hAnsi="Times New Roman;sans-serif"/>
          <w:b w:val="false"/>
          <w:color w:val="000000"/>
          <w:sz w:val="14"/>
        </w:rPr>
        <w:t>2</w:t>
      </w:r>
      <w:r>
        <w:rPr>
          <w:color w:val="000000"/>
        </w:rPr>
        <w:t xml:space="preserve"> </w:t>
      </w:r>
      <w:r>
        <w:rPr>
          <w:rFonts w:ascii="Times New Roman;sans-serif" w:hAnsi="Times New Roman;sans-serif"/>
          <w:b w:val="false"/>
          <w:color w:val="000000"/>
          <w:sz w:val="22"/>
        </w:rPr>
        <w:t>emission limitations for existing coal, oil and gas-fired steam generating units. For new and reconstructed stationary combustion turbines, the emission limitations were developed by applying the Best System of Emission Reduction (BSER) to three distinct subcategories (low load, intermediate load and base load) taking into consideration the annual capacity factor of the stationary combustion turbine. For intermediate and base load stationary combustion turbines, BSER is assumed to be the utilization of highly efficient combustion turbine technology. Base load stationary combustion turbines are also required to consider the emissions reduction associated with the application of carbon capture and sequestration (CCS) beginning in 2032. For existing coal-fired EGUs, the emission limitations were established by applying the BSER to two subcategories (medium and long-term). For medium-term existing coal-fired units, which are units retiring between 2032 and 2038, the BSER established emission limitation is based on co-firing natural gas beginning in 2030. For units operating in 2039 and after, BSER is the application of CCS starting in 2032. In July 2024, the D.C. Circuit denied motions of stay filed by various states, industry and trade organizations; however, the D.C. Circuit has ordered expedited review of the challenges to the final regulations and guidelines. In December 2024, a three-judge panel of the D.C. Circuit heard oral arguments on challenges to the merits of the rule. In March 2025, the EPA announced it plans to reconsider the GHG regulation and guidelines by issuing a proposed reconsideration of the rule in spring 2025 and issuing final regulations by December 2025. While the EPA reconsiders the GHG regulation and guidelines, the D.C. Circuit granted an unopposed motion to hold the case challenging the merits of the rule in abeyance.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Due to uncertainty regarding the implementation of these final rules, ongoing judicial review and potential reconsideration of these rules, the Evergy Companies are unable to accurately assess the impacts on their operations or consolidated financial results, but the cost to comply could be material. </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Regulation of Coal Combustion Residuals (CCRs)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the course of operating their coal generation plants, the Evergy Companies produce CCRs, including fly ash, 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 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The cost to comply with these proposed determinations by the EPA could be material.</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April 2024, the EPA finalized an expansion to the CCR regulations focused on legacy surface impoundments and historic placements of CCR. This regulation expands applicability of the 2015 CCR regulation to inactive landfills and beneficial use sites not previously regulated. Litigation could impact the timing or cost to comply. In March 2025, the EPA announced its plans to update regulations of CCRs, however specific details of any planned revisions have not been provided.</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Evergy Companies have recorded asset retirement obligations (AROs) for their current estimates for the closure of ash disposal ponds and landfills and recorded additional ARO liabilities in the second quarter of 2024 related to the April 2024 CCR regulation. The revision of these AROs may be required in the future due to information collected in the April 2024 CCR regulation's Facility Evaluation Reports (FERs), changes in existing CCR regulations, the results of groundwater monitoring of CCR units or changes in interpretation of existing CCR regulations or changes in the timing or cost to close ash disposal ponds and landfills. The revision of AROs for regulated operations has no income statement impact due to the deferral of the adjustments through a regulatory asset. If revisions to these AROs are necessary, the impact on the Evergy Companies' operations or consolidated financial results could be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Montrose Station CCRs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January 2025, two lawsuits, including one seeking class certification, were filed in the Circuit Court of Henry County, Missouri against Evergy Metro and two other defendants alleging unspecified damages resulting from the defendants' alleged unlawful and negligent spreading of CCRs associated with the Montrose Station coal ash landfill. Montrose Station was a coal-fired generating facility which was operated by Evergy Metro until its closure in 2018. The cases are at preliminary stages and Evergy and Evergy Metro are unable to assess the outcome or reasonably estimate any possible damages with respect to the claims. However, Evergy and Evergy Metro believe the claims are without merit and intend to vigorously defend themselves.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11. RELATED PARTY TRANSACTIONS AND RELATIONSHIPS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the normal course of business, Evergy Kansas Central, Evergy Metro and Evergy Missouri West engage in related party transactions with one another. In addition, Evergy Kansas Central, Evergy Metro and Evergy Missouri West plan to engage in the construction of jointly-owned generation facilities. See Note 1 for a discussion of future planned investments. A summary of these related party transactions and the amounts associated with them is provided below.</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Jointly-Owned Plants and Shared Services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 Employees of Evergy Metro and Evergy Kansas Central also provide one another with shared service support, including costs related to human resources, information technology, accounting and legal services. </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operating expenses and capital costs billed for jointly-owned plants and shared services are detailed in the following table.</w:t>
      </w:r>
    </w:p>
    <w:tbl>
      <w:tblPr>
        <w:tblW w:w="7500" w:type="dxa"/>
        <w:jc w:val="left"/>
        <w:tblInd w:w="0" w:type="dxa"/>
        <w:tblLayout w:type="fixed"/>
        <w:tblCellMar>
          <w:top w:w="28" w:type="dxa"/>
          <w:left w:w="28" w:type="dxa"/>
          <w:bottom w:w="28" w:type="dxa"/>
          <w:right w:w="28" w:type="dxa"/>
        </w:tblCellMar>
      </w:tblPr>
      <w:tblGrid>
        <w:gridCol w:w="1700"/>
        <w:gridCol w:w="1494"/>
        <w:gridCol w:w="1501"/>
        <w:gridCol w:w="109"/>
        <w:gridCol w:w="109"/>
        <w:gridCol w:w="109"/>
        <w:gridCol w:w="109"/>
        <w:gridCol w:w="109"/>
        <w:gridCol w:w="109"/>
        <w:gridCol w:w="109"/>
        <w:gridCol w:w="211"/>
        <w:gridCol w:w="406"/>
        <w:gridCol w:w="109"/>
        <w:gridCol w:w="109"/>
        <w:gridCol w:w="109"/>
        <w:gridCol w:w="109"/>
        <w:gridCol w:w="211"/>
        <w:gridCol w:w="406"/>
        <w:gridCol w:w="109"/>
        <w:gridCol w:w="109"/>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16" w:type="dxa"/>
            <w:gridSpan w:val="8"/>
            <w:tcBorders/>
          </w:tcPr>
          <w:p>
            <w:pPr>
              <w:pStyle w:val="TableContents"/>
              <w:bidi w:val="0"/>
              <w:spacing w:before="0" w:after="283"/>
              <w:jc w:val="left"/>
              <w:rPr>
                <w:sz w:val="4"/>
                <w:szCs w:val="4"/>
              </w:rPr>
            </w:pPr>
            <w:r>
              <w:rPr>
                <w:sz w:val="4"/>
                <w:szCs w:val="4"/>
              </w:rPr>
            </w:r>
          </w:p>
        </w:tc>
      </w:tr>
      <w:tr>
        <w:trPr/>
        <w:tc>
          <w:tcPr>
            <w:tcW w:w="46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Kansas Central billings to Evergy Missouri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Metro billings to Evergy Missouri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Kansas Central billings to Evergy Metro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Evergy Metro billings to Evergy Kansas Central</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Related Party Net Receivables and Payables</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Evergy Kansas Central's and Evergy Metro's related party net receivables and payables.</w:t>
      </w:r>
    </w:p>
    <w:tbl>
      <w:tblPr>
        <w:tblW w:w="6443" w:type="dxa"/>
        <w:jc w:val="center"/>
        <w:tblInd w:w="0" w:type="dxa"/>
        <w:tblLayout w:type="fixed"/>
        <w:tblCellMar>
          <w:top w:w="28" w:type="dxa"/>
          <w:left w:w="28" w:type="dxa"/>
          <w:bottom w:w="28" w:type="dxa"/>
          <w:right w:w="28" w:type="dxa"/>
        </w:tblCellMar>
      </w:tblPr>
      <w:tblGrid>
        <w:gridCol w:w="1301"/>
        <w:gridCol w:w="1147"/>
        <w:gridCol w:w="1151"/>
        <w:gridCol w:w="109"/>
        <w:gridCol w:w="109"/>
        <w:gridCol w:w="109"/>
        <w:gridCol w:w="216"/>
        <w:gridCol w:w="602"/>
        <w:gridCol w:w="112"/>
        <w:gridCol w:w="109"/>
        <w:gridCol w:w="109"/>
        <w:gridCol w:w="109"/>
        <w:gridCol w:w="298"/>
        <w:gridCol w:w="743"/>
        <w:gridCol w:w="219"/>
      </w:tblGrid>
      <w:tr>
        <w:trPr/>
        <w:tc>
          <w:tcPr>
            <w:tcW w:w="130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payable to Evergy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payable to Evergy Metro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receivable from Evergy Missouri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Metro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receivable from Evergy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receivable from Evergy Kansas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receivable from Evergy Missouri West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1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21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Money Pool</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As of March 31, 2025 and December 31, 2024, Evergy Kansas Central and Evergy Metro had no outstanding receivables or payables under the money pool.</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Tax Allocation Agreement</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tbl>
      <w:tblPr>
        <w:tblW w:w="5963" w:type="dxa"/>
        <w:jc w:val="left"/>
        <w:tblInd w:w="0" w:type="dxa"/>
        <w:tblLayout w:type="fixed"/>
        <w:tblCellMar>
          <w:top w:w="28" w:type="dxa"/>
          <w:left w:w="28" w:type="dxa"/>
          <w:bottom w:w="28" w:type="dxa"/>
          <w:right w:w="28" w:type="dxa"/>
        </w:tblCellMar>
      </w:tblPr>
      <w:tblGrid>
        <w:gridCol w:w="1128"/>
        <w:gridCol w:w="994"/>
        <w:gridCol w:w="997"/>
        <w:gridCol w:w="109"/>
        <w:gridCol w:w="109"/>
        <w:gridCol w:w="109"/>
        <w:gridCol w:w="216"/>
        <w:gridCol w:w="602"/>
        <w:gridCol w:w="112"/>
        <w:gridCol w:w="109"/>
        <w:gridCol w:w="109"/>
        <w:gridCol w:w="109"/>
        <w:gridCol w:w="298"/>
        <w:gridCol w:w="743"/>
        <w:gridCol w:w="219"/>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 from Evergy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Metro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to Evergy</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1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1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12. TAXES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Effective Income Tax Rates</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Effective income tax rates reflected in the financial statements and the reasons for their differences from the statutory federal rates are detailed in the following tables.</w:t>
      </w:r>
    </w:p>
    <w:tbl>
      <w:tblPr>
        <w:tblW w:w="7192" w:type="dxa"/>
        <w:jc w:val="center"/>
        <w:tblInd w:w="0" w:type="dxa"/>
        <w:tblLayout w:type="fixed"/>
        <w:tblCellMar>
          <w:top w:w="28" w:type="dxa"/>
          <w:left w:w="28" w:type="dxa"/>
          <w:bottom w:w="28" w:type="dxa"/>
          <w:right w:w="28" w:type="dxa"/>
        </w:tblCellMar>
      </w:tblPr>
      <w:tblGrid>
        <w:gridCol w:w="1651"/>
        <w:gridCol w:w="1451"/>
        <w:gridCol w:w="1458"/>
        <w:gridCol w:w="109"/>
        <w:gridCol w:w="109"/>
        <w:gridCol w:w="109"/>
        <w:gridCol w:w="109"/>
        <w:gridCol w:w="255"/>
        <w:gridCol w:w="256"/>
        <w:gridCol w:w="292"/>
        <w:gridCol w:w="109"/>
        <w:gridCol w:w="109"/>
        <w:gridCol w:w="109"/>
        <w:gridCol w:w="255"/>
        <w:gridCol w:w="256"/>
        <w:gridCol w:w="292"/>
        <w:gridCol w:w="109"/>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393" w:type="dxa"/>
            <w:gridSpan w:val="8"/>
            <w:tcBorders/>
          </w:tcPr>
          <w:p>
            <w:pPr>
              <w:pStyle w:val="TableContents"/>
              <w:bidi w:val="0"/>
              <w:spacing w:before="0" w:after="283"/>
              <w:jc w:val="left"/>
              <w:rPr>
                <w:sz w:val="4"/>
                <w:szCs w:val="4"/>
              </w:rPr>
            </w:pPr>
            <w:r>
              <w:rPr>
                <w:sz w:val="4"/>
                <w:szCs w:val="4"/>
              </w:rPr>
            </w:r>
          </w:p>
        </w:tc>
      </w:tr>
      <w:tr>
        <w:trPr/>
        <w:tc>
          <w:tcPr>
            <w:tcW w:w="45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COLI policies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Flow through depreciation for plant-related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federal investment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 compensation limitation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340" w:type="dxa"/>
        <w:jc w:val="center"/>
        <w:tblInd w:w="0" w:type="dxa"/>
        <w:tblLayout w:type="fixed"/>
        <w:tblCellMar>
          <w:top w:w="28" w:type="dxa"/>
          <w:left w:w="28" w:type="dxa"/>
          <w:bottom w:w="28" w:type="dxa"/>
          <w:right w:w="28" w:type="dxa"/>
        </w:tblCellMar>
      </w:tblPr>
      <w:tblGrid>
        <w:gridCol w:w="1649"/>
        <w:gridCol w:w="1453"/>
        <w:gridCol w:w="1458"/>
        <w:gridCol w:w="109"/>
        <w:gridCol w:w="109"/>
        <w:gridCol w:w="109"/>
        <w:gridCol w:w="109"/>
        <w:gridCol w:w="291"/>
        <w:gridCol w:w="294"/>
        <w:gridCol w:w="292"/>
        <w:gridCol w:w="109"/>
        <w:gridCol w:w="109"/>
        <w:gridCol w:w="109"/>
        <w:gridCol w:w="291"/>
        <w:gridCol w:w="294"/>
        <w:gridCol w:w="292"/>
        <w:gridCol w:w="109"/>
        <w:gridCol w:w="154"/>
      </w:tblGrid>
      <w:tr>
        <w:trPr/>
        <w:tc>
          <w:tcPr>
            <w:tcW w:w="164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Kansas Central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467" w:type="dxa"/>
            <w:gridSpan w:val="8"/>
            <w:tcBorders/>
          </w:tcPr>
          <w:p>
            <w:pPr>
              <w:pStyle w:val="TableContents"/>
              <w:bidi w:val="0"/>
              <w:spacing w:before="0" w:after="283"/>
              <w:jc w:val="left"/>
              <w:rPr>
                <w:sz w:val="4"/>
                <w:szCs w:val="4"/>
              </w:rPr>
            </w:pPr>
            <w:r>
              <w:rPr>
                <w:sz w:val="4"/>
                <w:szCs w:val="4"/>
              </w:rPr>
            </w:r>
          </w:p>
        </w:tc>
      </w:tr>
      <w:tr>
        <w:trPr/>
        <w:tc>
          <w:tcPr>
            <w:tcW w:w="45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COLI policies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Flow through depreciation for plant-related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federal investment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9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9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92" w:type="dxa"/>
        <w:jc w:val="center"/>
        <w:tblInd w:w="0" w:type="dxa"/>
        <w:tblLayout w:type="fixed"/>
        <w:tblCellMar>
          <w:top w:w="28" w:type="dxa"/>
          <w:left w:w="28" w:type="dxa"/>
          <w:bottom w:w="28" w:type="dxa"/>
          <w:right w:w="28" w:type="dxa"/>
        </w:tblCellMar>
      </w:tblPr>
      <w:tblGrid>
        <w:gridCol w:w="1651"/>
        <w:gridCol w:w="1451"/>
        <w:gridCol w:w="1458"/>
        <w:gridCol w:w="109"/>
        <w:gridCol w:w="109"/>
        <w:gridCol w:w="109"/>
        <w:gridCol w:w="109"/>
        <w:gridCol w:w="255"/>
        <w:gridCol w:w="256"/>
        <w:gridCol w:w="292"/>
        <w:gridCol w:w="109"/>
        <w:gridCol w:w="109"/>
        <w:gridCol w:w="109"/>
        <w:gridCol w:w="255"/>
        <w:gridCol w:w="256"/>
        <w:gridCol w:w="292"/>
        <w:gridCol w:w="109"/>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Metro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393" w:type="dxa"/>
            <w:gridSpan w:val="8"/>
            <w:tcBorders/>
          </w:tcPr>
          <w:p>
            <w:pPr>
              <w:pStyle w:val="TableContents"/>
              <w:bidi w:val="0"/>
              <w:spacing w:before="0" w:after="283"/>
              <w:jc w:val="left"/>
              <w:rPr>
                <w:sz w:val="4"/>
                <w:szCs w:val="4"/>
              </w:rPr>
            </w:pPr>
            <w:r>
              <w:rPr>
                <w:sz w:val="4"/>
                <w:szCs w:val="4"/>
              </w:rPr>
            </w:r>
          </w:p>
        </w:tc>
      </w:tr>
      <w:tr>
        <w:trPr/>
        <w:tc>
          <w:tcPr>
            <w:tcW w:w="45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COLI policies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Flow through depreciation for plant-related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federal investment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 compensation limitation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13. SEGMENT INFORMATION</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Evergy's chief operating decision maker is Evergy's President and Chief Executive Officer. The chief operating decision maker assesses Evergy's performance based on consolidated net income attributable to Evergy, Inc. (i.e., Evergy operates in a single reportable segment) and uses consolidated net income attributable to Evergy, Inc. to make resource allocation decisions and to compare actual results to budget. The measures of segment assets and expenditures for additions to long-lived assets are reported as total assets on the consolidated balance sheet and additions to property, plant and equipment on the consolidated statement of cash flows, respectively. See Note 1 for additional information regarding the operations of Evergy. This segment information is detailed in the following table.</w:t>
      </w:r>
    </w:p>
    <w:tbl>
      <w:tblPr>
        <w:tblW w:w="10205" w:type="dxa"/>
        <w:jc w:val="left"/>
        <w:tblInd w:w="0" w:type="dxa"/>
        <w:tblLayout w:type="fixed"/>
        <w:tblCellMar>
          <w:top w:w="28" w:type="dxa"/>
          <w:left w:w="28" w:type="dxa"/>
          <w:bottom w:w="28" w:type="dxa"/>
          <w:right w:w="28" w:type="dxa"/>
        </w:tblCellMar>
      </w:tblPr>
      <w:tblGrid>
        <w:gridCol w:w="2627"/>
        <w:gridCol w:w="1823"/>
        <w:gridCol w:w="1832"/>
        <w:gridCol w:w="174"/>
        <w:gridCol w:w="174"/>
        <w:gridCol w:w="174"/>
        <w:gridCol w:w="174"/>
        <w:gridCol w:w="174"/>
        <w:gridCol w:w="174"/>
        <w:gridCol w:w="109"/>
        <w:gridCol w:w="211"/>
        <w:gridCol w:w="766"/>
        <w:gridCol w:w="109"/>
        <w:gridCol w:w="109"/>
        <w:gridCol w:w="109"/>
        <w:gridCol w:w="109"/>
        <w:gridCol w:w="211"/>
        <w:gridCol w:w="766"/>
        <w:gridCol w:w="109"/>
        <w:gridCol w:w="109"/>
        <w:gridCol w:w="162"/>
      </w:tblGrid>
      <w:tr>
        <w:trPr/>
        <w:tc>
          <w:tcPr>
            <w:tcW w:w="262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684" w:type="dxa"/>
            <w:gridSpan w:val="8"/>
            <w:tcBorders/>
          </w:tcPr>
          <w:p>
            <w:pPr>
              <w:pStyle w:val="TableContents"/>
              <w:bidi w:val="0"/>
              <w:spacing w:before="0" w:after="283"/>
              <w:jc w:val="left"/>
              <w:rPr>
                <w:sz w:val="4"/>
                <w:szCs w:val="4"/>
              </w:rPr>
            </w:pPr>
            <w:r>
              <w:rPr>
                <w:sz w:val="4"/>
                <w:szCs w:val="4"/>
              </w:rPr>
            </w:r>
          </w:p>
        </w:tc>
      </w:tr>
      <w:tr>
        <w:trPr/>
        <w:tc>
          <w:tcPr>
            <w:tcW w:w="62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52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271" w:type="dxa"/>
            <w:gridSpan w:val="2"/>
            <w:tcBorders/>
          </w:tcPr>
          <w:p>
            <w:pPr>
              <w:pStyle w:val="TableContents"/>
              <w:bidi w:val="0"/>
              <w:spacing w:before="0" w:after="283"/>
              <w:jc w:val="left"/>
              <w:rPr>
                <w:sz w:val="4"/>
                <w:szCs w:val="4"/>
              </w:rPr>
            </w:pPr>
            <w:r>
              <w:rPr>
                <w:sz w:val="4"/>
                <w:szCs w:val="4"/>
              </w:rPr>
            </w:r>
          </w:p>
        </w:tc>
      </w:tr>
      <w:tr>
        <w:trPr/>
        <w:tc>
          <w:tcPr>
            <w:tcW w:w="6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and purchased power</w:t>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SPP network transmission costs</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customer</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 including benefit costs</w:t>
            </w:r>
            <w:r>
              <w:rPr>
                <w:rFonts w:ascii="Times New Roman;sans-serif" w:hAnsi="Times New Roman;sans-serif"/>
                <w:b w:val="false"/>
                <w:color w:val="000000"/>
                <w:sz w:val="12"/>
              </w:rPr>
              <w:t>(a)</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Plus:</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equity method investees, net of income taxes</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EVERGY, INC.</w:t>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2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 xml:space="preserve">(a) </w:t>
            </w:r>
            <w:r>
              <w:rPr>
                <w:rFonts w:ascii="Times New Roman;sans-serif" w:hAnsi="Times New Roman;sans-serif"/>
                <w:b w:val="false"/>
                <w:color w:val="000000"/>
                <w:sz w:val="18"/>
              </w:rPr>
              <w:t>Other segment items include benefits expense associated with Operations, Customer and Support employees, regulatory amortization expense, expense associated with energy efficiency programs and bad debt expense, among other items.</w:t>
            </w:r>
          </w:p>
        </w:tc>
        <w:tc>
          <w:tcPr>
            <w:tcW w:w="2879" w:type="dxa"/>
            <w:gridSpan w:val="1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2024 Form 10-K. None of the registrants make any representation as to information related solely to Evergy, Evergy Kansas Central or Evergy Metro other than itself.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EVERGY, INC.</w:t>
      </w:r>
    </w:p>
    <w:p>
      <w:pPr>
        <w:pStyle w:val="TextBody"/>
        <w:bidi w:val="0"/>
        <w:spacing w:lineRule="auto" w:line="288" w:before="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EXECUTIVE SUMMARY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Evergy is a public utility holding company incorporated in 2017 and headquartered in Kansas City, Missouri. Evergy operates primarily through the following wholly-owned direct subsidiaries listed below.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Evergy Kansas Central is an integrated, regulated electric utility that provides electricity to customers in the state of Kansas. Evergy Kansas Central has one active wholly-owned subsidiary with significant operations, Evergy Kansas South.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Evergy Metro is an integrated, regulated electric utility that provides electricity to customers in the states of Missouri and Kansas.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Evergy Missouri West is an integrated, regulated electric utility that provides electricity to customers in the state of Missouri.</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 Evergy Kansas South, Evergy Metro and Evergy Missouri West conduct business in their respective service territories using the name Evergy. Collectively, the Evergy Companies have approximately 15,800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Evergy Kansas Central's 2025 Rate Case Proceeding</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January 2025, Evergy Kansas Central filed an application with the KCC to request an increase to its retail revenues of approximately $196 million. Evergy Kansas Central's request reflected a return on equity of 10.5% (with a capital structure composed of 52% equity) and increases related to the recovery of infrastructure investments made to improve reliability and enhance customer service and the update of expenses to current levels of spend. An evidentiary hearing in the case is scheduled to occur in July 2025 and new rates are expected to be effective in September 2025.</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Missouri Legislation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April 2025, Missouri S.B. 4 was signed into law by the Governor of Missouri. Most notably, S.B. 4 establishes new mechanisms for Missouri electric utilities to recover the costs associated with the construction of new natural gas-fired generating units. The utilities will be able to include certain costs of CWIP in rate base. The inclusion of CWIP will be in lieu of AFUDC applicable to the construction of the new natural gas-fired generating units. The MPSC will determine the amount of CWIP that may be included in rate base. Additionally, amounts collected arising from the inclusion of CWIP in rate base are subject to refund under certain circumstances. These provisions are scheduled to expire at the end of 2035.</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Additionally, the law extends Missouri's existing PISA provisions to include certain natural gas-fired generating units as qualifying electric plant and extends the sunset date of these provisions through the end of 2035. These provisions allow electric utilities to defer to a regulatory asset for recovery in a subsequent general rate case 85% of depreciation expense and the associated return on investment for qualifying electric plant rate base additions for assets placed in-service between general rate cases.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Kansas Legislation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April 2025, Kansas H.B. 2107 was signed into law by the Governor of Kansas. Most notably, H.B. 2107 establishes a two-year statute of limitations for wildfire-related claims against a Kansas electric public utility and a $5.0 million limit for punitive damages awarded under a fire claim. The law also requires the plaintiff to establish the burden of proof for fire claims by a preponderance of evidence.</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Natural Gas Plant Investments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Evergy Companies use a triennial IRP, a detailed analysis that estimates factors that influence the future supply and demand for electricity, to inform the manner in which they supply electricity. The most recent IRPs incorporate the latest SPP resource adequacy requirements and anticipated load growth. Based on these and other factors, the IRP indicated the addition of new supply side resources, including combined and simple cycle natural gas plants, would be needed.</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October 2024, Evergy announced its plan to construct two combined-cycle natural gas plants located in Kansas. Evergy Kansas Central and Evergy Missouri West will jointly-own each plant and expect each plant to have an initial generating capacity of approximately 705 MW. The first plant is expected to begin operations by summer of 2029 and the second plant is expected to begin operations by summer of 2030.</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Additionally, Evergy Missouri West plans to construct a 440 MW simple-cycle natural gas plant located in Missouri. The plant is expected to begin operations in 2030.</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2024, Evergy Kansas Central and Evergy Missouri West requested predetermination from the KCC and a CCN from the MPSC, respectively, for their planned natural gas investments. In April 2025, Evergy Kansas Central and intervenors in the case reached a non-unanimous partial settlement agreement regarding its investments in its planned natural gas plants. See "Applications for Predetermination" and "Requests for Certificate of Convenience and Necessity" in Note 4 to the consolidated financial statements for information regarding Evergy Kansas Central's and Evergy Missouri West's applications for predetermination and CCN for their investments in these natural gas plants.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Renewable Plant Investments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 intends to construct and own an approximately 159 MW solar generation facility to be located in Kansas and called Kansas Sky. The solar generation facility is expected to begin operations by summer of 2027. The construction of Kansas Sky is subject to the granting by the KCC of predetermination with reasonably acceptable terms and other closing conditions. In April 2025, Evergy Kansas Central and intervenors in the case reached a unanimous partial settlement agreement regarding the Kansas Sky solar investment. See "Applications for Predetermination" in Note 4 to the consolidated financial statements for additional information regarding Evergy Kansas Central's application for predetermination for its investment in this renewable generating plant.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2024, Evergy Missouri West entered into agreements to own two solar generation facilities currently under development. The first facility, to be called Sunflower Sky, is a solar generation facility to be located in Kansas with an expected generating capacity of approximately 65 MW. The second facility, to be called Foxtrot, is a solar generation facility to be located in Missouri with an expected generating capacity of approximately 100 MW. The solar generation facilities are expected to begin operations by summer of 2027. The agreements are subject to regulatory approvals and closing conditions, including the granting by the MPSC of a CCN with reasonably acceptable terms. See "Requests for Certificate of Convenience and Necessity" in Note 4 to the consolidated financial statements for information regarding Evergy Missouri West's application for a CCN for its investment in this renewable generating plant.</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Regulatory Proceedings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See Note 4 to the consolidated financial statements for information regarding other regulatory proceedings.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Wolf Creek Refueling Outage and Fuel Supply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Wolf Creek's most recent refueling outage began in March 2024 and the unit returned to service in May 2024. Wolf Creek's next refueling outage is planned to begin in the fourth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Earnings Overview</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Evergy's net income and diluted EPS.</w:t>
      </w:r>
    </w:p>
    <w:tbl>
      <w:tblPr>
        <w:tblW w:w="7245" w:type="dxa"/>
        <w:jc w:val="center"/>
        <w:tblInd w:w="0" w:type="dxa"/>
        <w:tblLayout w:type="fixed"/>
        <w:tblCellMar>
          <w:top w:w="28" w:type="dxa"/>
          <w:left w:w="28" w:type="dxa"/>
          <w:bottom w:w="28" w:type="dxa"/>
          <w:right w:w="28" w:type="dxa"/>
        </w:tblCellMar>
      </w:tblPr>
      <w:tblGrid>
        <w:gridCol w:w="1184"/>
        <w:gridCol w:w="1040"/>
        <w:gridCol w:w="1045"/>
        <w:gridCol w:w="109"/>
        <w:gridCol w:w="109"/>
        <w:gridCol w:w="109"/>
        <w:gridCol w:w="109"/>
        <w:gridCol w:w="109"/>
        <w:gridCol w:w="109"/>
        <w:gridCol w:w="211"/>
        <w:gridCol w:w="616"/>
        <w:gridCol w:w="109"/>
        <w:gridCol w:w="109"/>
        <w:gridCol w:w="109"/>
        <w:gridCol w:w="109"/>
        <w:gridCol w:w="218"/>
        <w:gridCol w:w="419"/>
        <w:gridCol w:w="114"/>
        <w:gridCol w:w="109"/>
        <w:gridCol w:w="109"/>
        <w:gridCol w:w="109"/>
        <w:gridCol w:w="211"/>
        <w:gridCol w:w="61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8" w:type="dxa"/>
            <w:gridSpan w:val="19"/>
            <w:tcBorders/>
          </w:tcPr>
          <w:p>
            <w:pPr>
              <w:pStyle w:val="TableContents"/>
              <w:bidi w:val="0"/>
              <w:spacing w:before="0" w:after="283"/>
              <w:jc w:val="left"/>
              <w:rPr>
                <w:sz w:val="4"/>
                <w:szCs w:val="4"/>
              </w:rPr>
            </w:pPr>
            <w:r>
              <w:rPr>
                <w:sz w:val="4"/>
                <w:szCs w:val="4"/>
              </w:rPr>
            </w:r>
          </w:p>
        </w:tc>
      </w:tr>
      <w:tr>
        <w:trPr/>
        <w:tc>
          <w:tcPr>
            <w:tcW w:w="32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 except per share amounts)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Evergy,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1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Evergy, Inc. increased for the three months ended March 31, 2025, compared to the same period in 2024, primarily due to new Evergy Missouri West retail rates effective in January 2025, higher transmission revenues and retail sales driven by favorable weather; partially offset by higher interest and depreciation expense and lower investment earnings.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Diluted EPS increased for the three months ended March 31, 2025, compared to the same period in 2024, primarily due to the increase in net income attributable to Evergy, Inc. discussed above.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additional information regarding the change in net income, refer to the Evergy Results of Operations section within this MD&amp;A.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Non-GAAP Measures</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Evergy Utility Gross Margin (non-GAAP)</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Utility gross margin (non-GAAP) is intended to aid an investor's overall understanding of results. Management believes that utility gross margin (non-GAAP) provides a meaningful basis for evaluating the Evergy Companies' operations across periods because utility gross margin (non-GAAP) excludes the revenue effect of fluctuations in fuel and purchased power costs and SPP network transmission costs.  Utility gross margin (non-GAAP) is used internally to measure performance against budget and in reports for management and the Evergy Board.  Utility gross margin (non-GAAP) should be viewed as a supplement to, and not a substitute for, gross margin, which is the most directly comparable financial measure prepared in accordance with GAAP. Gross margin under GAAP is defined as the excess of sales over cost of goods sold.</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Adjusted Earnings (non-GAAP) and Adjusted EPS (non-GAAP)</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Management believes that adjusted earnings (non-GAAP) and adjusted EPS (non-GAAP) are representative measures of Evergy's recurring earnings, assists in the comparability of results and is consistent with how management reviews performance.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Evergy's adjusted earnings (non-GAAP) and adjusted EPS (non-GAAP) for the three months ended March 31, 2025 were $125.0 million or $0.54 per share. For the three months ended March 31, 2024, Evergy's adjusted earnings (non-GAAP) and adjusted EPS (non-GAAP) were $124.7 million or $0.54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to net income attributable to Evergy, Inc. and diluted EPS, Evergy's management uses adjusted earnings (non-GAAP) and adjusted EPS (non-GAAP) to evaluate earnings and EPS without the mark-to-market impacts of economic hedges related to Evergy Kansas Central's 8% ownership share of JEC.</w:t>
      </w:r>
    </w:p>
    <w:p>
      <w:pPr>
        <w:pStyle w:val="TextBody"/>
        <w:bidi w:val="0"/>
        <w:spacing w:lineRule="auto" w:line="288" w:before="0" w:after="240"/>
        <w:jc w:val="left"/>
        <w:rPr/>
      </w:pPr>
      <w:r>
        <w:rPr>
          <w:rFonts w:ascii="Times New Roman;sans-serif" w:hAnsi="Times New Roman;sans-serif"/>
          <w:b w:val="false"/>
          <w:color w:val="000000"/>
          <w:sz w:val="22"/>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w:t>
      </w:r>
      <w:r>
        <w:rPr>
          <w:rFonts w:ascii="Times New Roman;sans-serif" w:hAnsi="Times New Roman;sans-serif"/>
          <w:b w:val="false"/>
          <w:color w:val="000000"/>
          <w:sz w:val="22"/>
          <w:shd w:fill="FFFFFF" w:val="clear"/>
        </w:rPr>
        <w:t xml:space="preserve">ormance or that can create period to period earnings volatility. </w:t>
      </w:r>
    </w:p>
    <w:p>
      <w:pPr>
        <w:pStyle w:val="TextBody"/>
        <w:bidi w:val="0"/>
        <w:spacing w:lineRule="auto" w:line="288" w:before="0" w:after="240"/>
        <w:jc w:val="left"/>
        <w:rPr/>
      </w:pPr>
      <w:r>
        <w:rPr>
          <w:rFonts w:ascii="Times New Roman;sans-serif" w:hAnsi="Times New Roman;sans-serif"/>
          <w:b w:val="false"/>
          <w:color w:val="000000"/>
          <w:sz w:val="22"/>
          <w:shd w:fill="FFFFFF" w:val="clear"/>
        </w:rPr>
        <w:t>Ad</w:t>
      </w:r>
      <w:r>
        <w:rPr>
          <w:rFonts w:ascii="Times New Roman;sans-serif" w:hAnsi="Times New Roman;sans-serif"/>
          <w:b w:val="false"/>
          <w:color w:val="000000"/>
          <w:sz w:val="22"/>
        </w:rPr>
        <w:t xml:space="preserve">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reconciliation between net income attributable to Evergy, Inc. and diluted EPS as determined in accordance with GAAP and adjusted earnings (non-GAAP) and adjusted EPS (non-GAAP), respectively.</w:t>
      </w:r>
    </w:p>
    <w:tbl>
      <w:tblPr>
        <w:tblW w:w="10205" w:type="dxa"/>
        <w:jc w:val="left"/>
        <w:tblInd w:w="0" w:type="dxa"/>
        <w:tblLayout w:type="fixed"/>
        <w:tblCellMar>
          <w:top w:w="28" w:type="dxa"/>
          <w:left w:w="28" w:type="dxa"/>
          <w:bottom w:w="28" w:type="dxa"/>
          <w:right w:w="28" w:type="dxa"/>
        </w:tblCellMar>
      </w:tblPr>
      <w:tblGrid>
        <w:gridCol w:w="1319"/>
        <w:gridCol w:w="863"/>
        <w:gridCol w:w="868"/>
        <w:gridCol w:w="265"/>
        <w:gridCol w:w="775"/>
        <w:gridCol w:w="136"/>
        <w:gridCol w:w="109"/>
        <w:gridCol w:w="109"/>
        <w:gridCol w:w="109"/>
        <w:gridCol w:w="476"/>
        <w:gridCol w:w="1158"/>
        <w:gridCol w:w="250"/>
        <w:gridCol w:w="109"/>
        <w:gridCol w:w="109"/>
        <w:gridCol w:w="109"/>
        <w:gridCol w:w="265"/>
        <w:gridCol w:w="775"/>
        <w:gridCol w:w="136"/>
        <w:gridCol w:w="109"/>
        <w:gridCol w:w="109"/>
        <w:gridCol w:w="109"/>
        <w:gridCol w:w="464"/>
        <w:gridCol w:w="1126"/>
        <w:gridCol w:w="348"/>
      </w:tblGrid>
      <w:tr>
        <w:trPr/>
        <w:tc>
          <w:tcPr>
            <w:tcW w:w="131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Earnings (Loss)</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Earnings (Loss) per Diluted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Earnings (Loss)</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Earnings (Loss) per Diluted Share</w:t>
            </w:r>
          </w:p>
        </w:tc>
      </w:tr>
      <w:tr>
        <w:trPr/>
        <w:tc>
          <w:tcPr>
            <w:tcW w:w="3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38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 except per share amounts)</w:t>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Evergy, Inc.</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reconciling items: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Mark-to-market impact of JEC economic hedges, pre-tax</w:t>
            </w:r>
            <w:r>
              <w:rPr>
                <w:rFonts w:ascii="Times New Roman;sans-serif" w:hAnsi="Times New Roman;sans-serif"/>
                <w:b w:val="false"/>
                <w:color w:val="000000"/>
                <w:sz w:val="13"/>
              </w:rPr>
              <w:t>(a)</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Income tax benefit</w:t>
            </w:r>
            <w:r>
              <w:rPr>
                <w:rFonts w:ascii="Times New Roman;sans-serif" w:hAnsi="Times New Roman;sans-serif"/>
                <w:b w:val="false"/>
                <w:color w:val="000000"/>
                <w:sz w:val="13"/>
              </w:rPr>
              <w:t>(b)</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 (non-GAAP)</w:t>
            </w:r>
          </w:p>
        </w:tc>
        <w:tc>
          <w:tcPr>
            <w:tcW w:w="26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2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34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2"/>
        </w:rPr>
        <w:t>(a)</w:t>
      </w:r>
      <w:r>
        <w:rPr>
          <w:rFonts w:ascii="Times New Roman;sans-serif" w:hAnsi="Times New Roman;sans-serif"/>
          <w:b w:val="false"/>
          <w:color w:val="000000"/>
          <w:sz w:val="18"/>
        </w:rPr>
        <w:t>Reflects mark-to-market gains or losses related to forward contracts for natural gas and electricity entered into as economic hedges against fuel price volatility related to Evergy Kansas Central's 8% ownership share of JEC that are included in operating revenues on the consolidated statements of comprehensive income.</w:t>
      </w:r>
    </w:p>
    <w:p>
      <w:pPr>
        <w:pStyle w:val="TextBody"/>
        <w:bidi w:val="0"/>
        <w:spacing w:lineRule="auto" w:line="288" w:before="0" w:after="240"/>
        <w:ind w:left="0" w:right="0" w:hanging="180"/>
        <w:jc w:val="left"/>
        <w:rPr/>
      </w:pPr>
      <w:r>
        <w:rPr>
          <w:rFonts w:ascii="Times New Roman;sans-serif" w:hAnsi="Times New Roman;sans-serif"/>
          <w:b w:val="false"/>
          <w:color w:val="000000"/>
          <w:sz w:val="12"/>
        </w:rPr>
        <w:t>(b)</w:t>
      </w:r>
      <w:r>
        <w:rPr>
          <w:rFonts w:ascii="Times New Roman;sans-serif" w:hAnsi="Times New Roman;sans-serif"/>
          <w:b w:val="false"/>
          <w:color w:val="000000"/>
          <w:sz w:val="18"/>
        </w:rPr>
        <w:t>Reflects an income tax effect calculated at a statutory rate of approximately 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ENVIRONMENTAL MATTERS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See Note 10 to the consolidated financial statements for information regarding environmental matters.</w:t>
      </w:r>
    </w:p>
    <w:p>
      <w:pPr>
        <w:pStyle w:val="TextBody"/>
        <w:bidi w:val="0"/>
        <w:spacing w:lineRule="auto" w:line="288" w:before="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RELATED PARTY TRANSACTIONS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See Note 11 to the consolidated financial statements for information regarding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pPr>
      <w:r>
        <w:rPr>
          <w:rFonts w:ascii="Times New Roman;sans-serif" w:hAnsi="Times New Roman;sans-serif"/>
          <w:b/>
          <w:color w:val="000000"/>
          <w:sz w:val="22"/>
          <w:u w:val="single"/>
        </w:rPr>
        <w:t>EVERGY RESULTS OF OPERATIONS</w:t>
      </w:r>
      <w:r>
        <w:rPr>
          <w:color w:val="000000"/>
        </w:rPr>
        <w:t> </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Evergy's comparative results of operations.</w:t>
      </w:r>
    </w:p>
    <w:tbl>
      <w:tblPr>
        <w:tblW w:w="10093" w:type="dxa"/>
        <w:jc w:val="left"/>
        <w:tblInd w:w="0" w:type="dxa"/>
        <w:tblLayout w:type="fixed"/>
        <w:tblCellMar>
          <w:top w:w="28" w:type="dxa"/>
          <w:left w:w="28" w:type="dxa"/>
          <w:bottom w:w="28" w:type="dxa"/>
          <w:right w:w="28" w:type="dxa"/>
        </w:tblCellMar>
      </w:tblPr>
      <w:tblGrid>
        <w:gridCol w:w="1999"/>
        <w:gridCol w:w="1756"/>
        <w:gridCol w:w="1764"/>
        <w:gridCol w:w="109"/>
        <w:gridCol w:w="109"/>
        <w:gridCol w:w="109"/>
        <w:gridCol w:w="109"/>
        <w:gridCol w:w="109"/>
        <w:gridCol w:w="109"/>
        <w:gridCol w:w="109"/>
        <w:gridCol w:w="109"/>
        <w:gridCol w:w="211"/>
        <w:gridCol w:w="766"/>
        <w:gridCol w:w="109"/>
        <w:gridCol w:w="109"/>
        <w:gridCol w:w="109"/>
        <w:gridCol w:w="109"/>
        <w:gridCol w:w="211"/>
        <w:gridCol w:w="511"/>
        <w:gridCol w:w="109"/>
        <w:gridCol w:w="109"/>
        <w:gridCol w:w="109"/>
        <w:gridCol w:w="109"/>
        <w:gridCol w:w="211"/>
        <w:gridCol w:w="766"/>
        <w:gridCol w:w="154"/>
      </w:tblGrid>
      <w:tr>
        <w:trPr/>
        <w:tc>
          <w:tcPr>
            <w:tcW w:w="199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7" w:type="dxa"/>
            <w:gridSpan w:val="20"/>
            <w:tcBorders/>
          </w:tcPr>
          <w:p>
            <w:pPr>
              <w:pStyle w:val="TableContents"/>
              <w:bidi w:val="0"/>
              <w:spacing w:before="0" w:after="283"/>
              <w:jc w:val="left"/>
              <w:rPr>
                <w:sz w:val="4"/>
                <w:szCs w:val="4"/>
              </w:rPr>
            </w:pPr>
            <w:r>
              <w:rPr>
                <w:sz w:val="4"/>
                <w:szCs w:val="4"/>
              </w:rPr>
            </w:r>
          </w:p>
        </w:tc>
      </w:tr>
      <w:tr>
        <w:trPr/>
        <w:tc>
          <w:tcPr>
            <w:tcW w:w="55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and purchased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SPP network transmission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equity method investees,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Evergy,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Gross Margin (GAAP) and Utility Gross Margin (non-GAAP)</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Evergy's gross margin (GAAP) and MWhs sold and reconcile Evergy's gross margin (GAAP) to Evergy's utility gross margin (non-GAAP). See "Executive Summary - Non-GAAP Measures", above for additional information regarding gross margin (GAAP) and utility gross margin (non-GAAP).</w:t>
      </w:r>
    </w:p>
    <w:tbl>
      <w:tblPr>
        <w:tblW w:w="10205" w:type="dxa"/>
        <w:jc w:val="left"/>
        <w:tblInd w:w="0" w:type="dxa"/>
        <w:tblLayout w:type="fixed"/>
        <w:tblCellMar>
          <w:top w:w="28" w:type="dxa"/>
          <w:left w:w="28" w:type="dxa"/>
          <w:bottom w:w="28" w:type="dxa"/>
          <w:right w:w="28" w:type="dxa"/>
        </w:tblCellMar>
      </w:tblPr>
      <w:tblGrid>
        <w:gridCol w:w="944"/>
        <w:gridCol w:w="459"/>
        <w:gridCol w:w="461"/>
        <w:gridCol w:w="251"/>
        <w:gridCol w:w="752"/>
        <w:gridCol w:w="129"/>
        <w:gridCol w:w="129"/>
        <w:gridCol w:w="129"/>
        <w:gridCol w:w="129"/>
        <w:gridCol w:w="251"/>
        <w:gridCol w:w="626"/>
        <w:gridCol w:w="129"/>
        <w:gridCol w:w="129"/>
        <w:gridCol w:w="129"/>
        <w:gridCol w:w="129"/>
        <w:gridCol w:w="251"/>
        <w:gridCol w:w="752"/>
        <w:gridCol w:w="129"/>
        <w:gridCol w:w="129"/>
        <w:gridCol w:w="129"/>
        <w:gridCol w:w="129"/>
        <w:gridCol w:w="429"/>
        <w:gridCol w:w="430"/>
        <w:gridCol w:w="209"/>
        <w:gridCol w:w="129"/>
        <w:gridCol w:w="129"/>
        <w:gridCol w:w="129"/>
        <w:gridCol w:w="303"/>
        <w:gridCol w:w="303"/>
        <w:gridCol w:w="299"/>
        <w:gridCol w:w="129"/>
        <w:gridCol w:w="129"/>
        <w:gridCol w:w="129"/>
        <w:gridCol w:w="429"/>
        <w:gridCol w:w="430"/>
        <w:gridCol w:w="304"/>
      </w:tblGrid>
      <w:tr>
        <w:trPr/>
        <w:tc>
          <w:tcPr>
            <w:tcW w:w="94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8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4"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Revenues and Expenses</w:t>
            </w:r>
          </w:p>
        </w:tc>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MWhs Sold</w:t>
            </w:r>
          </w:p>
        </w:tc>
      </w:tr>
      <w:tr>
        <w:trPr/>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revenues</w:t>
            </w:r>
          </w:p>
        </w:tc>
        <w:tc>
          <w:tcPr>
            <w:tcW w:w="40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(thousands)</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retail revenues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electric retail</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10,106 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revenues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revenues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and purchased power</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SPP network transmission costs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and maintenance</w:t>
            </w:r>
            <w:r>
              <w:rPr>
                <w:rFonts w:ascii="Times New Roman;sans-serif" w:hAnsi="Times New Roman;sans-serif"/>
                <w:b w:val="false"/>
                <w:color w:val="000000"/>
                <w:sz w:val="13"/>
              </w:rPr>
              <w:t>(a)</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(GAAP)</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394.5</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355.8</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and maintenance</w:t>
            </w:r>
            <w:r>
              <w:rPr>
                <w:rFonts w:ascii="Times New Roman;sans-serif" w:hAnsi="Times New Roman;sans-serif"/>
                <w:b w:val="false"/>
                <w:color w:val="000000"/>
                <w:sz w:val="13"/>
              </w:rPr>
              <w:t>(a)</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Utility gross margin (non-GAAP)</w:t>
            </w:r>
          </w:p>
        </w:tc>
        <w:tc>
          <w:tcPr>
            <w:tcW w:w="2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922.8</w:t>
            </w:r>
            <w:r>
              <w:rPr>
                <w:color w:val="000000"/>
              </w:rPr>
              <w:t> </w:t>
            </w:r>
          </w:p>
        </w:tc>
        <w:tc>
          <w:tcPr>
            <w:tcW w:w="1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40.9</w:t>
            </w:r>
            <w:r>
              <w:rPr>
                <w:color w:val="000000"/>
              </w:rPr>
              <w:t> </w:t>
            </w:r>
          </w:p>
        </w:tc>
        <w:tc>
          <w:tcPr>
            <w:tcW w:w="1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881.9</w:t>
            </w:r>
            <w:r>
              <w:rPr>
                <w:color w:val="000000"/>
              </w:rPr>
              <w:t> </w:t>
            </w:r>
          </w:p>
        </w:tc>
        <w:tc>
          <w:tcPr>
            <w:tcW w:w="1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16" w:space="0" w:color="000000"/>
            </w:tcBorders>
            <w:tcMar>
              <w:top w:w="30" w:type="dxa"/>
              <w:left w:w="0" w:type="dxa"/>
              <w:bottom w:w="0" w:type="dxa"/>
              <w:right w:w="0" w:type="dxa"/>
            </w:tcMar>
            <w:vAlign w:val="center"/>
          </w:tcPr>
          <w:p>
            <w:pPr>
              <w:pStyle w:val="TableContents"/>
              <w:bidi w:val="0"/>
              <w:spacing w:lineRule="auto" w:line="240" w:before="0" w:after="40"/>
              <w:ind w:left="0" w:right="0" w:hanging="180"/>
              <w:jc w:val="left"/>
              <w:rPr/>
            </w:pPr>
            <w:r>
              <w:rPr>
                <w:rFonts w:ascii="Times New Roman;sans-serif" w:hAnsi="Times New Roman;sans-serif"/>
                <w:b w:val="false"/>
                <w:color w:val="000000"/>
                <w:sz w:val="12"/>
              </w:rPr>
              <w:t>(a)</w:t>
            </w:r>
            <w:r>
              <w:rPr>
                <w:color w:val="000000"/>
              </w:rPr>
              <w:t xml:space="preserve"> </w:t>
            </w:r>
            <w:r>
              <w:rPr>
                <w:rFonts w:ascii="Times New Roman;sans-serif" w:hAnsi="Times New Roman;sans-serif"/>
                <w:b w:val="false"/>
                <w:color w:val="000000"/>
                <w:sz w:val="18"/>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$102.9 million and $95.6 million for the three months ended March 31, 2025 and 2024, respectively.</w:t>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5816" w:type="dxa"/>
            <w:gridSpan w:val="24"/>
            <w:tcBorders/>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5816" w:type="dxa"/>
            <w:gridSpan w:val="24"/>
            <w:tcBorders/>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8341" w:type="dxa"/>
            <w:gridSpan w:val="3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Evergy's gross margin (GAAP) increased $38.7 million for the three months ended March 31, 2025, compared to the same period in 2024 and Evergy's utility gross margin (non-GAAP) increased $40.9 million for the three months ended March 31, 2025, compared to the same period in 2024, both measures were driven by: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$23.5 million increase from new Evergy Missouri West retail rates effective in January 2025;</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an $18.6 million increase in transmission revenue primarily due to updated transmission costs reflected in Evergy Kansas Central's FERC TFR effective in January 2025;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$3.7 million increase primarily due to higher retail sales driven by favorable weather (heating degree days increased by 18%), partially offset by lower demand and retail pricing; partially offset by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$4.9 million decrease related to Evergy Kansas Central's TDC rider.</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Additionally, the increase in Evergy's gross margin (GAAP) was also impacted by: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$12.0 million increase in depreciation and amortization as further described below;</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$6.8 million decrease in operating and maintenance expenses which are determined to be directly attributable to revenue producing activities primarily driven by a $4.3 million decrease in operating and maintenance expense at generating facilities and a $2.5 million decrease in transmission and distribution operating and maintenance expenses;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a $3.0 million decrease in taxes other than income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Depreciation and Amortization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Evergy's depreciation and amortization expense increased $12.0 million for the three months ended March 31, 2025, compared to the same period in 2024, primarily due to capital additions.</w:t>
      </w:r>
    </w:p>
    <w:p>
      <w:pPr>
        <w:pStyle w:val="TextBody"/>
        <w:bidi w:val="0"/>
        <w:spacing w:lineRule="auto" w:line="288" w:before="0" w:after="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Other Income (Expense), Net</w:t>
      </w:r>
    </w:p>
    <w:p>
      <w:pPr>
        <w:pStyle w:val="TextBody"/>
        <w:bidi w:val="0"/>
        <w:spacing w:lineRule="auto" w:line="288" w:before="0" w:after="120"/>
        <w:jc w:val="left"/>
        <w:rPr/>
      </w:pPr>
      <w:r>
        <w:rPr>
          <w:rFonts w:ascii="Times New Roman;sans-serif" w:hAnsi="Times New Roman;sans-serif"/>
          <w:b w:val="false"/>
          <w:color w:val="000000"/>
          <w:sz w:val="22"/>
          <w:shd w:fill="FFFFFF" w:val="clear"/>
        </w:rPr>
        <w:t>Ever</w:t>
      </w:r>
      <w:r>
        <w:rPr>
          <w:rFonts w:ascii="Times New Roman;sans-serif" w:hAnsi="Times New Roman;sans-serif"/>
          <w:b w:val="false"/>
          <w:color w:val="000000"/>
          <w:sz w:val="22"/>
        </w:rPr>
        <w:t>gy's other income, net for the three months ended March 31, 2024 became other expense, net for the three months ended March 31, 2025 as a result of a $7.3 million increase in net other expense items, primarily driven by: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$5.2 million decrease due to recording lower Evergy Kansas Central corporate-owned life insurance (COLI) benefits in 2025;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a $3.2 million decrease in investment earnings primarily driven by a $3.9 million decrease due to unrealized losses from various equity investments.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Interest Expense</w:t>
      </w:r>
    </w:p>
    <w:p>
      <w:pPr>
        <w:pStyle w:val="TextBody"/>
        <w:bidi w:val="0"/>
        <w:spacing w:lineRule="auto" w:line="288" w:before="0" w:after="120"/>
        <w:jc w:val="left"/>
        <w:rPr/>
      </w:pPr>
      <w:r>
        <w:rPr>
          <w:rFonts w:ascii="Times New Roman;sans-serif" w:hAnsi="Times New Roman;sans-serif"/>
          <w:b w:val="false"/>
          <w:color w:val="000000"/>
          <w:sz w:val="22"/>
          <w:shd w:fill="FFFFFF" w:val="clear"/>
        </w:rPr>
        <w:t xml:space="preserve">Evergy's interest expense increased $19.3 million </w:t>
      </w:r>
      <w:r>
        <w:rPr>
          <w:rFonts w:ascii="Times New Roman;sans-serif" w:hAnsi="Times New Roman;sans-serif"/>
          <w:b w:val="false"/>
          <w:color w:val="000000"/>
          <w:sz w:val="22"/>
        </w:rPr>
        <w:t xml:space="preserve">for the three months ended </w:t>
      </w:r>
      <w:r>
        <w:rPr>
          <w:rFonts w:ascii="Times New Roman;sans-serif" w:hAnsi="Times New Roman;sans-serif"/>
          <w:b w:val="false"/>
          <w:color w:val="000000"/>
          <w:sz w:val="22"/>
          <w:shd w:fill="FFFFFF" w:val="clear"/>
        </w:rPr>
        <w:t xml:space="preserve">March 31, 2025, compared to </w:t>
      </w:r>
      <w:r>
        <w:rPr>
          <w:rFonts w:ascii="Times New Roman;sans-serif" w:hAnsi="Times New Roman;sans-serif"/>
          <w:b w:val="false"/>
          <w:color w:val="000000"/>
          <w:sz w:val="22"/>
        </w:rPr>
        <w:t>the same period in 2024, primarily driven by: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$20.4 million increase due to issuances of long-term debt;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$3.9 million increase due to lower debt AFUDC primarily due to lower short-term debt balances in 2025; partially offset by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a $4.9 million decrease due to the repayment of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LIQUIDITY AND CAPITAL RESOURCES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Evergy relies primarily upon cash from operations, short-term borrowings, long-term debt and equity and equity-like issuances and its existing cash and cash equivalents to fund its capital requirements. Evergy's capital requirements primarily consist of capital expenditures, payment of contractual obligations and other commitments, and the payment of dividends to shareholders. In addition, tax legislation and regulation could result in significant impacts to cash flow. Evergy expects cash flows to be sufficient to meet existing short-term capital requirements. See the Evergy Companies' combined 2024 Form 10-K for more information on Evergy's sources and uses of cash.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Short-Term Borrowings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of March 31, 2025, Evergy had $1,502.7 million of available borrowing capacity under its master credit facility. The available borrowing capacity under the master credit facility consisted of $112.0 million for Evergy, Inc., $755.5 million for Evergy Kansas Central, $346.2 million for Evergy Metro and $289.0 million for Evergy Missouri West. The Evergy Companies' borrowing capacity under the master credit facility also supports their issuance of commercial paper. See Note 6 to the consolidated financial statements for more information regarding the master credit facility.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Along with cash flows from operations and receivable sales facilities, Evergy generally uses borrowings under its master credit facility and the issuance of commercial paper to meet its day-to-day cash flow requirements. Evergy may also utilize these short-term borrowings to repay maturing long-term debt until the long-term debt is able to be refinanced.</w:t>
      </w:r>
    </w:p>
    <w:p>
      <w:pPr>
        <w:pStyle w:val="TextBody"/>
        <w:bidi w:val="0"/>
        <w:spacing w:lineRule="auto" w:line="288" w:before="0" w:after="0"/>
        <w:ind w:left="0" w:right="0" w:hanging="720"/>
        <w:jc w:val="left"/>
        <w:rPr>
          <w:rFonts w:ascii="Times New Roman;sans-serif" w:hAnsi="Times New Roman;sans-serif"/>
          <w:b/>
          <w:color w:val="000000"/>
          <w:sz w:val="22"/>
        </w:rPr>
      </w:pPr>
      <w:r>
        <w:rPr>
          <w:rFonts w:ascii="Times New Roman;sans-serif" w:hAnsi="Times New Roman;sans-serif"/>
          <w:b/>
          <w:color w:val="000000"/>
          <w:sz w:val="22"/>
        </w:rPr>
        <w:t>Significant Debt Issuances</w:t>
      </w:r>
    </w:p>
    <w:p>
      <w:pPr>
        <w:pStyle w:val="TextBody"/>
        <w:bidi w:val="0"/>
        <w:spacing w:lineRule="auto" w:line="288" w:before="0" w:after="24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See Note 7 to the consolidated financial statements for information regarding significant debt issuances.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ind w:left="0" w:right="0" w:hanging="720"/>
        <w:jc w:val="left"/>
        <w:rPr>
          <w:rFonts w:ascii="Times New Roman;sans-serif" w:hAnsi="Times New Roman;sans-serif"/>
          <w:b/>
          <w:color w:val="000000"/>
          <w:sz w:val="22"/>
        </w:rPr>
      </w:pPr>
      <w:r>
        <w:rPr>
          <w:rFonts w:ascii="Times New Roman;sans-serif" w:hAnsi="Times New Roman;sans-serif"/>
          <w:b/>
          <w:color w:val="000000"/>
          <w:sz w:val="22"/>
        </w:rPr>
        <w:t>Credit Ratings</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In April 2025, Moody's Investor Service changed Evergy Missouri West's outlook from Negative to Stable and lowered credit ratings as detailed in the following table.</w:t>
      </w:r>
    </w:p>
    <w:tbl>
      <w:tblPr>
        <w:tblW w:w="4285" w:type="dxa"/>
        <w:jc w:val="left"/>
        <w:tblInd w:w="0" w:type="dxa"/>
        <w:tblLayout w:type="fixed"/>
        <w:tblCellMar>
          <w:top w:w="28" w:type="dxa"/>
          <w:left w:w="28" w:type="dxa"/>
          <w:bottom w:w="28" w:type="dxa"/>
          <w:right w:w="28" w:type="dxa"/>
        </w:tblCellMar>
      </w:tblPr>
      <w:tblGrid>
        <w:gridCol w:w="754"/>
        <w:gridCol w:w="663"/>
        <w:gridCol w:w="668"/>
        <w:gridCol w:w="191"/>
        <w:gridCol w:w="191"/>
        <w:gridCol w:w="191"/>
        <w:gridCol w:w="191"/>
        <w:gridCol w:w="191"/>
        <w:gridCol w:w="191"/>
        <w:gridCol w:w="191"/>
        <w:gridCol w:w="191"/>
        <w:gridCol w:w="191"/>
        <w:gridCol w:w="109"/>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Moody's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Investors Service</w:t>
            </w:r>
            <w:r>
              <w:rPr>
                <w:rFonts w:ascii="Times New Roman;sans-serif" w:hAnsi="Times New Roman;sans-serif"/>
                <w:b/>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Evergy Missouri West</w:t>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Credit Rating</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Baa3</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Secured Debt </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Baa1</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Paper </w:t>
            </w:r>
          </w:p>
        </w:tc>
        <w:tc>
          <w:tcPr>
            <w:tcW w:w="573"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P-3</w:t>
            </w:r>
          </w:p>
        </w:tc>
        <w:tc>
          <w:tcPr>
            <w:tcW w:w="573"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pPr>
      <w:r>
        <w:rPr>
          <w:rFonts w:ascii="Times New Roman;sans-serif" w:hAnsi="Times New Roman;sans-serif"/>
          <w:b w:val="false"/>
          <w:color w:val="000000"/>
          <w:sz w:val="12"/>
        </w:rPr>
        <w:t>(a)</w:t>
      </w:r>
      <w:r>
        <w:rPr>
          <w:rFonts w:ascii="Times New Roman;sans-serif" w:hAnsi="Times New Roman;sans-serif"/>
          <w:b w:val="false"/>
          <w:color w:val="000000"/>
          <w:sz w:val="18"/>
        </w:rPr>
        <w:t>A securities rating is not a recommendation to buy, sell or hold securities and may be subject to revision or withdrawal at any time by the assigning rating agency.</w:t>
      </w:r>
    </w:p>
    <w:p>
      <w:pPr>
        <w:pStyle w:val="TextBody"/>
        <w:bidi w:val="0"/>
        <w:spacing w:lineRule="auto" w:line="288" w:before="0" w:after="0"/>
        <w:ind w:left="0" w:right="0" w:hanging="720"/>
        <w:jc w:val="left"/>
        <w:rPr>
          <w:rFonts w:ascii="Times New Roman;sans-serif" w:hAnsi="Times New Roman;sans-serif"/>
          <w:b/>
          <w:color w:val="000000"/>
          <w:sz w:val="22"/>
        </w:rPr>
      </w:pPr>
      <w:r>
        <w:rPr>
          <w:rFonts w:ascii="Times New Roman;sans-serif" w:hAnsi="Times New Roman;sans-serif"/>
          <w:b/>
          <w:color w:val="000000"/>
          <w:sz w:val="22"/>
        </w:rPr>
        <w:t>Pensions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See Note 5 to the consolidated financial statements for information regarding Evergy's pension and post-retirement plan contributions.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Debt Covenants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As of March 31, 2025, Evergy was in compliance with all debt covenants under the master credit facility and certain debt instruments that contain restrictions that require the maintenance of certain capitalization and leverage ratios. See Note 6 to the consolidated financial statements for more information.</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Cash Flows</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presents Evergy's cash flows from operating, investing and financing activities. </w:t>
      </w:r>
    </w:p>
    <w:tbl>
      <w:tblPr>
        <w:tblW w:w="5247" w:type="dxa"/>
        <w:jc w:val="center"/>
        <w:tblInd w:w="0" w:type="dxa"/>
        <w:tblLayout w:type="fixed"/>
        <w:tblCellMar>
          <w:top w:w="28" w:type="dxa"/>
          <w:left w:w="28" w:type="dxa"/>
          <w:bottom w:w="28" w:type="dxa"/>
          <w:right w:w="28" w:type="dxa"/>
        </w:tblCellMar>
      </w:tblPr>
      <w:tblGrid>
        <w:gridCol w:w="1206"/>
        <w:gridCol w:w="1059"/>
        <w:gridCol w:w="1065"/>
        <w:gridCol w:w="211"/>
        <w:gridCol w:w="616"/>
        <w:gridCol w:w="109"/>
        <w:gridCol w:w="211"/>
        <w:gridCol w:w="61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8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Cash Flows from Operating Activities</w:t>
      </w:r>
    </w:p>
    <w:p>
      <w:pPr>
        <w:pStyle w:val="TextBody"/>
        <w:bidi w:val="0"/>
        <w:spacing w:lineRule="auto" w:line="288" w:before="0" w:after="120"/>
        <w:jc w:val="left"/>
        <w:rPr/>
      </w:pPr>
      <w:r>
        <w:rPr>
          <w:rFonts w:ascii="Times New Roman;sans-serif" w:hAnsi="Times New Roman;sans-serif"/>
          <w:b w:val="false"/>
          <w:color w:val="000000"/>
          <w:sz w:val="22"/>
        </w:rPr>
        <w:t>Evergy's cash flows from operating activities increased $132.3 million for the three months ended March 31, 2025, compared to the same perio</w:t>
      </w:r>
      <w:r>
        <w:rPr>
          <w:rFonts w:ascii="Times New Roman;sans-serif" w:hAnsi="Times New Roman;sans-serif"/>
          <w:b w:val="false"/>
          <w:color w:val="000000"/>
          <w:sz w:val="22"/>
          <w:shd w:fill="FFFFFF" w:val="clear"/>
        </w:rPr>
        <w:t xml:space="preserve">d in 2024, primarily driven by an increase in cash receipts for retail electric sales in 2025 including higher retail rates at Evergy Missouri West and an increase in fuel recovery mechanism net collections, primarily at Evergy Kansas Central. </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Cash Flows used in Investing Activities</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Evergy's cash flows used in investing activities increased $15.7 million for the three months ended March 31, 2025, compared to the same period in 2024, primarily driven by:</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2"/>
          <w:shd w:fill="FFFFFF" w:val="clear"/>
        </w:rPr>
        <w:t>a $40.8 million decrease in proceeds from COLI investments, primarily from Evergy Kansas Central due to a lower number of policy settlements in 2025; partially offset by</w:t>
      </w:r>
    </w:p>
    <w:p>
      <w:pPr>
        <w:pStyle w:val="TextBody"/>
        <w:bidi w:val="0"/>
        <w:spacing w:lineRule="auto" w:line="288" w:before="0" w:after="240"/>
        <w:ind w:left="0" w:right="0" w:hanging="360"/>
        <w:jc w:val="left"/>
        <w:rPr/>
      </w:pPr>
      <w:r>
        <w:rPr>
          <w:color w:val="000000"/>
          <w:shd w:fill="FFFFFF" w:val="clear"/>
        </w:rPr>
        <w:t>•</w:t>
      </w:r>
      <w:r>
        <w:rPr>
          <w:rFonts w:ascii="Times New Roman;sans-serif" w:hAnsi="Times New Roman;sans-serif"/>
          <w:b w:val="false"/>
          <w:color w:val="000000"/>
          <w:sz w:val="22"/>
          <w:shd w:fill="FFFFFF" w:val="clear"/>
        </w:rPr>
        <w:t>a $25.8 million decrease in additions to property, plant and equipment, primarily due to higher spending in 2024 for a variety of capital projects including transmission and distribution projects related to grid resiliency and other infrastructure improvements.</w:t>
      </w:r>
    </w:p>
    <w:p>
      <w:pPr>
        <w:pStyle w:val="TextBody"/>
        <w:bidi w:val="0"/>
        <w:spacing w:lineRule="auto" w:line="256" w:before="0" w:after="0"/>
        <w:jc w:val="left"/>
        <w:rPr>
          <w:rFonts w:ascii="Times New Roman;sans-serif" w:hAnsi="Times New Roman;sans-serif"/>
          <w:b/>
          <w:i/>
          <w:color w:val="000000"/>
          <w:sz w:val="22"/>
        </w:rPr>
      </w:pPr>
      <w:r>
        <w:rPr>
          <w:rFonts w:ascii="Times New Roman;sans-serif" w:hAnsi="Times New Roman;sans-serif"/>
          <w:b/>
          <w:i/>
          <w:color w:val="000000"/>
          <w:sz w:val="22"/>
        </w:rPr>
        <w:t>Cash Flows from Financing Activities</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Evergy's cash flows from financing activities decreased $132.0 million for the three months ended March 31, 2025, compared to the same period in 2024, primarily driven by:</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2"/>
          <w:shd w:fill="FFFFFF" w:val="clear"/>
        </w:rPr>
        <w:t>a $403.7 million decrease in short-term borrowings primarily due to the repayment of commercial paper borrowings with proceeds from long-term debt issuances; partially offset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ind w:left="0" w:right="0" w:hanging="360"/>
        <w:jc w:val="left"/>
        <w:rPr/>
      </w:pPr>
      <w:r>
        <w:rPr>
          <w:color w:val="000000"/>
          <w:shd w:fill="FFFFFF" w:val="clear"/>
        </w:rPr>
        <w:t>•</w:t>
      </w:r>
      <w:r>
        <w:rPr>
          <w:rFonts w:ascii="Times New Roman;sans-serif" w:hAnsi="Times New Roman;sans-serif"/>
          <w:b w:val="false"/>
          <w:color w:val="000000"/>
          <w:sz w:val="22"/>
          <w:shd w:fill="FFFFFF" w:val="clear"/>
        </w:rPr>
        <w:t>a $268.1 million increase in proceeds from long-term debt, net, due to the issuance of $594.2 million of long-term debt for the three months ended March 31, 2025, compared to the issuance of $326.1 million of long-term debt in the same period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EVERGY KANSAS CENTRAL, INC.</w:t>
      </w:r>
    </w:p>
    <w:p>
      <w:pPr>
        <w:pStyle w:val="TextBody"/>
        <w:bidi w:val="0"/>
        <w:spacing w:lineRule="auto" w:line="288" w:before="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MANAGEMENT'S NARRATIVE ANALYSIS OF RESULTS OF OPERATIONS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below results of operations and related discussion for Evergy Kansas Central is presented in a reduced disclosure format in accordance with General Instruction (H)(2)(a) to Form 10-Q.</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Evergy Kansas Central's comparative results of operations. </w:t>
      </w:r>
    </w:p>
    <w:tbl>
      <w:tblPr>
        <w:tblW w:w="9357" w:type="dxa"/>
        <w:jc w:val="left"/>
        <w:tblInd w:w="0" w:type="dxa"/>
        <w:tblLayout w:type="fixed"/>
        <w:tblCellMar>
          <w:top w:w="28" w:type="dxa"/>
          <w:left w:w="28" w:type="dxa"/>
          <w:bottom w:w="28" w:type="dxa"/>
          <w:right w:w="28" w:type="dxa"/>
        </w:tblCellMar>
      </w:tblPr>
      <w:tblGrid>
        <w:gridCol w:w="1999"/>
        <w:gridCol w:w="1756"/>
        <w:gridCol w:w="1764"/>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154"/>
      </w:tblGrid>
      <w:tr>
        <w:trPr/>
        <w:tc>
          <w:tcPr>
            <w:tcW w:w="199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and purchased power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SPP network transmission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equity method investees, net of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Evergy Kansas Central, Inc.</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Evergy Kansas Central Gross Margin (GAAP) and Utility Gross Margin (non-GAAP)</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Evergy Kansas Central's gross margin (GAAP) and MWhs sold and reconciles Evergy Kansas Central's gross margin (GAAP) to Evergy Kansas Central's utility gross margin (non-GAAP). See "Executive Summary - Non-GAAP Measures" for additional information regarding gross margin (GAAP) and utility gross margin (non-GAAP).</w:t>
      </w:r>
    </w:p>
    <w:tbl>
      <w:tblPr>
        <w:tblW w:w="10205" w:type="dxa"/>
        <w:jc w:val="left"/>
        <w:tblInd w:w="0" w:type="dxa"/>
        <w:tblLayout w:type="fixed"/>
        <w:tblCellMar>
          <w:top w:w="28" w:type="dxa"/>
          <w:left w:w="28" w:type="dxa"/>
          <w:bottom w:w="28" w:type="dxa"/>
          <w:right w:w="28" w:type="dxa"/>
        </w:tblCellMar>
      </w:tblPr>
      <w:tblGrid>
        <w:gridCol w:w="985"/>
        <w:gridCol w:w="499"/>
        <w:gridCol w:w="501"/>
        <w:gridCol w:w="259"/>
        <w:gridCol w:w="774"/>
        <w:gridCol w:w="133"/>
        <w:gridCol w:w="133"/>
        <w:gridCol w:w="133"/>
        <w:gridCol w:w="133"/>
        <w:gridCol w:w="261"/>
        <w:gridCol w:w="523"/>
        <w:gridCol w:w="137"/>
        <w:gridCol w:w="133"/>
        <w:gridCol w:w="133"/>
        <w:gridCol w:w="133"/>
        <w:gridCol w:w="259"/>
        <w:gridCol w:w="774"/>
        <w:gridCol w:w="133"/>
        <w:gridCol w:w="133"/>
        <w:gridCol w:w="133"/>
        <w:gridCol w:w="133"/>
        <w:gridCol w:w="378"/>
        <w:gridCol w:w="378"/>
        <w:gridCol w:w="216"/>
        <w:gridCol w:w="133"/>
        <w:gridCol w:w="133"/>
        <w:gridCol w:w="133"/>
        <w:gridCol w:w="312"/>
        <w:gridCol w:w="312"/>
        <w:gridCol w:w="308"/>
        <w:gridCol w:w="133"/>
        <w:gridCol w:w="133"/>
        <w:gridCol w:w="133"/>
        <w:gridCol w:w="378"/>
        <w:gridCol w:w="378"/>
        <w:gridCol w:w="312"/>
      </w:tblGrid>
      <w:tr>
        <w:trPr/>
        <w:tc>
          <w:tcPr>
            <w:tcW w:w="98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0"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Revenues and Expenses</w:t>
            </w:r>
          </w:p>
        </w:tc>
        <w:tc>
          <w:tcPr>
            <w:tcW w:w="3770"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MWhs Sold</w:t>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revenues</w:t>
            </w:r>
          </w:p>
        </w:tc>
        <w:tc>
          <w:tcPr>
            <w:tcW w:w="40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(thousands)</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retail revenues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electric retail</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revenues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revenues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and purchased power</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SPP network transmission costs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and maintenance </w:t>
            </w:r>
            <w:r>
              <w:rPr>
                <w:rFonts w:ascii="Times New Roman;sans-serif" w:hAnsi="Times New Roman;sans-serif"/>
                <w:b w:val="false"/>
                <w:color w:val="000000"/>
                <w:sz w:val="13"/>
              </w:rPr>
              <w:t>(a)</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(GAAP)</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226.6</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213.9</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and maintenance </w:t>
            </w:r>
            <w:r>
              <w:rPr>
                <w:rFonts w:ascii="Times New Roman;sans-serif" w:hAnsi="Times New Roman;sans-serif"/>
                <w:b w:val="false"/>
                <w:color w:val="000000"/>
                <w:sz w:val="13"/>
              </w:rPr>
              <w:t>(a)</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Utility gross margin (non-GAAP)</w:t>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486.2</w:t>
            </w:r>
            <w:r>
              <w:rPr>
                <w:color w:val="000000"/>
              </w:rPr>
              <w:t> </w:t>
            </w:r>
          </w:p>
        </w:tc>
        <w:tc>
          <w:tcPr>
            <w:tcW w:w="13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w:t>
            </w:r>
            <w:r>
              <w:rPr>
                <w:color w:val="000000"/>
              </w:rPr>
              <w:t> </w:t>
            </w:r>
          </w:p>
        </w:tc>
        <w:tc>
          <w:tcPr>
            <w:tcW w:w="1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481.9</w:t>
            </w:r>
            <w:r>
              <w:rPr>
                <w:color w:val="000000"/>
              </w:rPr>
              <w:t> </w:t>
            </w:r>
          </w:p>
        </w:tc>
        <w:tc>
          <w:tcPr>
            <w:tcW w:w="13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2"/>
              </w:rPr>
              <w:t xml:space="preserve">(a) </w:t>
            </w:r>
            <w:r>
              <w:rPr>
                <w:rFonts w:ascii="Times New Roman;sans-serif" w:hAnsi="Times New Roman;sans-serif"/>
                <w:b w:val="false"/>
                <w:color w:val="000000"/>
                <w:sz w:val="18"/>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$52.8 million and $50.6 million for the three months ended March 31, 2025 and 2024, respectively.</w:t>
            </w:r>
          </w:p>
        </w:tc>
      </w:tr>
    </w:tbl>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Evergy Kansas Central's gross margin (GAAP) increased $12.7 million for the three months ended March 31, 2025, compared to the same period in 2024, and Evergy Kansas Central's utility gross margin (non-GAAP) increased $4.3 million for the three months ended March 31, 2025, compared to the same period in 2024, both measures were driven by: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$14.3 million increase in transmission revenue primarily due to updated transmission costs reflected in Evergy Kansas Central's FERC TFR effective in January 2025; partially offset by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$5.8 million decrease primarily due to lower retail sales driven by lower weather-normalized residential and industrial demand and retail pricing, partially offset by favorable weather (heating degree days increased 21%);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$4.2 million decrease related to Evergy Kansas Central's TDC rider.</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Additionally, the increase in Evergy Kansas Central's gross margin (GAAP) was also impacted by: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$3.0 million increase in depreciation and amortization;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$9.0 million decrease in operating and maintenance expenses which are determined to be directly attributable to revenue producing activities primarily due to a $5.3 million decrease in transmission and distribution operating and maintenance expense as described further below;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a $2.4 million decrease in taxes other than income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Evergy Kansas Central Operating and Maintenance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Central's operating and maintenance expense decreased $6.8 million for the three months ended March 31, 2025, compared to the same period in 2024, primarily driven by a $5.3 million decrease in transmission and distribution operating and maintenance expenses primarily due to a $4.9 million decrease in non-labor expense driven by net affiliate billings related to common use assets and lower contractor and storm costs.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Evergy Kansas Central Depreciation and Amortization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Central's depreciation and amortization expense increased $3.0 million for the three months ended March 31, 2025 compared to the same period in 2024, primarily due to capital additions.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Evergy Kansas Central Other Income Net</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Central's other income, net decreased $4.8 million for the three months ended March 31, 2024 compared to the same period in 2025, primarily driven by a $5.2 million decrease due to recording lower Evergy Kansas Central COLI benefits in 2025.</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Evergy Kansas Central Interest Expense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Central's interest expense increased $3.5 million for the three months ended March 31, 2025, compared to the same period in 2024, primarily driven by a $2.6 million increase in interest expense on short-term borrowings, including borrowings under the money pool, primarily due to higher short-term debt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center"/>
        <w:rPr>
          <w:rFonts w:ascii="Times New Roman;sans-serif" w:hAnsi="Times New Roman;sans-serif"/>
          <w:b/>
          <w:color w:val="000000"/>
          <w:sz w:val="22"/>
        </w:rPr>
      </w:pPr>
      <w:r>
        <w:rPr>
          <w:rFonts w:ascii="Times New Roman;sans-serif" w:hAnsi="Times New Roman;sans-serif"/>
          <w:b/>
          <w:color w:val="000000"/>
          <w:sz w:val="22"/>
        </w:rPr>
        <w:t>EVERGY METRO, INC.</w:t>
      </w:r>
    </w:p>
    <w:p>
      <w:pPr>
        <w:pStyle w:val="TextBody"/>
        <w:bidi w:val="0"/>
        <w:spacing w:lineRule="auto" w:line="288" w:before="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MANAGEMENT'S NARRATIVE ANALYSIS OF RESULTS OF OPERATIONS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below results of operations and related discussion for Evergy Metro is presented in a reduced disclosure format in accordance with General Instruction (H)(2)(a) to Form 10-Q.</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Evergy Metro's comparative results of operations. </w:t>
      </w:r>
    </w:p>
    <w:tbl>
      <w:tblPr>
        <w:tblW w:w="6081" w:type="dxa"/>
        <w:jc w:val="left"/>
        <w:tblInd w:w="0" w:type="dxa"/>
        <w:tblLayout w:type="fixed"/>
        <w:tblCellMar>
          <w:top w:w="28" w:type="dxa"/>
          <w:left w:w="28" w:type="dxa"/>
          <w:bottom w:w="28" w:type="dxa"/>
          <w:right w:w="28" w:type="dxa"/>
        </w:tblCellMar>
      </w:tblPr>
      <w:tblGrid>
        <w:gridCol w:w="999"/>
        <w:gridCol w:w="878"/>
        <w:gridCol w:w="882"/>
        <w:gridCol w:w="211"/>
        <w:gridCol w:w="616"/>
        <w:gridCol w:w="109"/>
        <w:gridCol w:w="109"/>
        <w:gridCol w:w="109"/>
        <w:gridCol w:w="109"/>
        <w:gridCol w:w="218"/>
        <w:gridCol w:w="419"/>
        <w:gridCol w:w="114"/>
        <w:gridCol w:w="109"/>
        <w:gridCol w:w="109"/>
        <w:gridCol w:w="109"/>
        <w:gridCol w:w="211"/>
        <w:gridCol w:w="616"/>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7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and purchased power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140" w:after="283"/>
        <w:jc w:val="left"/>
        <w:rPr>
          <w:rFonts w:ascii="Times New Roman;sans-serif" w:hAnsi="Times New Roman;sans-serif"/>
          <w:b/>
          <w:color w:val="000000"/>
          <w:sz w:val="22"/>
        </w:rPr>
      </w:pPr>
      <w:r>
        <w:rPr>
          <w:rFonts w:ascii="Times New Roman;sans-serif" w:hAnsi="Times New Roman;sans-serif"/>
          <w:b/>
          <w:color w:val="000000"/>
          <w:sz w:val="22"/>
        </w:rPr>
        <w:t>Evergy Metro Gross Margin (GAAP) and Utility Gross Margin (non-GAAP)</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Evergy Metro's gross margin (GAAP) and MWhs sold and reconciles Evergy Metro's gross margin (GAAP) to Evergy Metro's utility gross margin (non-GAAP). See "Executive Summary - Non-GAAP Measures" for additional information regarding gross margin (GAAP) and utility gross margin (non-GAAP).</w:t>
      </w:r>
    </w:p>
    <w:tbl>
      <w:tblPr>
        <w:tblW w:w="10205" w:type="dxa"/>
        <w:jc w:val="left"/>
        <w:tblInd w:w="0" w:type="dxa"/>
        <w:tblLayout w:type="fixed"/>
        <w:tblCellMar>
          <w:top w:w="28" w:type="dxa"/>
          <w:left w:w="28" w:type="dxa"/>
          <w:bottom w:w="28" w:type="dxa"/>
          <w:right w:w="28" w:type="dxa"/>
        </w:tblCellMar>
      </w:tblPr>
      <w:tblGrid>
        <w:gridCol w:w="976"/>
        <w:gridCol w:w="489"/>
        <w:gridCol w:w="491"/>
        <w:gridCol w:w="257"/>
        <w:gridCol w:w="769"/>
        <w:gridCol w:w="132"/>
        <w:gridCol w:w="132"/>
        <w:gridCol w:w="132"/>
        <w:gridCol w:w="132"/>
        <w:gridCol w:w="257"/>
        <w:gridCol w:w="623"/>
        <w:gridCol w:w="132"/>
        <w:gridCol w:w="132"/>
        <w:gridCol w:w="132"/>
        <w:gridCol w:w="132"/>
        <w:gridCol w:w="257"/>
        <w:gridCol w:w="769"/>
        <w:gridCol w:w="132"/>
        <w:gridCol w:w="132"/>
        <w:gridCol w:w="132"/>
        <w:gridCol w:w="132"/>
        <w:gridCol w:w="375"/>
        <w:gridCol w:w="375"/>
        <w:gridCol w:w="214"/>
        <w:gridCol w:w="132"/>
        <w:gridCol w:w="132"/>
        <w:gridCol w:w="132"/>
        <w:gridCol w:w="304"/>
        <w:gridCol w:w="304"/>
        <w:gridCol w:w="306"/>
        <w:gridCol w:w="132"/>
        <w:gridCol w:w="132"/>
        <w:gridCol w:w="132"/>
        <w:gridCol w:w="375"/>
        <w:gridCol w:w="375"/>
        <w:gridCol w:w="313"/>
      </w:tblGrid>
      <w:tr>
        <w:trPr/>
        <w:tc>
          <w:tcPr>
            <w:tcW w:w="97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9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0"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Revenues and Expenses</w:t>
            </w:r>
          </w:p>
        </w:tc>
        <w:tc>
          <w:tcPr>
            <w:tcW w:w="3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MWhs Sold</w:t>
            </w:r>
          </w:p>
        </w:tc>
      </w:tr>
      <w:tr>
        <w:trPr/>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revenues</w:t>
            </w:r>
          </w:p>
        </w:tc>
        <w:tc>
          <w:tcPr>
            <w:tcW w:w="41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(millions)</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(thousands)</w:t>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retail revenues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electric retail</w:t>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revenues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revenues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and purchased power</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and maintenance </w:t>
            </w:r>
            <w:r>
              <w:rPr>
                <w:rFonts w:ascii="Times New Roman;sans-serif" w:hAnsi="Times New Roman;sans-serif"/>
                <w:b w:val="false"/>
                <w:color w:val="000000"/>
                <w:sz w:val="13"/>
              </w:rPr>
              <w:t>(a)</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(GAAP)</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94.2</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and maintenance </w:t>
            </w:r>
            <w:r>
              <w:rPr>
                <w:rFonts w:ascii="Times New Roman;sans-serif" w:hAnsi="Times New Roman;sans-serif"/>
                <w:b w:val="false"/>
                <w:color w:val="000000"/>
                <w:sz w:val="13"/>
              </w:rPr>
              <w:t>(a)</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Taxes other than income tax </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Utility gross margin (non-GAAP)</w:t>
            </w:r>
          </w:p>
        </w:tc>
        <w:tc>
          <w:tcPr>
            <w:tcW w:w="2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289.9</w:t>
            </w:r>
            <w:r>
              <w:rPr>
                <w:color w:val="000000"/>
              </w:rPr>
              <w:t> </w:t>
            </w:r>
          </w:p>
        </w:tc>
        <w:tc>
          <w:tcPr>
            <w:tcW w:w="1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w:t>
            </w:r>
            <w:r>
              <w:rPr>
                <w:color w:val="000000"/>
              </w:rPr>
              <w:t> </w:t>
            </w:r>
          </w:p>
        </w:tc>
        <w:tc>
          <w:tcPr>
            <w:tcW w:w="1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284.3</w:t>
            </w:r>
            <w:r>
              <w:rPr>
                <w:color w:val="000000"/>
              </w:rPr>
              <w:t> </w:t>
            </w:r>
          </w:p>
        </w:tc>
        <w:tc>
          <w:tcPr>
            <w:tcW w:w="1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2"/>
              </w:rPr>
              <w:t xml:space="preserve">(a) </w:t>
            </w:r>
            <w:r>
              <w:rPr>
                <w:rFonts w:ascii="Times New Roman;sans-serif" w:hAnsi="Times New Roman;sans-serif"/>
                <w:b w:val="false"/>
                <w:color w:val="000000"/>
                <w:sz w:val="18"/>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$19.2 million and $15.6 million for the three months ended March 31, 2025 and 2024, respectively.</w:t>
            </w:r>
          </w:p>
        </w:tc>
      </w:tr>
    </w:tbl>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Evergy Metro's gross margin (GAAP) increased $3.9 million for the three months ended March 31, 2025, compared to the same period in 2024, and Evergy Metro's utility gross margin (non-GAAP) increased $5.6 million for the three months ended March 31, 2025, compared to the same period in 2024, both measures were driven by: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$5.6 million increase primarily due to higher retail sales driven by favorable weather (heating degree days increased by 16%), partially offset by lower weather-normalized demand.</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Additionally, the increase in Evergy Metro's gross margin (GAAP) was also impacted by: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$3.3 million increase in depreciation and amortization;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$1.0 million decrease in operating and maintenance expenses which are determined to be directly attributable to revenue producing activities primarily driven by a $1.8 million decrease in operating and maintenance expense at generating facilities;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a $0.6 million decrease in taxes other than income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ans-serif" w:hAnsi="Times New Roman;sans-serif"/>
          <w:b/>
          <w:color w:val="000000"/>
          <w:sz w:val="22"/>
        </w:rPr>
        <w:t>ITEM 3.  QUANTITATIVE AND QUALITATIVE DISCLOSURES ABOUT MARKET RISK</w:t>
      </w:r>
      <w:r>
        <w:rPr>
          <w:color w:val="000000"/>
        </w:rPr>
        <w: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the ordinary course of business, Evergy faces risks that are either non-financial or non-quantifiable. Such risks principally include business, legal, operational and credit risks and are discussed elsewhere in this report as well as in the Evergy Companies' combined 2024 Form 10-K and therefore are not represented 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2024 Form 10-K. Evergy's exposure to market risk has not changed materially since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EVERGY</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Disclosure Controls and Procedures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Evergy maintains a set of disclosure controls and procedures designed to provide reasonable assurance that information required to be disclosed by the Securities Exchange Act of 1934, as amended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bidi w:val="0"/>
        <w:spacing w:lineRule="auto" w:line="276"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has been no change in Evergy's internal control over financial reporting (as defined in Rules 13a-15(f) and 15d-15(f) of the Exchange Act) that occurred during the quarterly period ended March 31, 2025, that has materially affected, or is reasonably likely to materially affect, its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EVERGY KANSAS CENTRAL</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Disclosure Controls and Procedures</w:t>
      </w:r>
    </w:p>
    <w:p>
      <w:pPr>
        <w:pStyle w:val="TextBody"/>
        <w:bidi w:val="0"/>
        <w:spacing w:lineRule="auto" w:line="288" w:before="0" w:after="240"/>
        <w:jc w:val="left"/>
        <w:rPr/>
      </w:pPr>
      <w:r>
        <w:rPr>
          <w:rFonts w:ascii="Times New Roman;sans-serif" w:hAnsi="Times New Roman;sans-serif"/>
          <w:b w:val="false"/>
          <w:color w:val="000000"/>
          <w:sz w:val="22"/>
        </w:rPr>
        <w:t>Evergy Kansas Central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w:t>
      </w:r>
      <w:r>
        <w:rPr>
          <w:color w:val="000000"/>
        </w:rPr>
        <w:t xml:space="preserve"> </w:t>
      </w:r>
      <w:r>
        <w:rPr>
          <w:rFonts w:ascii="Times New Roman;sans-serif" w:hAnsi="Times New Roman;sans-serif"/>
          <w:b w:val="false"/>
          <w:color w:val="000000"/>
          <w:sz w:val="22"/>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bidi w:val="0"/>
        <w:spacing w:lineRule="auto" w:line="276"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has been no change in Evergy Kansas Central's internal control over financial reporting (as defined in Rules 13a-15(f) and 15d-15(f) of the Exchange Act) that occurred during the quarterly period ended March 31, 2025, that has materially affected, or is reasonably likely to materially affect, its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EVERGY METRO</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Disclosure Controls and Procedures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Evergy Metro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reasonable assurance that information required to be disclosed is accumulated and communicated to management, including to the chief executive officer and chief financial officer, allowing timely decisions regarding required disclosure. 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bidi w:val="0"/>
        <w:spacing w:lineRule="auto" w:line="276"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has been no change in Evergy Metro's internal control over financial reporting (as defined in Rules 13a-15(f) and 15d-15(f) of the Exchange Act) that occurred during the quarterly period ended March 31, 2025, that has materially affected, or is reasonably likely to materially affect, its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Other Proceedings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Evergy Companies are parties to various lawsuits and regulatory proceedings in the ordinary course of their respective businesses.  For information regarding material lawsuits and proceedings, see Notes 4 and 10 to the consolidated financial statements.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2024 Form 10-K for each of Evergy, Evergy Kansas Central and Evergy Metro, as well as Quarterly Reports on Form 10-Q and from time to time in Current Reports on Form 8-K filed by Evergy, Evergy Kansas Central and Evergy Metro. There have been no material changes with regard to those risk factors since the filing of the 2024 Form 10-K for each of Evergy, Evergy Kansas Central and Evergy Metro.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Purchases of Equity Securities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information regarding purchases by Evergy of its equity securities that are registered pursuant to Section 12 of the Exchange Act during the three months ended March 31, 2025.</w:t>
      </w:r>
    </w:p>
    <w:tbl>
      <w:tblPr>
        <w:tblW w:w="9732" w:type="dxa"/>
        <w:jc w:val="left"/>
        <w:tblInd w:w="0" w:type="dxa"/>
        <w:tblLayout w:type="fixed"/>
        <w:tblCellMar>
          <w:top w:w="28" w:type="dxa"/>
          <w:left w:w="28" w:type="dxa"/>
          <w:bottom w:w="28" w:type="dxa"/>
          <w:right w:w="28" w:type="dxa"/>
        </w:tblCellMar>
      </w:tblPr>
      <w:tblGrid>
        <w:gridCol w:w="489"/>
        <w:gridCol w:w="428"/>
        <w:gridCol w:w="433"/>
        <w:gridCol w:w="504"/>
        <w:gridCol w:w="504"/>
        <w:gridCol w:w="506"/>
        <w:gridCol w:w="120"/>
        <w:gridCol w:w="120"/>
        <w:gridCol w:w="120"/>
        <w:gridCol w:w="233"/>
        <w:gridCol w:w="681"/>
        <w:gridCol w:w="120"/>
        <w:gridCol w:w="120"/>
        <w:gridCol w:w="120"/>
        <w:gridCol w:w="120"/>
        <w:gridCol w:w="519"/>
        <w:gridCol w:w="519"/>
        <w:gridCol w:w="521"/>
        <w:gridCol w:w="1040"/>
        <w:gridCol w:w="1040"/>
        <w:gridCol w:w="1475"/>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r>
      <w:tr>
        <w:trPr/>
        <w:tc>
          <w:tcPr>
            <w:tcW w:w="9732"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tc>
      </w:tr>
      <w:tr>
        <w:trPr/>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Month</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 of</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 (or Units)</w:t>
            </w:r>
          </w:p>
          <w:p>
            <w:pPr>
              <w:pStyle w:val="TableContents"/>
              <w:bidi w:val="0"/>
              <w:spacing w:lineRule="auto" w:line="240" w:before="0" w:after="0"/>
              <w:jc w:val="center"/>
              <w:rPr/>
            </w:pPr>
            <w:r>
              <w:rPr>
                <w:rFonts w:ascii="Times New Roman;sans-serif" w:hAnsi="Times New Roman;sans-serif"/>
                <w:b/>
                <w:color w:val="000000"/>
                <w:sz w:val="20"/>
              </w:rPr>
              <w:t>Purchased</w:t>
            </w:r>
            <w:r>
              <w:rPr>
                <w:rFonts w:ascii="Times New Roman;sans-serif" w:hAnsi="Times New Roman;sans-serif"/>
                <w:b/>
                <w:color w:val="000000"/>
                <w:sz w:val="13"/>
              </w:rPr>
              <w:t>(a)</w:t>
            </w:r>
          </w:p>
        </w:tc>
        <w:tc>
          <w:tcPr>
            <w:tcW w:w="1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Average Price </w:t>
              <w:br/>
              <w:t>Paid per Share</w:t>
              <w:br/>
              <w:t>(or Unit)</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w:t>
              <w:br/>
              <w:t>Shares (or Units)</w:t>
              <w:br/>
              <w:t>Purchased as</w:t>
              <w:br/>
              <w:t>Part of Publicly</w:t>
              <w:br/>
              <w:t>Announced Plans</w:t>
              <w:br/>
              <w:t>or Programs</w:t>
            </w:r>
          </w:p>
        </w:tc>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br/>
              <w:t>Number of</w:t>
              <w:br/>
              <w:t>Shares (or Units)</w:t>
              <w:br/>
              <w:t>that May Yet Be</w:t>
              <w:br/>
              <w:t>Purchased Under the Plans or Programs</w:t>
            </w:r>
          </w:p>
        </w:tc>
      </w:tr>
      <w:tr>
        <w:trPr/>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1 - 31</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1 - 28</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1 - 31</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32,667 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0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33,200 </w:t>
            </w:r>
          </w:p>
        </w:tc>
        <w:tc>
          <w:tcPr>
            <w:tcW w:w="5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68.60 </w:t>
            </w:r>
          </w:p>
        </w:tc>
        <w:tc>
          <w:tcPr>
            <w:tcW w:w="1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pPr>
      <w:r>
        <w:rPr>
          <w:rFonts w:ascii="Times New Roman;sans-serif" w:hAnsi="Times New Roman;sans-serif"/>
          <w:b w:val="false"/>
          <w:color w:val="000000"/>
          <w:sz w:val="12"/>
        </w:rPr>
        <w:t xml:space="preserve">(a) </w:t>
      </w:r>
      <w:r>
        <w:rPr>
          <w:rFonts w:ascii="Times New Roman;sans-serif" w:hAnsi="Times New Roman;sans-serif"/>
          <w:b w:val="false"/>
          <w:color w:val="000000"/>
          <w:sz w:val="18"/>
        </w:rPr>
        <w:t>Represents shares Evergy purchased for withholding taxes related to the vesting of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ITEM 3. DEFAULTS UPON SENIOR SECURITIES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Annual Shareholder Meeting Results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Evergy's annual meeting of shareholders was held on May 6, 2025. In accordance with the recommendations of the Board, the shareholders (i) elected twelve directors; (ii) approved, on an advisory and non-binding basis, the 2024 compensation of Evergy's named executive officers; (iii) approved, on an advisory and non-binding basis, a resolution for a one-year frequency of the advisory vote on executive compensation; and (iv) ratified the appointment of Deloitte &amp; Touche LLP as independent registered public accountants for 2025. The proposals voted upon at the annual meeting, as well as the voting results for each proposal are set forth below.</w:t>
      </w:r>
    </w:p>
    <w:p>
      <w:pPr>
        <w:pStyle w:val="TextBody"/>
        <w:bidi w:val="0"/>
        <w:spacing w:lineRule="auto" w:line="288" w:before="0" w:after="120"/>
        <w:jc w:val="left"/>
        <w:rPr/>
      </w:pPr>
      <w:r>
        <w:rPr>
          <w:rFonts w:ascii="Times New Roman;sans-serif" w:hAnsi="Times New Roman;sans-serif"/>
          <w:b/>
          <w:color w:val="000000"/>
          <w:sz w:val="22"/>
        </w:rPr>
        <w:t>Item 1 on the Proxy Card.</w:t>
      </w:r>
      <w:r>
        <w:rPr>
          <w:color w:val="000000"/>
        </w:rPr>
        <w:t xml:space="preserve"> </w:t>
      </w:r>
      <w:r>
        <w:rPr>
          <w:rFonts w:ascii="Times New Roman;sans-serif" w:hAnsi="Times New Roman;sans-serif"/>
          <w:b w:val="false"/>
          <w:color w:val="000000"/>
          <w:sz w:val="22"/>
        </w:rPr>
        <w:t>The twelve persons named below were elected, as proposed in the proxy statement, to serve as directors until Evergy's annual meeting in 2025, and until their successors are elected and qualified. The voting regarding the election was as follows:</w:t>
      </w:r>
    </w:p>
    <w:tbl>
      <w:tblPr>
        <w:tblW w:w="8012" w:type="dxa"/>
        <w:jc w:val="left"/>
        <w:tblInd w:w="0" w:type="dxa"/>
        <w:tblLayout w:type="fixed"/>
        <w:tblCellMar>
          <w:top w:w="28" w:type="dxa"/>
          <w:left w:w="28" w:type="dxa"/>
          <w:bottom w:w="28" w:type="dxa"/>
          <w:right w:w="28" w:type="dxa"/>
        </w:tblCellMar>
      </w:tblPr>
      <w:tblGrid>
        <w:gridCol w:w="669"/>
        <w:gridCol w:w="586"/>
        <w:gridCol w:w="590"/>
        <w:gridCol w:w="109"/>
        <w:gridCol w:w="109"/>
        <w:gridCol w:w="109"/>
        <w:gridCol w:w="379"/>
        <w:gridCol w:w="379"/>
        <w:gridCol w:w="383"/>
        <w:gridCol w:w="109"/>
        <w:gridCol w:w="109"/>
        <w:gridCol w:w="109"/>
        <w:gridCol w:w="309"/>
        <w:gridCol w:w="309"/>
        <w:gridCol w:w="313"/>
        <w:gridCol w:w="109"/>
        <w:gridCol w:w="109"/>
        <w:gridCol w:w="109"/>
        <w:gridCol w:w="259"/>
        <w:gridCol w:w="259"/>
        <w:gridCol w:w="263"/>
        <w:gridCol w:w="109"/>
        <w:gridCol w:w="109"/>
        <w:gridCol w:w="109"/>
        <w:gridCol w:w="544"/>
        <w:gridCol w:w="544"/>
        <w:gridCol w:w="546"/>
        <w:gridCol w:w="109"/>
        <w:gridCol w:w="109"/>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Votes</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A. Campbell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171,760,802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4,494,446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332,130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23,312,288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Anthony Isaac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168,937,635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7,302,480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347,263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23,312,288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M. Keglevic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175,007,597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1,225,202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354,579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23,312,288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 L. Landrieu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172,735,637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3,418,465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23,312,288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Sandra A.J. Lawrence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169,788,276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6,467,873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23,312,288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D. Murtlow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171,102,488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5,046,485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438,405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23,312,288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Dean A. Newton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175,428,879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808,776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349,723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23,312,288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Sandra J.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168,939,043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336,308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23,312,288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D. Rolph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175,457,227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770,169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359,982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23,312,288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Scarola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175,392,977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846,553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347,848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23,312,288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Neal A. Sharma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175,444,929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782,828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359,621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23,312,288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John Wilder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175,221,690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355,022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23,312,288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ans-serif" w:hAnsi="Times New Roman;sans-serif"/>
          <w:b/>
          <w:color w:val="000000"/>
          <w:sz w:val="22"/>
        </w:rPr>
        <w:t>Item 2 on the Proxy Card.</w:t>
      </w:r>
      <w:r>
        <w:rPr>
          <w:color w:val="000000"/>
        </w:rPr>
        <w:t xml:space="preserve"> </w:t>
      </w:r>
      <w:r>
        <w:rPr>
          <w:rFonts w:ascii="Times New Roman;sans-serif" w:hAnsi="Times New Roman;sans-serif"/>
          <w:b w:val="false"/>
          <w:color w:val="000000"/>
          <w:sz w:val="22"/>
        </w:rPr>
        <w:t>In an advisory and non-binding "say on pay" vote, shareholders approved the 2024 compensation of Evergy's named executive officers, with the following vote:</w:t>
      </w:r>
    </w:p>
    <w:tbl>
      <w:tblPr>
        <w:tblW w:w="5634"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44"/>
        <w:gridCol w:w="344"/>
        <w:gridCol w:w="348"/>
        <w:gridCol w:w="109"/>
        <w:gridCol w:w="109"/>
        <w:gridCol w:w="109"/>
        <w:gridCol w:w="259"/>
        <w:gridCol w:w="259"/>
        <w:gridCol w:w="26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56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Votes</w:t>
            </w:r>
          </w:p>
        </w:tc>
      </w:tr>
      <w:tr>
        <w:trPr/>
        <w:tc>
          <w:tcPr>
            <w:tcW w:w="11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15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165,106,114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10,759,132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722,132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23,312,288</w:t>
            </w:r>
          </w:p>
        </w:tc>
      </w:tr>
    </w:tbl>
    <w:p>
      <w:pPr>
        <w:pStyle w:val="TextBody"/>
        <w:bidi w:val="0"/>
        <w:spacing w:lineRule="auto" w:line="288" w:before="0" w:after="120"/>
        <w:jc w:val="left"/>
        <w:rPr/>
      </w:pPr>
      <w:r>
        <w:rPr>
          <w:rFonts w:ascii="Times New Roman;sans-serif" w:hAnsi="Times New Roman;sans-serif"/>
          <w:b/>
          <w:color w:val="000000"/>
          <w:sz w:val="22"/>
        </w:rPr>
        <w:t>Item 3 on the Proxy Card.</w:t>
      </w:r>
      <w:r>
        <w:rPr>
          <w:color w:val="000000"/>
        </w:rPr>
        <w:t xml:space="preserve"> </w:t>
      </w:r>
      <w:r>
        <w:rPr>
          <w:rFonts w:ascii="Times New Roman;sans-serif" w:hAnsi="Times New Roman;sans-serif"/>
          <w:b w:val="false"/>
          <w:color w:val="000000"/>
          <w:sz w:val="22"/>
        </w:rPr>
        <w:t>In an advisory and non-binding vote, shareholders approved the option of every one year as the preferred frequency for advisory “say on pay” votes, with the following vote:</w:t>
      </w:r>
    </w:p>
    <w:tbl>
      <w:tblPr>
        <w:tblW w:w="7098" w:type="dxa"/>
        <w:jc w:val="left"/>
        <w:tblInd w:w="0" w:type="dxa"/>
        <w:tblLayout w:type="fixed"/>
        <w:tblCellMar>
          <w:top w:w="28" w:type="dxa"/>
          <w:left w:w="28" w:type="dxa"/>
          <w:bottom w:w="28" w:type="dxa"/>
          <w:right w:w="28" w:type="dxa"/>
        </w:tblCellMar>
      </w:tblPr>
      <w:tblGrid>
        <w:gridCol w:w="418"/>
        <w:gridCol w:w="367"/>
        <w:gridCol w:w="371"/>
        <w:gridCol w:w="109"/>
        <w:gridCol w:w="109"/>
        <w:gridCol w:w="109"/>
        <w:gridCol w:w="339"/>
        <w:gridCol w:w="339"/>
        <w:gridCol w:w="341"/>
        <w:gridCol w:w="109"/>
        <w:gridCol w:w="109"/>
        <w:gridCol w:w="109"/>
        <w:gridCol w:w="384"/>
        <w:gridCol w:w="384"/>
        <w:gridCol w:w="386"/>
        <w:gridCol w:w="109"/>
        <w:gridCol w:w="109"/>
        <w:gridCol w:w="109"/>
        <w:gridCol w:w="259"/>
        <w:gridCol w:w="259"/>
        <w:gridCol w:w="26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70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Votes</w:t>
            </w:r>
          </w:p>
        </w:tc>
      </w:tr>
      <w:tr>
        <w:trPr/>
        <w:tc>
          <w:tcPr>
            <w:tcW w:w="11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One Year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Two Years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Years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15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173,824,327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374,899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1,888,744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499,408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23,312,288</w:t>
            </w:r>
          </w:p>
        </w:tc>
      </w:tr>
    </w:tbl>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In accordance with the results of this advisory vote, Evergy will hold future advisory “say on pay” votes annually.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64" w:before="0" w:after="120"/>
        <w:jc w:val="left"/>
        <w:rPr/>
      </w:pPr>
      <w:r>
        <w:rPr>
          <w:rFonts w:ascii="Times New Roman;sans-serif" w:hAnsi="Times New Roman;sans-serif"/>
          <w:b/>
          <w:color w:val="000000"/>
          <w:sz w:val="22"/>
        </w:rPr>
        <w:t>Item 4 on the Proxy Card.</w:t>
      </w:r>
      <w:r>
        <w:rPr>
          <w:color w:val="000000"/>
        </w:rPr>
        <w:t xml:space="preserve"> </w:t>
      </w:r>
      <w:r>
        <w:rPr>
          <w:rFonts w:ascii="Times New Roman;sans-serif" w:hAnsi="Times New Roman;sans-serif"/>
          <w:b w:val="false"/>
          <w:color w:val="000000"/>
          <w:sz w:val="22"/>
        </w:rPr>
        <w:t>Shareholders voted for the ratification and confirmation of the appointment of Deloitte &amp; Touche LLP as Evergy's independent registered public accounting firm for 2025, with the following vote:</w:t>
      </w:r>
    </w:p>
    <w:tbl>
      <w:tblPr>
        <w:tblW w:w="5529"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09"/>
        <w:gridCol w:w="309"/>
        <w:gridCol w:w="313"/>
        <w:gridCol w:w="109"/>
        <w:gridCol w:w="109"/>
        <w:gridCol w:w="109"/>
        <w:gridCol w:w="259"/>
        <w:gridCol w:w="259"/>
        <w:gridCol w:w="26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55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Votes</w:t>
            </w:r>
          </w:p>
        </w:tc>
      </w:tr>
      <w:tr>
        <w:trPr/>
        <w:tc>
          <w:tcPr>
            <w:tcW w:w="11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15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193,664,472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5,647,093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588,101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Available Information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SEC maintains an internet site that contains reports, proxy and information statements and other information regarding issuers that file electronically with the SEC at http://www.sec.gov.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Securities Trading Plans of Directors and Executive Officers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2025, no director or officer has adopted, terminated or modified a Rule 10b5-1 plan or non-Rule 10b5-1 trading arrangement required to be disclosed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44"/>
        <w:gridCol w:w="303"/>
        <w:gridCol w:w="305"/>
        <w:gridCol w:w="117"/>
        <w:gridCol w:w="117"/>
        <w:gridCol w:w="117"/>
        <w:gridCol w:w="2541"/>
        <w:gridCol w:w="2356"/>
        <w:gridCol w:w="2362"/>
        <w:gridCol w:w="109"/>
        <w:gridCol w:w="109"/>
        <w:gridCol w:w="109"/>
        <w:gridCol w:w="384"/>
        <w:gridCol w:w="384"/>
        <w:gridCol w:w="548"/>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Exhibit</w:t>
            </w:r>
          </w:p>
          <w:p>
            <w:pPr>
              <w:pStyle w:val="TableContents"/>
              <w:bidi w:val="0"/>
              <w:spacing w:lineRule="auto" w:line="240" w:before="0" w:after="0"/>
              <w:jc w:val="center"/>
              <w:rPr/>
            </w:pPr>
            <w:r>
              <w:rPr>
                <w:rFonts w:ascii="Times New Roman;sans-serif" w:hAnsi="Times New Roman;sans-serif"/>
                <w:b w:val="false"/>
                <w:color w:val="000000"/>
                <w:sz w:val="22"/>
                <w:u w:val="single"/>
              </w:rPr>
              <w:t>Number</w:t>
            </w:r>
            <w:r>
              <w:rPr>
                <w:color w:val="000000"/>
              </w:rPr>
              <w:t> </w:t>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Registrant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w:t>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2"/>
                  <w:u w:val="single"/>
                </w:rPr>
                <w:t>Fifty-Third Supplemental Indenture, dated as of March 13, 2025, between Evergy Kansas Central, Inc., and the Bank of New York Mellon Trust Company, N.A., as trustee (Exhibit 4.1 to Evergy's and Evergy Kansas Central's Form 8-K filed on March 13,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w:t>
              <w:br/>
              <w:t>Evergy Kansas Central</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w:t>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2"/>
                  <w:u w:val="single"/>
                </w:rPr>
                <w:t>First Supplemental Indenture, dated as of March 13, 2025, between Evergy Kansas Central, Inc. and The Bank of New York Mellon Trust Company, N.A., as trustee (as Successor to Deutsche Bank Trust Company Americas (formerly known as Bankers Trust Company)) (Exhibit 4.2 to Evergy's and Evergy Kansas Central's Form 8-K filed on March 13,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w:t>
              <w:br/>
              <w:t>Evergy Kansas Central</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w:t>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2"/>
                  <w:u w:val="single"/>
                </w:rPr>
                <w:t>Matt Gummig Offer Letter, dated March 21, 2025 (Exhibit 10.1 to Evergy's, Evergy Kansas Central's and Evergy Metro's 8-K filed on March 27,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w:t>
              <w:br/>
              <w:t>Evergy Kansas Central</w:t>
              <w:br/>
              <w:t>Evergy Metro</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3312025xex311.htm">
              <w:r>
                <w:rPr>
                  <w:rStyle w:val="InternetLink"/>
                  <w:rFonts w:ascii="Times New Roman;sans-serif" w:hAnsi="Times New Roman;sans-serif"/>
                  <w:b w:val="false"/>
                  <w:color w:val="0000FF"/>
                  <w:sz w:val="22"/>
                  <w:u w:val="single"/>
                </w:rPr>
                <w:t>Rule 13a-14(a)/15d-14(a) Certification of David A. Campbell.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3312025xex312.htm">
              <w:r>
                <w:rPr>
                  <w:rStyle w:val="InternetLink"/>
                  <w:rFonts w:ascii="Times New Roman;sans-serif" w:hAnsi="Times New Roman;sans-serif"/>
                  <w:b w:val="false"/>
                  <w:color w:val="0000FF"/>
                  <w:sz w:val="22"/>
                  <w:u w:val="single"/>
                </w:rPr>
                <w:t>Rule 13a-14(a)/15d-14(a) Certification of W. Bryan Buckler.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3312025xex313.htm">
              <w:r>
                <w:rPr>
                  <w:rStyle w:val="InternetLink"/>
                  <w:rFonts w:ascii="Times New Roman;sans-serif" w:hAnsi="Times New Roman;sans-serif"/>
                  <w:b w:val="false"/>
                  <w:color w:val="0000FF"/>
                  <w:sz w:val="22"/>
                  <w:u w:val="single"/>
                </w:rPr>
                <w:t>Rule 13a-14(a)/15d-14(a) Certification of David A. Campbell.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Evergy Metro </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3312025xex314.htm">
              <w:r>
                <w:rPr>
                  <w:rStyle w:val="InternetLink"/>
                  <w:rFonts w:ascii="Times New Roman;sans-serif" w:hAnsi="Times New Roman;sans-serif"/>
                  <w:b w:val="false"/>
                  <w:color w:val="0000FF"/>
                  <w:sz w:val="22"/>
                  <w:u w:val="single"/>
                </w:rPr>
                <w:t>Rule 13a-14(a)/15d-14(a) Certification of W. Bryan Buckler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Evergy Metro </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3312025xex315.htm">
              <w:r>
                <w:rPr>
                  <w:rStyle w:val="InternetLink"/>
                  <w:rFonts w:ascii="Times New Roman;sans-serif" w:hAnsi="Times New Roman;sans-serif"/>
                  <w:b w:val="false"/>
                  <w:color w:val="0000FF"/>
                  <w:sz w:val="22"/>
                  <w:u w:val="single"/>
                </w:rPr>
                <w:t>Rule 13a-14(a)/15d-14(a) Certification of David A. Campbell.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3312025xex316.htm">
              <w:r>
                <w:rPr>
                  <w:rStyle w:val="InternetLink"/>
                  <w:rFonts w:ascii="Times New Roman;sans-serif" w:hAnsi="Times New Roman;sans-serif"/>
                  <w:b w:val="false"/>
                  <w:color w:val="0000FF"/>
                  <w:sz w:val="22"/>
                  <w:u w:val="single"/>
                </w:rPr>
                <w:t>Rule 13a-14(a)/15d-14(a) Certification of W. Bryan Buckler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32.1</w:t>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3312025xex321.htm">
              <w:r>
                <w:rPr>
                  <w:rStyle w:val="InternetLink"/>
                  <w:rFonts w:ascii="Times New Roman;sans-serif" w:hAnsi="Times New Roman;sans-serif"/>
                  <w:b w:val="false"/>
                  <w:color w:val="0000FF"/>
                  <w:sz w:val="22"/>
                  <w:u w:val="single"/>
                </w:rPr>
                <w:t>Section 1350 Certifications.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32.2</w:t>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3312025xex322.htm">
              <w:r>
                <w:rPr>
                  <w:rStyle w:val="InternetLink"/>
                  <w:rFonts w:ascii="Times New Roman;sans-serif" w:hAnsi="Times New Roman;sans-serif"/>
                  <w:b w:val="false"/>
                  <w:color w:val="0000FF"/>
                  <w:sz w:val="22"/>
                  <w:u w:val="single"/>
                </w:rPr>
                <w:t>Section 1350 Certifications.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Evergy Metro </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32.3</w:t>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3312025xex323.htm">
              <w:r>
                <w:rPr>
                  <w:rStyle w:val="InternetLink"/>
                  <w:rFonts w:ascii="Times New Roman;sans-serif" w:hAnsi="Times New Roman;sans-serif"/>
                  <w:b w:val="false"/>
                  <w:color w:val="0000FF"/>
                  <w:sz w:val="22"/>
                  <w:u w:val="single"/>
                </w:rPr>
                <w:t>Section 1350 Certifications.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 Kansas Central</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101.INS</w:t>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101.SCH</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w:t>
              <w:br/>
              <w:t>Evergy Kansas Central</w:t>
              <w:br/>
              <w:t>Evergy Metro</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101.CAL</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w:t>
              <w:br/>
              <w:t>Evergy Kansas Central</w:t>
              <w:br/>
              <w:t>Evergy Metro</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101.DEF</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w:t>
              <w:br/>
              <w:t>Evergy Kansas Central</w:t>
              <w:br/>
              <w:t>Evergy Metro</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101.LAB</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w:t>
              <w:br/>
              <w:t>Evergy Kansas Central</w:t>
              <w:br/>
              <w:t>Evergy Metro</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101.PRE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Inline XBRL Taxonomy Extension Presentation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w:t>
              <w:br/>
              <w:t>Evergy Kansas Central</w:t>
              <w:br/>
              <w:t>Evergy Metro</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Evergy</w:t>
              <w:br/>
              <w:t>Evergy Kansas Central</w:t>
              <w:br/>
              <w:t>Evergy Metro</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The instance document does not appear in the interactive data file because its XBRL tags are embedded within the inline XBRL document.</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Indicates management contract or compensatory plan or arrangement.</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Copies of any of the exhibits filed with the SEC in connection with this document may be obtained from Evergy, Evergy Kansas Central or Evergy Metro, as applicable, upon written request.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68" w:before="0" w:after="0"/>
        <w:jc w:val="left"/>
        <w:rPr/>
      </w:pPr>
      <w:hyperlink w:anchor="i011e88298ef2424b9837cad1b109f255_13">
        <w:r>
          <w:rPr>
            <w:rStyle w:val="InternetLink"/>
            <w:rFonts w:ascii="Times New Roman;sans-serif" w:hAnsi="Times New Roman;sans-serif"/>
            <w:b w:val="false"/>
            <w:color w:val="0000FF"/>
            <w:sz w:val="22"/>
            <w:u w:val="single"/>
          </w:rPr>
          <w:t>Table of Contents</w:t>
        </w:r>
      </w:hyperlink>
      <w:r>
        <w:rPr>
          <w:color w:val="000000"/>
        </w:rPr>
        <w:t xml:space="preserve">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Evergy, Inc., Evergy Kansas Central, Inc. and Evergy Metro, Inc. have duly caused this report to be signed on their behalf by the undersigned, thereunto duly authorized.</w:t>
      </w:r>
    </w:p>
    <w:tbl>
      <w:tblPr>
        <w:tblW w:w="7289" w:type="dxa"/>
        <w:jc w:val="left"/>
        <w:tblInd w:w="0" w:type="dxa"/>
        <w:tblLayout w:type="fixed"/>
        <w:tblCellMar>
          <w:top w:w="28" w:type="dxa"/>
          <w:left w:w="28" w:type="dxa"/>
          <w:bottom w:w="28" w:type="dxa"/>
          <w:right w:w="28" w:type="dxa"/>
        </w:tblCellMar>
      </w:tblPr>
      <w:tblGrid>
        <w:gridCol w:w="266"/>
        <w:gridCol w:w="234"/>
        <w:gridCol w:w="235"/>
        <w:gridCol w:w="434"/>
        <w:gridCol w:w="434"/>
        <w:gridCol w:w="436"/>
        <w:gridCol w:w="1535"/>
        <w:gridCol w:w="1535"/>
        <w:gridCol w:w="218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EVERGY, INC.</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7, 2025</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By: /s/ W. Bryan Buckler</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 Bryan Buckler)</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r>
          </w:p>
        </w:tc>
      </w:tr>
    </w:tbl>
    <w:tbl>
      <w:tblPr>
        <w:tblW w:w="7288" w:type="dxa"/>
        <w:jc w:val="left"/>
        <w:tblInd w:w="0" w:type="dxa"/>
        <w:tblLayout w:type="fixed"/>
        <w:tblCellMar>
          <w:top w:w="28" w:type="dxa"/>
          <w:left w:w="28" w:type="dxa"/>
          <w:bottom w:w="28" w:type="dxa"/>
          <w:right w:w="28" w:type="dxa"/>
        </w:tblCellMar>
      </w:tblPr>
      <w:tblGrid>
        <w:gridCol w:w="266"/>
        <w:gridCol w:w="234"/>
        <w:gridCol w:w="235"/>
        <w:gridCol w:w="434"/>
        <w:gridCol w:w="434"/>
        <w:gridCol w:w="436"/>
        <w:gridCol w:w="1538"/>
        <w:gridCol w:w="1538"/>
        <w:gridCol w:w="217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EVERGY KANSAS CENTRAL, INC.</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7, 2025</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By: /s/ W. Bryan Buckler</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 Bryan Buckler)</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r>
          </w:p>
        </w:tc>
      </w:tr>
    </w:tbl>
    <w:p>
      <w:pPr>
        <w:pStyle w:val="TextBody"/>
        <w:bidi w:val="0"/>
        <w:spacing w:before="0" w:after="0"/>
        <w:jc w:val="both"/>
        <w:rPr/>
      </w:pPr>
      <w:r>
        <w:rPr/>
      </w:r>
    </w:p>
    <w:tbl>
      <w:tblPr>
        <w:tblW w:w="7289" w:type="dxa"/>
        <w:jc w:val="left"/>
        <w:tblInd w:w="0" w:type="dxa"/>
        <w:tblLayout w:type="fixed"/>
        <w:tblCellMar>
          <w:top w:w="28" w:type="dxa"/>
          <w:left w:w="28" w:type="dxa"/>
          <w:bottom w:w="28" w:type="dxa"/>
          <w:right w:w="28" w:type="dxa"/>
        </w:tblCellMar>
      </w:tblPr>
      <w:tblGrid>
        <w:gridCol w:w="266"/>
        <w:gridCol w:w="234"/>
        <w:gridCol w:w="235"/>
        <w:gridCol w:w="434"/>
        <w:gridCol w:w="434"/>
        <w:gridCol w:w="436"/>
        <w:gridCol w:w="1534"/>
        <w:gridCol w:w="1534"/>
        <w:gridCol w:w="218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EVERGY METRO, INC.</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7, 2025</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By: /s/ W. Bryan Buckler</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 Bryan Buckler)</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David A. Campbell,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Evergy,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789"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199"/>
        <w:gridCol w:w="1199"/>
        <w:gridCol w:w="169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A. Campbell</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A. Campbell</w:t>
              <w:br/>
              <w:t>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 Bryan Buckler,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Evergy, Inc.;</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133"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299"/>
        <w:gridCol w:w="1299"/>
        <w:gridCol w:w="18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W. Bryan Buckler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 Bryan Buckler</w:t>
              <w:br/>
              <w:t>Executive Vice President and 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David A. Campbell,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Evergy Metro, Inc.;</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5789"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199"/>
        <w:gridCol w:w="1199"/>
        <w:gridCol w:w="169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A. Campbell</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A. Campbell</w:t>
              <w:br/>
              <w:t>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 Bryan Buckler,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Evergy Metro, Inc.;</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6133"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299"/>
        <w:gridCol w:w="1299"/>
        <w:gridCol w:w="18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W. Bryan Buckler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 Bryan Buckler</w:t>
              <w:b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David A. Campbell,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Evergy Kansas Central, Inc.;</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5789"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199"/>
        <w:gridCol w:w="1199"/>
        <w:gridCol w:w="169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A. Campbell</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A. Campbell</w:t>
              <w:br/>
              <w:t>Chairman,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 Bryan Buckler,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Evergy Kansas Central, Inc.;</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6133"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299"/>
        <w:gridCol w:w="1299"/>
        <w:gridCol w:w="18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W. Bryan Buckler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 Bryan Buckler</w:t>
              <w:b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CEO and CFO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Evergy, Inc. (the "Company") for the quarterly period ended March 31, 2025,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086" w:type="dxa"/>
        <w:jc w:val="center"/>
        <w:tblInd w:w="0" w:type="dxa"/>
        <w:tblLayout w:type="fixed"/>
        <w:tblCellMar>
          <w:top w:w="28" w:type="dxa"/>
          <w:left w:w="28" w:type="dxa"/>
          <w:bottom w:w="28" w:type="dxa"/>
          <w:right w:w="28" w:type="dxa"/>
        </w:tblCellMar>
      </w:tblPr>
      <w:tblGrid>
        <w:gridCol w:w="234"/>
        <w:gridCol w:w="205"/>
        <w:gridCol w:w="207"/>
        <w:gridCol w:w="1300"/>
        <w:gridCol w:w="1300"/>
        <w:gridCol w:w="1840"/>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A. Campbell</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A. Campbell</w:t>
              <w:br/>
              <w:t>Chairman, President and Chief Executive Officer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W. Bryan Buckler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 Bryan Buckler</w:t>
              <w:br/>
              <w:t>Executive Vice President and Chief Financial Officer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CEO and CFO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Evergy Metro, Inc. (the "Company") for the quarterly period ended March 31, 2025,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086" w:type="dxa"/>
        <w:jc w:val="center"/>
        <w:tblInd w:w="0" w:type="dxa"/>
        <w:tblLayout w:type="fixed"/>
        <w:tblCellMar>
          <w:top w:w="28" w:type="dxa"/>
          <w:left w:w="28" w:type="dxa"/>
          <w:bottom w:w="28" w:type="dxa"/>
          <w:right w:w="28" w:type="dxa"/>
        </w:tblCellMar>
      </w:tblPr>
      <w:tblGrid>
        <w:gridCol w:w="234"/>
        <w:gridCol w:w="205"/>
        <w:gridCol w:w="207"/>
        <w:gridCol w:w="1300"/>
        <w:gridCol w:w="1300"/>
        <w:gridCol w:w="1840"/>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A. Campbell</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A. Campbell</w:t>
              <w:br/>
              <w:t>Chairman, President and Chief Executive Officer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W. Bryan Buckler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 Bryan Buckler</w:t>
              <w:br/>
              <w:t>Executive Vice President and Chief Financial Officer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32.3</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CEO and CFO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Evergy Kansas Central, Inc. (the "Company") for the quarterly period ended March 31, 2025,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086" w:type="dxa"/>
        <w:jc w:val="center"/>
        <w:tblInd w:w="0" w:type="dxa"/>
        <w:tblLayout w:type="fixed"/>
        <w:tblCellMar>
          <w:top w:w="28" w:type="dxa"/>
          <w:left w:w="28" w:type="dxa"/>
          <w:bottom w:w="28" w:type="dxa"/>
          <w:right w:w="28" w:type="dxa"/>
        </w:tblCellMar>
      </w:tblPr>
      <w:tblGrid>
        <w:gridCol w:w="234"/>
        <w:gridCol w:w="205"/>
        <w:gridCol w:w="207"/>
        <w:gridCol w:w="1300"/>
        <w:gridCol w:w="1300"/>
        <w:gridCol w:w="1840"/>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A. Campbell</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A. Campbell</w:t>
              <w:br/>
              <w:t>Chairman, President and Chief Executive Officer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W. Bryan Buckler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 Bryan Buckler</w:t>
              <w:br/>
              <w:t>Executive Vice President and Chief Financial Officer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11269/000119312525053956/d892895dex41.htm" TargetMode="External"/><Relationship Id="rId4" Type="http://schemas.openxmlformats.org/officeDocument/2006/relationships/hyperlink" Target="https://www.sec.gov/Archives/edgar/data/1711269/000119312525053956/d892895dex42.htm" TargetMode="External"/><Relationship Id="rId5" Type="http://schemas.openxmlformats.org/officeDocument/2006/relationships/hyperlink" Target="https://www.sec.gov/Archives/edgar/data/1711269/000119312525064798/d936056d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29883</Words>
  <Characters>169684</Characters>
  <CharactersWithSpaces>196784</CharactersWithSpaces>
  <Paragraphs>6069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