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jc w:val="center"/>
        <w:ind w:left="4580" w:right="2240" w:hanging="2337"/>
        <w:spacing w:after="0" w:line="282" w:lineRule="auto"/>
        <w:tabs>
          <w:tab w:leader="none" w:pos="244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June 30, 2025</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jc w:val="center"/>
        <w:ind w:left="4580" w:right="2220" w:hanging="2346"/>
        <w:spacing w:after="0" w:line="282" w:lineRule="auto"/>
        <w:tabs>
          <w:tab w:leader="none" w:pos="243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62"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For the transition period from _______to_______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154305</wp:posOffset>
            </wp:positionV>
            <wp:extent cx="258000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000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2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5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state of incorporation, address of principal</w:t>
            </w:r>
          </w:p>
        </w:tc>
        <w:tc>
          <w:tcPr>
            <w:tcW w:w="180" w:type="dxa"/>
            <w:vAlign w:val="bottom"/>
          </w:tcPr>
          <w:p>
            <w:pPr>
              <w:spacing w:after="0"/>
              <w:rPr>
                <w:sz w:val="19"/>
                <w:szCs w:val="19"/>
                <w:color w:val="auto"/>
              </w:rPr>
            </w:pPr>
          </w:p>
        </w:tc>
        <w:tc>
          <w:tcPr>
            <w:tcW w:w="27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20" w:type="dxa"/>
            <w:vAlign w:val="bottom"/>
          </w:tcPr>
          <w:p>
            <w:pPr>
              <w:spacing w:after="0"/>
              <w:rPr>
                <w:sz w:val="21"/>
                <w:szCs w:val="21"/>
                <w:color w:val="auto"/>
              </w:rPr>
            </w:pPr>
          </w:p>
        </w:tc>
        <w:tc>
          <w:tcPr>
            <w:tcW w:w="5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executive offices and telephone number</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1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001-38515</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40" w:type="dxa"/>
            <w:vAlign w:val="bottom"/>
            <w:gridSpan w:val="3"/>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EVERGY, INC.</w:t>
            </w:r>
          </w:p>
        </w:tc>
        <w:tc>
          <w:tcPr>
            <w:tcW w:w="27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82-2733395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color w:val="auto"/>
                <w:w w:val="99"/>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Times New Roman" w:cs="Times New Roman" w:eastAsia="Times New Roman" w:hAnsi="Times New Roman"/>
                <w:sz w:val="18"/>
                <w:szCs w:val="18"/>
                <w:color w:val="auto"/>
                <w:w w:val="99"/>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1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001-03523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EVERGY KANSAS CENTRAL, INC.</w:t>
            </w:r>
          </w:p>
        </w:tc>
        <w:tc>
          <w:tcPr>
            <w:tcW w:w="27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48-0290150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(a Kansas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818 South Kansas Avenue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Topeka, Kansas 66612</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Times New Roman" w:cs="Times New Roman" w:eastAsia="Times New Roman" w:hAnsi="Times New Roman"/>
                <w:sz w:val="18"/>
                <w:szCs w:val="18"/>
                <w:color w:val="auto"/>
                <w:w w:val="99"/>
              </w:rPr>
              <w:t>(785) 575-6300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1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000-51873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EVERGY METRO, INC.</w:t>
            </w:r>
          </w:p>
        </w:tc>
        <w:tc>
          <w:tcPr>
            <w:tcW w:w="27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44-0308720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color w:val="auto"/>
                <w:w w:val="99"/>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Times New Roman" w:cs="Times New Roman" w:eastAsia="Times New Roman" w:hAnsi="Times New Roman"/>
                <w:sz w:val="18"/>
                <w:szCs w:val="18"/>
                <w:color w:val="auto"/>
                <w:w w:val="99"/>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34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80" w:type="dxa"/>
            <w:vAlign w:val="bottom"/>
          </w:tcPr>
          <w:p>
            <w:pPr>
              <w:spacing w:after="0"/>
              <w:rPr>
                <w:sz w:val="22"/>
                <w:szCs w:val="22"/>
                <w:color w:val="auto"/>
              </w:rPr>
            </w:pPr>
          </w:p>
        </w:tc>
        <w:tc>
          <w:tcPr>
            <w:tcW w:w="272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00" w:type="dxa"/>
            <w:vAlign w:val="bottom"/>
          </w:tcPr>
          <w:p>
            <w:pPr>
              <w:spacing w:after="0"/>
              <w:rPr>
                <w:sz w:val="16"/>
                <w:szCs w:val="16"/>
                <w:color w:val="auto"/>
              </w:rPr>
            </w:pPr>
          </w:p>
        </w:tc>
        <w:tc>
          <w:tcPr>
            <w:tcW w:w="3440" w:type="dxa"/>
            <w:vAlign w:val="bottom"/>
            <w:gridSpan w:val="3"/>
            <w:vMerge w:val="restart"/>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80" w:type="dxa"/>
            <w:vAlign w:val="bottom"/>
          </w:tcPr>
          <w:p>
            <w:pPr>
              <w:spacing w:after="0"/>
              <w:rPr>
                <w:sz w:val="16"/>
                <w:szCs w:val="16"/>
                <w:color w:val="auto"/>
              </w:rPr>
            </w:pPr>
          </w:p>
        </w:tc>
        <w:tc>
          <w:tcPr>
            <w:tcW w:w="27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980" w:type="dxa"/>
            <w:vAlign w:val="bottom"/>
            <w:gridSpan w:val="4"/>
            <w:vMerge w:val="continue"/>
          </w:tcPr>
          <w:p>
            <w:pPr>
              <w:spacing w:after="0"/>
              <w:rPr>
                <w:sz w:val="6"/>
                <w:szCs w:val="6"/>
                <w:color w:val="auto"/>
              </w:rPr>
            </w:pPr>
          </w:p>
        </w:tc>
        <w:tc>
          <w:tcPr>
            <w:tcW w:w="1900" w:type="dxa"/>
            <w:vAlign w:val="bottom"/>
          </w:tcPr>
          <w:p>
            <w:pPr>
              <w:spacing w:after="0"/>
              <w:rPr>
                <w:sz w:val="6"/>
                <w:szCs w:val="6"/>
                <w:color w:val="auto"/>
              </w:rPr>
            </w:pPr>
          </w:p>
        </w:tc>
        <w:tc>
          <w:tcPr>
            <w:tcW w:w="344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Borders>
              <w:top w:val="single" w:sz="8" w:color="auto"/>
            </w:tcBorders>
            <w:vMerge w:val="restart"/>
          </w:tcPr>
          <w:p>
            <w:pPr>
              <w:spacing w:after="0"/>
              <w:rPr>
                <w:sz w:val="6"/>
                <w:szCs w:val="6"/>
                <w:color w:val="auto"/>
              </w:rPr>
            </w:pPr>
          </w:p>
        </w:tc>
        <w:tc>
          <w:tcPr>
            <w:tcW w:w="1640" w:type="dxa"/>
            <w:vAlign w:val="bottom"/>
            <w:tcBorders>
              <w:top w:val="single" w:sz="8" w:color="auto"/>
            </w:tcBorders>
            <w:gridSpan w:val="2"/>
            <w:vMerge w:val="restart"/>
          </w:tcPr>
          <w:p>
            <w:pPr>
              <w:jc w:val="center"/>
              <w:ind w:right="880"/>
              <w:spacing w:after="0" w:line="156" w:lineRule="exact"/>
              <w:rPr>
                <w:sz w:val="20"/>
                <w:szCs w:val="20"/>
                <w:color w:val="auto"/>
              </w:rPr>
            </w:pPr>
            <w:r>
              <w:rPr>
                <w:rFonts w:ascii="Times New Roman" w:cs="Times New Roman" w:eastAsia="Times New Roman" w:hAnsi="Times New Roman"/>
                <w:sz w:val="18"/>
                <w:szCs w:val="18"/>
                <w:b w:val="1"/>
                <w:bCs w:val="1"/>
                <w:color w:val="auto"/>
                <w:w w:val="98"/>
              </w:rPr>
              <w:t>registered</w:t>
            </w:r>
          </w:p>
        </w:tc>
        <w:tc>
          <w:tcPr>
            <w:tcW w:w="200" w:type="dxa"/>
            <w:vAlign w:val="bottom"/>
            <w:gridSpan w:val="2"/>
            <w:vMerge w:val="restart"/>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Borders>
              <w:top w:val="single" w:sz="8" w:color="auto"/>
            </w:tcBorders>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420" w:type="dxa"/>
            <w:vAlign w:val="bottom"/>
            <w:tcBorders>
              <w:top w:val="single" w:sz="8" w:color="auto"/>
            </w:tcBorders>
          </w:tcPr>
          <w:p>
            <w:pPr>
              <w:spacing w:after="0"/>
              <w:rPr>
                <w:sz w:val="5"/>
                <w:szCs w:val="5"/>
                <w:color w:val="auto"/>
              </w:rPr>
            </w:pPr>
          </w:p>
        </w:tc>
        <w:tc>
          <w:tcPr>
            <w:tcW w:w="1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Borders>
              <w:top w:val="single" w:sz="8" w:color="auto"/>
            </w:tcBorders>
            <w:vMerge w:val="continue"/>
          </w:tcPr>
          <w:p>
            <w:pPr>
              <w:spacing w:after="0"/>
              <w:rPr>
                <w:sz w:val="5"/>
                <w:szCs w:val="5"/>
                <w:color w:val="auto"/>
              </w:rPr>
            </w:pPr>
          </w:p>
        </w:tc>
        <w:tc>
          <w:tcPr>
            <w:tcW w:w="1640" w:type="dxa"/>
            <w:vAlign w:val="bottom"/>
            <w:tcBorders>
              <w:top w:val="single" w:sz="8" w:color="auto"/>
            </w:tcBorders>
            <w:gridSpan w:val="2"/>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9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Evergy, Inc. common stock</w:t>
            </w:r>
          </w:p>
        </w:tc>
        <w:tc>
          <w:tcPr>
            <w:tcW w:w="1900" w:type="dxa"/>
            <w:vAlign w:val="bottom"/>
          </w:tcPr>
          <w:p>
            <w:pPr>
              <w:spacing w:after="0"/>
              <w:rPr>
                <w:sz w:val="23"/>
                <w:szCs w:val="23"/>
                <w:color w:val="auto"/>
              </w:rPr>
            </w:pPr>
          </w:p>
        </w:tc>
        <w:tc>
          <w:tcPr>
            <w:tcW w:w="3440" w:type="dxa"/>
            <w:vAlign w:val="bottom"/>
            <w:gridSpan w:val="3"/>
          </w:tcPr>
          <w:p>
            <w:pPr>
              <w:jc w:val="center"/>
              <w:ind w:right="2020"/>
              <w:spacing w:after="0"/>
              <w:rPr>
                <w:sz w:val="20"/>
                <w:szCs w:val="20"/>
                <w:color w:val="auto"/>
              </w:rPr>
            </w:pPr>
            <w:r>
              <w:rPr>
                <w:rFonts w:ascii="Times New Roman" w:cs="Times New Roman" w:eastAsia="Times New Roman" w:hAnsi="Times New Roman"/>
                <w:sz w:val="18"/>
                <w:szCs w:val="18"/>
                <w:color w:val="auto"/>
              </w:rPr>
              <w:t>EVRG</w:t>
            </w:r>
          </w:p>
        </w:tc>
        <w:tc>
          <w:tcPr>
            <w:tcW w:w="180" w:type="dxa"/>
            <w:vAlign w:val="bottom"/>
          </w:tcPr>
          <w:p>
            <w:pPr>
              <w:spacing w:after="0"/>
              <w:rPr>
                <w:sz w:val="23"/>
                <w:szCs w:val="23"/>
                <w:color w:val="auto"/>
              </w:rPr>
            </w:pPr>
          </w:p>
        </w:tc>
        <w:tc>
          <w:tcPr>
            <w:tcW w:w="27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1020"/>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20" w:right="34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84"/>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6" w:lineRule="exact"/>
        <w:rPr>
          <w:sz w:val="20"/>
          <w:szCs w:val="20"/>
          <w:color w:val="auto"/>
        </w:rPr>
      </w:pPr>
    </w:p>
    <w:p>
      <w:pPr>
        <w:ind w:left="20" w:right="360"/>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6" w:lineRule="exact"/>
        <w:rPr>
          <w:sz w:val="20"/>
          <w:szCs w:val="20"/>
          <w:color w:val="auto"/>
        </w:rPr>
      </w:pPr>
    </w:p>
    <w:p>
      <w:pPr>
        <w:ind w:left="20" w:right="12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Evergy, Inc.</w:t>
            </w: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Large Accelerated</w:t>
            </w:r>
          </w:p>
        </w:tc>
        <w:tc>
          <w:tcPr>
            <w:tcW w:w="1580" w:type="dxa"/>
            <w:vAlign w:val="bottom"/>
            <w:vMerge w:val="restart"/>
          </w:tcPr>
          <w:p>
            <w:pPr>
              <w:jc w:val="right"/>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6"/>
                <w:szCs w:val="16"/>
                <w:color w:val="auto"/>
              </w:rPr>
              <w:t>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Non-accelerated</w:t>
            </w:r>
          </w:p>
        </w:tc>
        <w:tc>
          <w:tcPr>
            <w:tcW w:w="42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2360" w:type="dxa"/>
            <w:vAlign w:val="bottom"/>
            <w:vMerge w:val="continue"/>
          </w:tcPr>
          <w:p>
            <w:pPr>
              <w:spacing w:after="0"/>
              <w:rPr>
                <w:sz w:val="20"/>
                <w:szCs w:val="20"/>
                <w:color w:val="auto"/>
              </w:rPr>
            </w:pP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Filer</w:t>
            </w:r>
          </w:p>
        </w:tc>
        <w:tc>
          <w:tcPr>
            <w:tcW w:w="158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vMerge w:val="continue"/>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360" w:type="dxa"/>
            <w:vAlign w:val="bottom"/>
            <w:vMerge w:val="continue"/>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Large Accelerated</w:t>
            </w:r>
          </w:p>
        </w:tc>
        <w:tc>
          <w:tcPr>
            <w:tcW w:w="158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Non-accelerated</w:t>
            </w:r>
          </w:p>
        </w:tc>
        <w:tc>
          <w:tcPr>
            <w:tcW w:w="4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2360" w:type="dxa"/>
            <w:vAlign w:val="bottom"/>
            <w:vMerge w:val="continue"/>
          </w:tcPr>
          <w:p>
            <w:pPr>
              <w:spacing w:after="0"/>
              <w:rPr>
                <w:sz w:val="20"/>
                <w:szCs w:val="20"/>
                <w:color w:val="auto"/>
              </w:rPr>
            </w:pP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Filer</w:t>
            </w:r>
          </w:p>
        </w:tc>
        <w:tc>
          <w:tcPr>
            <w:tcW w:w="158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tcPr>
          <w:p>
            <w:pPr>
              <w:ind w:left="100"/>
              <w:spacing w:after="0" w:line="198" w:lineRule="exact"/>
              <w:rPr>
                <w:sz w:val="20"/>
                <w:szCs w:val="20"/>
                <w:color w:val="auto"/>
              </w:rPr>
            </w:pPr>
            <w:r>
              <w:rPr>
                <w:rFonts w:ascii="Wingdings" w:cs="Wingdings" w:eastAsia="Wingdings" w:hAnsi="Wingdings"/>
                <w:sz w:val="18"/>
                <w:szCs w:val="18"/>
                <w:b w:val="1"/>
                <w:bCs w:val="1"/>
                <w:color w:val="auto"/>
              </w:rPr>
              <w:t>x</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360" w:type="dxa"/>
            <w:vAlign w:val="bottom"/>
            <w:vMerge w:val="continue"/>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Large Accelerated</w:t>
            </w:r>
          </w:p>
        </w:tc>
        <w:tc>
          <w:tcPr>
            <w:tcW w:w="158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Non-accelerated</w:t>
            </w:r>
          </w:p>
        </w:tc>
        <w:tc>
          <w:tcPr>
            <w:tcW w:w="4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2360" w:type="dxa"/>
            <w:vAlign w:val="bottom"/>
            <w:vMerge w:val="continue"/>
          </w:tcPr>
          <w:p>
            <w:pPr>
              <w:spacing w:after="0"/>
              <w:rPr>
                <w:sz w:val="20"/>
                <w:szCs w:val="20"/>
                <w:color w:val="auto"/>
              </w:rPr>
            </w:pP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Filer</w:t>
            </w:r>
          </w:p>
        </w:tc>
        <w:tc>
          <w:tcPr>
            <w:tcW w:w="158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tcPr>
          <w:p>
            <w:pPr>
              <w:ind w:left="100"/>
              <w:spacing w:after="0" w:line="198" w:lineRule="exact"/>
              <w:rPr>
                <w:sz w:val="20"/>
                <w:szCs w:val="20"/>
                <w:color w:val="auto"/>
              </w:rPr>
            </w:pPr>
            <w:r>
              <w:rPr>
                <w:rFonts w:ascii="Wingdings" w:cs="Wingdings" w:eastAsia="Wingdings" w:hAnsi="Wingdings"/>
                <w:sz w:val="18"/>
                <w:szCs w:val="18"/>
                <w:b w:val="1"/>
                <w:bCs w:val="1"/>
                <w:color w:val="auto"/>
              </w:rPr>
              <w:t>x</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360" w:type="dxa"/>
            <w:vAlign w:val="bottom"/>
            <w:vMerge w:val="continue"/>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20" w:right="540"/>
        <w:spacing w:after="0" w:line="245"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20"/>
          </w:cols>
          <w:pgMar w:left="320" w:top="118" w:right="359" w:bottom="1440" w:gutter="0" w:footer="0" w:header="0"/>
        </w:sectPr>
      </w:pP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Evergy, Inc.</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r>
        <w:rPr>
          <w:rFonts w:ascii="MS PGothic" w:cs="MS PGothic" w:eastAsia="MS PGothic" w:hAnsi="MS PGothic"/>
          <w:sz w:val="16"/>
          <w:szCs w:val="16"/>
          <w:color w:val="auto"/>
        </w:rPr>
        <w:t>☐</w:t>
      </w:r>
    </w:p>
    <w:p>
      <w:pPr>
        <w:spacing w:after="0" w:line="143" w:lineRule="exact"/>
        <w:rPr>
          <w:sz w:val="20"/>
          <w:szCs w:val="20"/>
          <w:color w:val="auto"/>
        </w:rPr>
      </w:pPr>
    </w:p>
    <w:p>
      <w:pPr>
        <w:sectPr>
          <w:pgSz w:w="11900" w:h="16838" w:orient="portrait"/>
          <w:cols w:equalWidth="0" w:num="2">
            <w:col w:w="2460" w:space="720"/>
            <w:col w:w="8040"/>
          </w:cols>
          <w:pgMar w:left="320" w:top="118" w:right="359" w:bottom="1440" w:gutter="0" w:footer="0" w:header="0"/>
          <w:type w:val="continuous"/>
        </w:sectPr>
      </w:pP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Evergy Kansas Central,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2">
            <w:col w:w="2460" w:space="720"/>
            <w:col w:w="8040"/>
          </w:cols>
          <w:pgMar w:left="320" w:top="118" w:right="359" w:bottom="1440" w:gutter="0" w:footer="0" w:header="0"/>
          <w:type w:val="continuous"/>
        </w:sectPr>
      </w:pP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Evergy Metro,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9" w:lineRule="exact"/>
        <w:rPr>
          <w:sz w:val="20"/>
          <w:szCs w:val="20"/>
          <w:color w:val="auto"/>
        </w:rPr>
      </w:pPr>
    </w:p>
    <w:p>
      <w:pPr>
        <w:sectPr>
          <w:pgSz w:w="11900" w:h="16838" w:orient="portrait"/>
          <w:cols w:equalWidth="0" w:num="2">
            <w:col w:w="2460" w:space="720"/>
            <w:col w:w="8040"/>
          </w:cols>
          <w:pgMar w:left="320" w:top="118"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72"/>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Inc.</w:t>
            </w:r>
          </w:p>
        </w:tc>
        <w:tc>
          <w:tcPr>
            <w:tcW w:w="13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w:t>
            </w:r>
          </w:p>
        </w:tc>
        <w:tc>
          <w:tcPr>
            <w:tcW w:w="360" w:type="dxa"/>
            <w:vAlign w:val="bottom"/>
          </w:tcPr>
          <w:p>
            <w:pPr>
              <w:ind w:left="160"/>
              <w:spacing w:after="0"/>
              <w:rPr>
                <w:sz w:val="20"/>
                <w:szCs w:val="20"/>
                <w:color w:val="auto"/>
              </w:rPr>
            </w:pPr>
            <w:r>
              <w:rPr>
                <w:rFonts w:ascii="Wingdings" w:cs="Wingdings" w:eastAsia="Wingdings" w:hAnsi="Wingdings"/>
                <w:sz w:val="18"/>
                <w:szCs w:val="18"/>
                <w:b w:val="1"/>
                <w:bCs w:val="1"/>
                <w:color w:val="auto"/>
                <w:w w:val="94"/>
              </w:rPr>
              <w:t>x</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3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w:t>
            </w:r>
          </w:p>
        </w:tc>
        <w:tc>
          <w:tcPr>
            <w:tcW w:w="360" w:type="dxa"/>
            <w:vAlign w:val="bottom"/>
          </w:tcPr>
          <w:p>
            <w:pPr>
              <w:ind w:left="160"/>
              <w:spacing w:after="0"/>
              <w:rPr>
                <w:sz w:val="20"/>
                <w:szCs w:val="20"/>
                <w:color w:val="auto"/>
              </w:rPr>
            </w:pPr>
            <w:r>
              <w:rPr>
                <w:rFonts w:ascii="Wingdings" w:cs="Wingdings" w:eastAsia="Wingdings" w:hAnsi="Wingdings"/>
                <w:sz w:val="18"/>
                <w:szCs w:val="18"/>
                <w:b w:val="1"/>
                <w:bCs w:val="1"/>
                <w:color w:val="auto"/>
                <w:w w:val="94"/>
              </w:rPr>
              <w:t>x</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3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w:t>
            </w:r>
          </w:p>
        </w:tc>
        <w:tc>
          <w:tcPr>
            <w:tcW w:w="360" w:type="dxa"/>
            <w:vAlign w:val="bottom"/>
          </w:tcPr>
          <w:p>
            <w:pPr>
              <w:ind w:left="16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115"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On July 31, 2025, Evergy, Inc. had 230,155,314 shares of common stock outstanding. On July 31, 2025, Evergy Metro, Inc. and Evergy Kansas Central, Inc. each had one share of common stock outstanding and held by Evergy, Inc.</w:t>
      </w:r>
    </w:p>
    <w:p>
      <w:pPr>
        <w:spacing w:after="0" w:line="149" w:lineRule="exact"/>
        <w:rPr>
          <w:sz w:val="20"/>
          <w:szCs w:val="20"/>
          <w:color w:val="auto"/>
        </w:rPr>
      </w:pPr>
    </w:p>
    <w:p>
      <w:pPr>
        <w:ind w:left="20" w:right="580"/>
        <w:spacing w:after="0" w:line="248" w:lineRule="auto"/>
        <w:rPr>
          <w:sz w:val="20"/>
          <w:szCs w:val="20"/>
          <w:color w:val="auto"/>
        </w:rPr>
      </w:pPr>
      <w:r>
        <w:rPr>
          <w:rFonts w:ascii="Times New Roman" w:cs="Times New Roman" w:eastAsia="Times New Roman" w:hAnsi="Times New Roman"/>
          <w:sz w:val="16"/>
          <w:szCs w:val="16"/>
          <w:b w:val="1"/>
          <w:bCs w:val="1"/>
          <w:color w:val="auto"/>
        </w:rPr>
        <w:t>Evergy Kansas Central, Inc. and Evergy Metro, Inc. meet the conditions set forth in General Instruction (H)(1)(a) and (b) of Form 10-Q and are therefore filing this Form 10-Q with the reduced disclosure format.</w:t>
      </w:r>
    </w:p>
    <w:p>
      <w:pPr>
        <w:spacing w:after="0" w:line="2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This combined Quarterly Report on Form 10-Q is provided by the following registrants: Evergy, Inc. (Evergy), Evergy Kansas Central, Inc. (Evergy Kansas Central) and Evergy Metro, Inc. (Evergy Metro) (collectively, the Evergy Companies). Information relating to any individual registrant is filed by such registrant solely on its own behalf. Each registrant makes no representation as to information relating exclusively to the other registrants.</w:t>
      </w:r>
    </w:p>
    <w:p>
      <w:pPr>
        <w:spacing w:after="0" w:line="172"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0"/>
          <w:szCs w:val="20"/>
          <w:color w:val="auto"/>
        </w:rPr>
        <w:t>This report should be read in its entirety. No one section of the report deals with all aspects of the subject matter. It should be read in conjunction with the consolidated financial statements and related notes and with the management's discussion and analysis of financial condition and results of operations included in the annual report on Form 10-K for the fiscal year ended December 31, 2024 for each of Evergy, Evergy Kansas Central and Evergy Metro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gridSpan w:val="11"/>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w w:val="96"/>
              </w:rPr>
              <w:t>Page Number</w:t>
            </w: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9"/>
              </w:rPr>
              <w:t>Cautionary Statements Regarding Certain Forward-Looking Information</w:t>
            </w:r>
          </w:p>
        </w:tc>
        <w:tc>
          <w:tcPr>
            <w:tcW w:w="4020" w:type="dxa"/>
            <w:vAlign w:val="bottom"/>
            <w:gridSpan w:val="8"/>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Borders>
              <w:top w:val="single" w:sz="8" w:color="auto"/>
            </w:tcBorders>
            <w:gridSpan w:val="3"/>
          </w:tcPr>
          <w:p>
            <w:pPr>
              <w:jc w:val="center"/>
              <w:ind w:left="350"/>
              <w:spacing w:after="0"/>
              <w:rPr>
                <w:sz w:val="20"/>
                <w:szCs w:val="20"/>
                <w:color w:val="auto"/>
              </w:rPr>
            </w:pPr>
            <w:r>
              <w:rPr>
                <w:rFonts w:ascii="Times New Roman" w:cs="Times New Roman" w:eastAsia="Times New Roman" w:hAnsi="Times New Roman"/>
                <w:sz w:val="18"/>
                <w:szCs w:val="18"/>
                <w:color w:val="0000FF"/>
                <w:w w:val="88"/>
              </w:rPr>
              <w:t>4</w:t>
            </w:r>
          </w:p>
        </w:tc>
        <w:tc>
          <w:tcPr>
            <w:tcW w:w="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Glossary of Terms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0000FF"/>
                <w:w w:val="88"/>
              </w:rPr>
              <w:t>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6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0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Evergy, Inc.</w:t>
            </w:r>
          </w:p>
        </w:tc>
        <w:tc>
          <w:tcPr>
            <w:tcW w:w="520" w:type="dxa"/>
            <w:vAlign w:val="bottom"/>
            <w:tcBorders>
              <w:top w:val="single" w:sz="8" w:color="0000FF"/>
            </w:tcBorders>
            <w:gridSpan w:val="4"/>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Balance Sheets</w:t>
            </w:r>
          </w:p>
        </w:tc>
        <w:tc>
          <w:tcPr>
            <w:tcW w:w="5040" w:type="dxa"/>
            <w:vAlign w:val="bottom"/>
            <w:gridSpan w:val="13"/>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0000FF"/>
                <w:w w:val="88"/>
              </w:rPr>
              <w:t>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8"/>
              </w:rPr>
              <w:t>Unaudited Consolidated Statements of Comprehensive Income</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0000FF"/>
                <w:w w:val="88"/>
              </w:rPr>
              <w:t>11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FF"/>
              </w:rPr>
              <w:t>Evergy Kansas Central, Inc.</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Balance Sheets</w:t>
            </w:r>
          </w:p>
        </w:tc>
        <w:tc>
          <w:tcPr>
            <w:tcW w:w="5040" w:type="dxa"/>
            <w:vAlign w:val="bottom"/>
            <w:gridSpan w:val="13"/>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7"/>
              </w:rPr>
              <w:t>Unaudited Consolidated Statements of Income</w:t>
            </w:r>
          </w:p>
        </w:tc>
        <w:tc>
          <w:tcPr>
            <w:tcW w:w="4600" w:type="dxa"/>
            <w:vAlign w:val="bottom"/>
            <w:gridSpan w:val="10"/>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4260" w:type="dxa"/>
            <w:vAlign w:val="bottom"/>
            <w:gridSpan w:val="9"/>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FF"/>
              </w:rPr>
              <w:t>Evergy Metro, Inc.</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Balance Sheets</w:t>
            </w:r>
          </w:p>
        </w:tc>
        <w:tc>
          <w:tcPr>
            <w:tcW w:w="5040" w:type="dxa"/>
            <w:vAlign w:val="bottom"/>
            <w:gridSpan w:val="13"/>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8"/>
              </w:rPr>
              <w:t>Unaudited Consolidated Statements of Comprehensive Income</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Combined Notes to Unaudited Consolidated Financial Statements for Evergy, Inc., Evergy Kansas Central,</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540" w:type="dxa"/>
            <w:vAlign w:val="bottom"/>
            <w:tcBorders>
              <w:top w:val="single" w:sz="8" w:color="0000FF"/>
            </w:tcBorders>
            <w:gridSpan w:val="28"/>
          </w:tcPr>
          <w:p>
            <w:pPr>
              <w:spacing w:after="0" w:line="156" w:lineRule="exact"/>
              <w:rPr>
                <w:sz w:val="20"/>
                <w:szCs w:val="20"/>
                <w:color w:val="auto"/>
              </w:rPr>
            </w:pPr>
            <w:r>
              <w:rPr>
                <w:rFonts w:ascii="Times New Roman" w:cs="Times New Roman" w:eastAsia="Times New Roman" w:hAnsi="Times New Roman"/>
                <w:sz w:val="18"/>
                <w:szCs w:val="18"/>
                <w:color w:val="0000FF"/>
              </w:rPr>
              <w:t>Inc. and Evergy Metro, Inc.</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w:t>
            </w:r>
          </w:p>
        </w:tc>
        <w:tc>
          <w:tcPr>
            <w:tcW w:w="28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Organization and Basis of Presentation</w:t>
            </w:r>
          </w:p>
        </w:tc>
        <w:tc>
          <w:tcPr>
            <w:tcW w:w="3840" w:type="dxa"/>
            <w:vAlign w:val="bottom"/>
            <w:gridSpan w:val="7"/>
          </w:tcPr>
          <w:p>
            <w:pPr>
              <w:spacing w:after="0"/>
              <w:rPr>
                <w:sz w:val="19"/>
                <w:szCs w:val="19"/>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2:</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5"/>
              </w:rPr>
              <w:t>Revenue</w:t>
            </w:r>
          </w:p>
        </w:tc>
        <w:tc>
          <w:tcPr>
            <w:tcW w:w="2180" w:type="dxa"/>
            <w:vAlign w:val="bottom"/>
            <w:gridSpan w:val="12"/>
          </w:tcPr>
          <w:p>
            <w:pPr>
              <w:spacing w:after="0"/>
              <w:rPr>
                <w:sz w:val="18"/>
                <w:szCs w:val="18"/>
                <w:color w:val="auto"/>
              </w:rPr>
            </w:pPr>
          </w:p>
        </w:tc>
        <w:tc>
          <w:tcPr>
            <w:tcW w:w="3840" w:type="dxa"/>
            <w:vAlign w:val="bottom"/>
            <w:gridSpan w:val="7"/>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3:</w:t>
            </w:r>
          </w:p>
        </w:tc>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Receivables</w:t>
            </w:r>
          </w:p>
        </w:tc>
        <w:tc>
          <w:tcPr>
            <w:tcW w:w="5780" w:type="dxa"/>
            <w:vAlign w:val="bottom"/>
            <w:gridSpan w:val="17"/>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4:</w:t>
            </w:r>
          </w:p>
        </w:tc>
        <w:tc>
          <w:tcPr>
            <w:tcW w:w="6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Rate Matters and Regulation</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5:</w:t>
            </w:r>
          </w:p>
        </w:tc>
        <w:tc>
          <w:tcPr>
            <w:tcW w:w="20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Goodwill</w:t>
            </w:r>
          </w:p>
        </w:tc>
        <w:tc>
          <w:tcPr>
            <w:tcW w:w="4600" w:type="dxa"/>
            <w:vAlign w:val="bottom"/>
            <w:gridSpan w:val="10"/>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6:</w:t>
            </w:r>
          </w:p>
        </w:tc>
        <w:tc>
          <w:tcPr>
            <w:tcW w:w="31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Pension Plans and Post-Retirement Benefits</w:t>
            </w:r>
          </w:p>
        </w:tc>
        <w:tc>
          <w:tcPr>
            <w:tcW w:w="3480" w:type="dxa"/>
            <w:vAlign w:val="bottom"/>
            <w:gridSpan w:val="5"/>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7:</w:t>
            </w:r>
          </w:p>
        </w:tc>
        <w:tc>
          <w:tcPr>
            <w:tcW w:w="6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Short-Term Borrowings and Short-Term Bank Lines of Credit</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8:</w:t>
            </w: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6"/>
              </w:rPr>
              <w:t>Long-Term Debt</w:t>
            </w:r>
          </w:p>
        </w:tc>
        <w:tc>
          <w:tcPr>
            <w:tcW w:w="3240" w:type="dxa"/>
            <w:vAlign w:val="bottom"/>
            <w:gridSpan w:val="12"/>
          </w:tcPr>
          <w:p>
            <w:pPr>
              <w:spacing w:after="0"/>
              <w:rPr>
                <w:sz w:val="18"/>
                <w:szCs w:val="18"/>
                <w:color w:val="auto"/>
              </w:rPr>
            </w:pPr>
          </w:p>
        </w:tc>
        <w:tc>
          <w:tcPr>
            <w:tcW w:w="2200" w:type="dxa"/>
            <w:vAlign w:val="bottom"/>
            <w:gridSpan w:val="3"/>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9:</w:t>
            </w:r>
          </w:p>
        </w:tc>
        <w:tc>
          <w:tcPr>
            <w:tcW w:w="16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7"/>
              </w:rPr>
              <w:t>Derivative Instruments</w:t>
            </w:r>
          </w:p>
        </w:tc>
        <w:tc>
          <w:tcPr>
            <w:tcW w:w="5000" w:type="dxa"/>
            <w:vAlign w:val="bottom"/>
            <w:gridSpan w:val="1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40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10:</w:t>
            </w:r>
          </w:p>
        </w:tc>
        <w:tc>
          <w:tcPr>
            <w:tcW w:w="6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Fair Value Measurements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44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11:</w:t>
            </w:r>
          </w:p>
        </w:tc>
        <w:tc>
          <w:tcPr>
            <w:tcW w:w="6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49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12:</w:t>
            </w:r>
          </w:p>
        </w:tc>
        <w:tc>
          <w:tcPr>
            <w:tcW w:w="6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Related Party Transactions and Relationships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380" w:type="dxa"/>
            <w:vAlign w:val="bottom"/>
            <w:gridSpan w:val="8"/>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13:</w:t>
            </w:r>
          </w:p>
        </w:tc>
        <w:tc>
          <w:tcPr>
            <w:tcW w:w="32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Taxes</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14:</w:t>
            </w:r>
          </w:p>
        </w:tc>
        <w:tc>
          <w:tcPr>
            <w:tcW w:w="15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7"/>
              </w:rPr>
              <w:t>Segment Information</w:t>
            </w:r>
          </w:p>
        </w:tc>
        <w:tc>
          <w:tcPr>
            <w:tcW w:w="5120" w:type="dxa"/>
            <w:vAlign w:val="bottom"/>
            <w:gridSpan w:val="1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640" w:type="dxa"/>
            <w:vAlign w:val="bottom"/>
            <w:gridSpan w:val="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2020" w:type="dxa"/>
            <w:vAlign w:val="bottom"/>
            <w:gridSpan w:val="10"/>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00" w:type="dxa"/>
            <w:vAlign w:val="bottom"/>
            <w:gridSpan w:val="4"/>
          </w:tcPr>
          <w:p>
            <w:pPr>
              <w:spacing w:after="0"/>
              <w:rPr>
                <w:sz w:val="18"/>
                <w:szCs w:val="18"/>
                <w:color w:val="auto"/>
              </w:rPr>
            </w:pPr>
          </w:p>
        </w:tc>
        <w:tc>
          <w:tcPr>
            <w:tcW w:w="1640" w:type="dxa"/>
            <w:vAlign w:val="bottom"/>
            <w:gridSpan w:val="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2020" w:type="dxa"/>
            <w:vAlign w:val="bottom"/>
            <w:gridSpan w:val="10"/>
            <w:shd w:val="clear" w:color="auto" w:fill="0000FF"/>
          </w:tcPr>
          <w:p>
            <w:pPr>
              <w:spacing w:after="0" w:line="20" w:lineRule="exact"/>
              <w:rPr>
                <w:sz w:val="1"/>
                <w:szCs w:val="1"/>
                <w:color w:val="auto"/>
              </w:rPr>
            </w:pPr>
          </w:p>
        </w:tc>
        <w:tc>
          <w:tcPr>
            <w:tcW w:w="3740" w:type="dxa"/>
            <w:vAlign w:val="bottom"/>
            <w:tcBorders>
              <w:left w:val="single" w:sz="8" w:color="0000FF"/>
            </w:tcBorders>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740" w:type="dxa"/>
            <w:vAlign w:val="bottom"/>
            <w:gridSpan w:val="6"/>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50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0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gridSpan w:val="10"/>
          </w:tcPr>
          <w:p>
            <w:pPr>
              <w:spacing w:after="0"/>
              <w:rPr>
                <w:sz w:val="18"/>
                <w:szCs w:val="18"/>
                <w:color w:val="auto"/>
              </w:rPr>
            </w:pPr>
          </w:p>
        </w:tc>
        <w:tc>
          <w:tcPr>
            <w:tcW w:w="3740" w:type="dxa"/>
            <w:vAlign w:val="bottom"/>
            <w:gridSpan w:val="6"/>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020" w:type="dxa"/>
            <w:vAlign w:val="bottom"/>
            <w:tcBorders>
              <w:left w:val="single" w:sz="8" w:color="0000FF"/>
            </w:tcBorders>
            <w:gridSpan w:val="7"/>
            <w:shd w:val="clear" w:color="auto" w:fill="0000FF"/>
          </w:tcPr>
          <w:p>
            <w:pPr>
              <w:spacing w:after="0" w:line="20" w:lineRule="exact"/>
              <w:rPr>
                <w:sz w:val="1"/>
                <w:szCs w:val="1"/>
                <w:color w:val="auto"/>
              </w:rPr>
            </w:pPr>
          </w:p>
        </w:tc>
        <w:tc>
          <w:tcPr>
            <w:tcW w:w="5760" w:type="dxa"/>
            <w:vAlign w:val="bottom"/>
            <w:gridSpan w:val="1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760" w:type="dxa"/>
            <w:vAlign w:val="bottom"/>
            <w:gridSpan w:val="16"/>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79</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40"/>
          </w:cols>
          <w:pgMar w:left="320" w:top="118" w:right="8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18" w:right="8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STATEMENTS REGARDING CERTAIN FORWARD-LOOKING INFORMATION</w:t>
      </w:r>
    </w:p>
    <w:p>
      <w:pPr>
        <w:spacing w:after="0" w:line="3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Statements made in this document that are not based on historical facts are forward-looking,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including demand driven by new and existing customers;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"guidance," "should," "could," "may," "seeks," "intends," "predict," "potential," "opportunities,"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18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In connection with the safe harbor provisions of the Private Securities Litigation Reform Act of 1995, the Evergy Companies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significant changes in the demand for electricity; changes in business strategy or operations, including with respect to the Evergy Companies' strategy to meet demand requirements of existing and future customers; the impact of federal, state and local political, legislative, judicial and regulatory actions or developments, including deregulation, re-regulation, securitization and restructuring of the electric utility industry; changes in U.S. trade policies (including tariffs and other trade measures) and responses from other countries; the ability to build or acquire generation and transmission facilities to meet the future demand for electricity from customers; the ability to control costs, avoid costs and schedule overruns during the development, construction and operation of generation, transmission, distribution or other projects due to challenges, which include, but are not limited to, changes in labor costs, availability and productivity, challenges with the management of contractors or vendors, subcontractor performance, shortages, delays, increased costs or inconsistent quality of equipment, materials and labor and increased financing costs as a result of changes in interest rates or as a result of project delays;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development, adoption and use of artificial intelligence by the Evergy Companies and its third-party vendors; the impact of climate change, including increased frequency and severity of significant weather events; risks relating to potential wildfires, including costs of litigation, potential regulatory penalties and damages in excess of insurance liability coverage; the extent to which counterparties are willing to do business with, finance the operations of or purchase energy from the Evergy Companies due to the fact that the Evergy Companies operate coal-fired generation; prices and availability of electricity and natural gas in wholesale markets; market perception of the energy industry and the Evergy Companies; the impact of future pandemic health events on, among other things, sales, results of operations, financial position,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(RTO) and independent system operators; financial market conditions and performance, disruptions in the banking industry, including volatility in interest rates and credit spreads and in availability and cost of capital and the effects on derivatives and hedges, nuclear decommissioning trust and pension plan assets and costs; impairments of long-lived assets or goodwill; credit ratings; inflation rates; effectiveness of risk management policies and procedures and the ability of counterparties to satisfy their contractual commitments;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impact of geopolitical conflicts on the global energy market, including the ability to contract for non-Russian sourced uranium; ability to carry out marketing and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plans; cost, availability, quality and timely provision of equipment, supplies, labor and fuel; ability to achieve generation goals and the occurrence and duration of planned and unplanned generation outages; the Evergy Companies' ability to manage their generation,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wages, retirement, health care and other benefits; disruption, costs and uncertainties caused by or related to the actions of individuals or entities, such as activist shareholders or special interest groups, that seek to influence Evergy's strategic plan, financial results or operations; the impact of changing expectations and demands of the Evergy Companies' customers, regulators, investors and stakeholders, including differing views on environmental, social and governance concerns; the possibility that strategic initiatives, including mergers, acquisitions, joint ventures and divestitures, and long-term financial plans, may not create the value that they are expected to achieve in a timely manner or at all; difficulties in maintaining relationships with customers, employees, contractors, regulators or suppliers; the outcome of litigation involving the Evergy Companies; and other risks and uncertainties.</w:t>
      </w:r>
    </w:p>
    <w:p>
      <w:pPr>
        <w:spacing w:after="0" w:line="17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This list of factors is not all-inclusive because it is not possible to predict all factors. You should also carefully consider the information contained in the Evergy Companies' other filings with the Securities and Exchange Commission (SEC). Additional risks and uncertainties are discussed from time to time in current, quarterly and annual reports filed by the Evergy Companies with the SEC. New factors emerge from time to time, and it's not possible for the Evergy Companies to predict all such factors, nor can the Evergy Companies assess the impact of each such factor on the business or the extent to which any factor, or combination of factors, may cause actual results to differ materially from those contained or implied in any forward-looking statement. Given these uncertainties, undue reliance should not be placed on these forward-looking statements. The Evergy Companies undertake no obligation to publicly update or revise any forward-looking statement, whether as a result of new information, future events or otherwise, except as required by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6"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0"/>
          <w:szCs w:val="20"/>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79"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0"/>
          <w:szCs w:val="20"/>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GLOSSARY OF TERMS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glossary of frequently used abbreviations or acronyms that are found throughout this report.</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8"/>
              </w:rPr>
              <w:t>Abbreviation or Acronym</w:t>
            </w:r>
          </w:p>
        </w:tc>
        <w:tc>
          <w:tcPr>
            <w:tcW w:w="8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Definition</w:t>
            </w:r>
          </w:p>
        </w:tc>
        <w:tc>
          <w:tcPr>
            <w:tcW w:w="0" w:type="dxa"/>
            <w:vAlign w:val="bottom"/>
          </w:tcPr>
          <w:p>
            <w:pPr>
              <w:spacing w:after="0"/>
              <w:rPr>
                <w:sz w:val="1"/>
                <w:szCs w:val="1"/>
                <w:color w:val="auto"/>
              </w:rPr>
            </w:pPr>
          </w:p>
        </w:tc>
      </w:tr>
      <w:tr>
        <w:trPr>
          <w:trHeight w:val="534"/>
        </w:trPr>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AEP</w:t>
            </w:r>
          </w:p>
        </w:tc>
        <w:tc>
          <w:tcPr>
            <w:tcW w:w="860" w:type="dxa"/>
            <w:vAlign w:val="bottom"/>
          </w:tcPr>
          <w:p>
            <w:pPr>
              <w:spacing w:after="0"/>
              <w:rPr>
                <w:sz w:val="24"/>
                <w:szCs w:val="24"/>
                <w:color w:val="auto"/>
              </w:rPr>
            </w:pPr>
          </w:p>
        </w:tc>
        <w:tc>
          <w:tcPr>
            <w:tcW w:w="38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American Electric Power Company, Inc.</w:t>
            </w:r>
          </w:p>
        </w:tc>
        <w:tc>
          <w:tcPr>
            <w:tcW w:w="840" w:type="dxa"/>
            <w:vAlign w:val="bottom"/>
            <w:tcBorders>
              <w:top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AFUDC</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Allowance for funds used during construction</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AOCI</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AROs</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Asset retirement obligations</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ATM Program</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At-the-Market Program</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BSER</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Best system of emission reduction</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CAA</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Clean Air Act</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CCN</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Certificate of Convenience and Necessity</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CCRs</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Coal combustion residuals</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CCS</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Carbon capture and sequestration</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line="257" w:lineRule="exact"/>
              <w:rPr>
                <w:sz w:val="20"/>
                <w:szCs w:val="20"/>
                <w:color w:val="auto"/>
              </w:rPr>
            </w:pPr>
            <w:r>
              <w:rPr>
                <w:rFonts w:ascii="Times New Roman" w:cs="Times New Roman" w:eastAsia="Times New Roman" w:hAnsi="Times New Roman"/>
                <w:sz w:val="20"/>
                <w:szCs w:val="20"/>
                <w:b w:val="1"/>
                <w:bCs w:val="1"/>
                <w:color w:val="auto"/>
              </w:rPr>
              <w:t>CO</w:t>
            </w:r>
            <w:r>
              <w:rPr>
                <w:rFonts w:ascii="Times New Roman" w:cs="Times New Roman" w:eastAsia="Times New Roman" w:hAnsi="Times New Roman"/>
                <w:sz w:val="25"/>
                <w:szCs w:val="25"/>
                <w:b w:val="1"/>
                <w:bCs w:val="1"/>
                <w:color w:val="auto"/>
                <w:vertAlign w:val="subscript"/>
              </w:rPr>
              <w:t>2</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Carbon dioxide</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COLI</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Corporate-owned life insurance</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CSAPR</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Cross-State Air Pollution Rule</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CWIP</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Construction work in progress</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EPA</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Environmental Protection Agency</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EPS</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Earnings per common share</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Evergy, Inc. and its consolidated subsidiaries</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Board</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Evergy Board of Directors</w:t>
            </w:r>
          </w:p>
        </w:tc>
        <w:tc>
          <w:tcPr>
            <w:tcW w:w="0" w:type="dxa"/>
            <w:vAlign w:val="bottom"/>
          </w:tcPr>
          <w:p>
            <w:pPr>
              <w:spacing w:after="0"/>
              <w:rPr>
                <w:sz w:val="1"/>
                <w:szCs w:val="1"/>
                <w:color w:val="auto"/>
              </w:rPr>
            </w:pPr>
          </w:p>
        </w:tc>
      </w:tr>
      <w:tr>
        <w:trPr>
          <w:trHeight w:val="206"/>
        </w:trPr>
        <w:tc>
          <w:tcPr>
            <w:tcW w:w="306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Evergy Companies</w:t>
            </w:r>
          </w:p>
        </w:tc>
        <w:tc>
          <w:tcPr>
            <w:tcW w:w="8040" w:type="dxa"/>
            <w:vAlign w:val="bottom"/>
            <w:gridSpan w:val="3"/>
          </w:tcPr>
          <w:p>
            <w:pPr>
              <w:ind w:left="420"/>
              <w:spacing w:after="0" w:line="207" w:lineRule="exact"/>
              <w:rPr>
                <w:sz w:val="20"/>
                <w:szCs w:val="20"/>
                <w:color w:val="auto"/>
              </w:rPr>
            </w:pPr>
            <w:r>
              <w:rPr>
                <w:rFonts w:ascii="Times New Roman" w:cs="Times New Roman" w:eastAsia="Times New Roman" w:hAnsi="Times New Roman"/>
                <w:sz w:val="20"/>
                <w:szCs w:val="20"/>
                <w:color w:val="auto"/>
                <w:w w:val="98"/>
              </w:rPr>
              <w:t>Evergy, Evergy Kansas Central, and Evergy Metro, collectively, which are individual registrants</w:t>
            </w:r>
          </w:p>
        </w:tc>
        <w:tc>
          <w:tcPr>
            <w:tcW w:w="0" w:type="dxa"/>
            <w:vAlign w:val="bottom"/>
          </w:tcPr>
          <w:p>
            <w:pPr>
              <w:spacing w:after="0"/>
              <w:rPr>
                <w:sz w:val="1"/>
                <w:szCs w:val="1"/>
                <w:color w:val="auto"/>
              </w:rPr>
            </w:pPr>
          </w:p>
        </w:tc>
      </w:tr>
      <w:tr>
        <w:trPr>
          <w:trHeight w:val="243"/>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Evergy Kansas Central</w:t>
            </w:r>
          </w:p>
        </w:tc>
        <w:tc>
          <w:tcPr>
            <w:tcW w:w="8040" w:type="dxa"/>
            <w:vAlign w:val="bottom"/>
            <w:gridSpan w:val="3"/>
          </w:tcPr>
          <w:p>
            <w:pPr>
              <w:ind w:left="580"/>
              <w:spacing w:after="0"/>
              <w:rPr>
                <w:sz w:val="20"/>
                <w:szCs w:val="20"/>
                <w:color w:val="auto"/>
              </w:rPr>
            </w:pPr>
            <w:r>
              <w:rPr>
                <w:rFonts w:ascii="Times New Roman" w:cs="Times New Roman" w:eastAsia="Times New Roman" w:hAnsi="Times New Roman"/>
                <w:sz w:val="20"/>
                <w:szCs w:val="20"/>
                <w:color w:val="auto"/>
              </w:rPr>
              <w:t>within the Evergy consolidated group</w:t>
            </w:r>
          </w:p>
        </w:tc>
        <w:tc>
          <w:tcPr>
            <w:tcW w:w="0" w:type="dxa"/>
            <w:vAlign w:val="bottom"/>
          </w:tcPr>
          <w:p>
            <w:pPr>
              <w:spacing w:after="0"/>
              <w:rPr>
                <w:sz w:val="1"/>
                <w:szCs w:val="1"/>
                <w:color w:val="auto"/>
              </w:rPr>
            </w:pPr>
          </w:p>
        </w:tc>
      </w:tr>
      <w:tr>
        <w:trPr>
          <w:trHeight w:val="203"/>
        </w:trPr>
        <w:tc>
          <w:tcPr>
            <w:tcW w:w="3060" w:type="dxa"/>
            <w:vAlign w:val="bottom"/>
            <w:gridSpan w:val="2"/>
            <w:vMerge w:val="continue"/>
          </w:tcPr>
          <w:p>
            <w:pPr>
              <w:spacing w:after="0"/>
              <w:rPr>
                <w:sz w:val="17"/>
                <w:szCs w:val="17"/>
                <w:color w:val="auto"/>
              </w:rPr>
            </w:pPr>
          </w:p>
        </w:tc>
        <w:tc>
          <w:tcPr>
            <w:tcW w:w="8040" w:type="dxa"/>
            <w:vAlign w:val="bottom"/>
            <w:gridSpan w:val="3"/>
          </w:tcPr>
          <w:p>
            <w:pPr>
              <w:ind w:left="420"/>
              <w:spacing w:after="0" w:line="203" w:lineRule="exact"/>
              <w:rPr>
                <w:sz w:val="20"/>
                <w:szCs w:val="20"/>
                <w:color w:val="auto"/>
              </w:rPr>
            </w:pPr>
            <w:r>
              <w:rPr>
                <w:rFonts w:ascii="Times New Roman" w:cs="Times New Roman" w:eastAsia="Times New Roman" w:hAnsi="Times New Roman"/>
                <w:sz w:val="20"/>
                <w:szCs w:val="20"/>
                <w:color w:val="auto"/>
              </w:rPr>
              <w:t>Evergy Kansas Central, Inc., a wholly-owned subsidiary of Evergy, and its consolidated</w:t>
            </w:r>
          </w:p>
        </w:tc>
        <w:tc>
          <w:tcPr>
            <w:tcW w:w="0" w:type="dxa"/>
            <w:vAlign w:val="bottom"/>
          </w:tcPr>
          <w:p>
            <w:pPr>
              <w:spacing w:after="0"/>
              <w:rPr>
                <w:sz w:val="1"/>
                <w:szCs w:val="1"/>
                <w:color w:val="auto"/>
              </w:rPr>
            </w:pPr>
          </w:p>
        </w:tc>
      </w:tr>
      <w:tr>
        <w:trPr>
          <w:trHeight w:val="243"/>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Evergy Kansas South</w:t>
            </w:r>
          </w:p>
        </w:tc>
        <w:tc>
          <w:tcPr>
            <w:tcW w:w="8040" w:type="dxa"/>
            <w:vAlign w:val="bottom"/>
            <w:gridSpan w:val="3"/>
          </w:tcPr>
          <w:p>
            <w:pPr>
              <w:ind w:left="580"/>
              <w:spacing w:after="0"/>
              <w:rPr>
                <w:sz w:val="20"/>
                <w:szCs w:val="20"/>
                <w:color w:val="auto"/>
              </w:rPr>
            </w:pPr>
            <w:r>
              <w:rPr>
                <w:rFonts w:ascii="Times New Roman" w:cs="Times New Roman" w:eastAsia="Times New Roman" w:hAnsi="Times New Roman"/>
                <w:sz w:val="20"/>
                <w:szCs w:val="20"/>
                <w:color w:val="auto"/>
              </w:rPr>
              <w:t>subsidiaries</w:t>
            </w:r>
          </w:p>
        </w:tc>
        <w:tc>
          <w:tcPr>
            <w:tcW w:w="0" w:type="dxa"/>
            <w:vAlign w:val="bottom"/>
          </w:tcPr>
          <w:p>
            <w:pPr>
              <w:spacing w:after="0"/>
              <w:rPr>
                <w:sz w:val="1"/>
                <w:szCs w:val="1"/>
                <w:color w:val="auto"/>
              </w:rPr>
            </w:pPr>
          </w:p>
        </w:tc>
      </w:tr>
      <w:tr>
        <w:trPr>
          <w:trHeight w:val="253"/>
        </w:trPr>
        <w:tc>
          <w:tcPr>
            <w:tcW w:w="3060" w:type="dxa"/>
            <w:vAlign w:val="bottom"/>
            <w:gridSpan w:val="2"/>
            <w:vMerge w:val="continue"/>
          </w:tcPr>
          <w:p>
            <w:pPr>
              <w:spacing w:after="0"/>
              <w:rPr>
                <w:sz w:val="21"/>
                <w:szCs w:val="21"/>
                <w:color w:val="auto"/>
              </w:rPr>
            </w:pP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Evergy Kansas South, Inc., a wholly-owned subsidiary of Evergy Kansas Central</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Metro</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Evergy Metro, Inc., a wholly-owned subsidiary of Evergy, and its consolidated subsidiaries</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Missouri West</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Evergy Missouri West, Inc., a wholly-owned subsidiary of Evergy</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Transmission Company</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Evergy Transmission Company, LLC</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Exchange Act</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The Securities Exchange Act of 1934, as amended</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FERC</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Federal Energy Regulatory Commission</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FIP</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Federal implementation plan</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GAAP</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Generally Accepted Accounting Principles</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GHG</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Greenhouse gas</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HB</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House Bill</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IRP</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Integrated Resource Plan</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ITFIP</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Interstate Transport Federal Implementation Plans</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ITSIP</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Interstate Transport State Implementation Plans</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JEC</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Jeffrey Energy Center</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KCC</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State Corporation Commission of the State of Kansas</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KDHE</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Kansas Department of Health &amp; Environment</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kV</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Kilovolt</w:t>
            </w:r>
          </w:p>
        </w:tc>
        <w:tc>
          <w:tcPr>
            <w:tcW w:w="0" w:type="dxa"/>
            <w:vAlign w:val="bottom"/>
          </w:tcPr>
          <w:p>
            <w:pPr>
              <w:spacing w:after="0"/>
              <w:rPr>
                <w:sz w:val="1"/>
                <w:szCs w:val="1"/>
                <w:color w:val="auto"/>
              </w:rPr>
            </w:pPr>
          </w:p>
        </w:tc>
      </w:tr>
      <w:tr>
        <w:trPr>
          <w:trHeight w:val="262"/>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MDNR</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Missouri Department of Natural Resources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Table of Contents</w:t>
            </w:r>
          </w:p>
        </w:tc>
        <w:tc>
          <w:tcPr>
            <w:tcW w:w="1440" w:type="dxa"/>
            <w:vAlign w:val="bottom"/>
            <w:gridSpan w:val="2"/>
          </w:tcPr>
          <w:p>
            <w:pPr>
              <w:spacing w:after="0"/>
              <w:rPr>
                <w:sz w:val="19"/>
                <w:szCs w:val="19"/>
                <w:color w:val="auto"/>
              </w:rPr>
            </w:pPr>
          </w:p>
        </w:tc>
        <w:tc>
          <w:tcPr>
            <w:tcW w:w="4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885"/>
        </w:trPr>
        <w:tc>
          <w:tcPr>
            <w:tcW w:w="2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Abbreviation or Acronym</w:t>
            </w:r>
          </w:p>
        </w:tc>
        <w:tc>
          <w:tcPr>
            <w:tcW w:w="6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Definition</w:t>
            </w:r>
          </w:p>
        </w:tc>
      </w:tr>
      <w:tr>
        <w:trPr>
          <w:trHeight w:val="20"/>
        </w:trPr>
        <w:tc>
          <w:tcPr>
            <w:tcW w:w="20" w:type="dxa"/>
            <w:vAlign w:val="bottom"/>
          </w:tcPr>
          <w:p>
            <w:pPr>
              <w:spacing w:after="0" w:line="20" w:lineRule="exact"/>
              <w:rPr>
                <w:sz w:val="1"/>
                <w:szCs w:val="1"/>
                <w:color w:val="auto"/>
              </w:rPr>
            </w:pPr>
          </w:p>
        </w:tc>
        <w:tc>
          <w:tcPr>
            <w:tcW w:w="220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MPSC</w:t>
            </w:r>
          </w:p>
        </w:tc>
        <w:tc>
          <w:tcPr>
            <w:tcW w:w="640" w:type="dxa"/>
            <w:vAlign w:val="bottom"/>
          </w:tcPr>
          <w:p>
            <w:pPr>
              <w:spacing w:after="0"/>
              <w:rPr>
                <w:sz w:val="24"/>
                <w:szCs w:val="24"/>
                <w:color w:val="auto"/>
              </w:rPr>
            </w:pP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Public Service Commission of the State of Missouri</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MW</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Megawatt</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MWh</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Megawatt hour</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NAAQS</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National Ambient Air Quality Standards</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NAV</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Net asset value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OBBBA</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One Big Beautiful Bill Act</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OCI</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Other comprehensive income</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PISA</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Plant-in-service accounting</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Prairie Wind</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Prairie Wind Transmission, LLC, 50% owned by Evergy Kansas Central</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RSU</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Restricted share unit</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RTO</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Regional transmission organization</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SB</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Senate Bill</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SEC</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Securities and Exchange Commission</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SIP</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State implementation plan</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SPP</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Southwest Power Pool, Inc.</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TCR</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Transmission congestion rights</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TDC</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Transmission delivery charge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TFR</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Transmission formula rate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Transource</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Transource Energy, LLC and its subsidiaries, 13.5% owned by Evergy Transmission Company</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VIE</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Variable interest entity</w:t>
            </w:r>
          </w:p>
        </w:tc>
      </w:tr>
      <w:tr>
        <w:trPr>
          <w:trHeight w:val="262"/>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Wolf Creek</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Wolf Creek Generating Station</w:t>
            </w:r>
          </w:p>
        </w:tc>
      </w:tr>
      <w:tr>
        <w:trPr>
          <w:trHeight w:val="966"/>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 - FINANCIAL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8"/>
                <w:szCs w:val="18"/>
                <w:color w:val="auto"/>
              </w:rPr>
            </w:pPr>
          </w:p>
        </w:tc>
        <w:tc>
          <w:tcPr>
            <w:tcW w:w="2480" w:type="dxa"/>
            <w:vAlign w:val="bottom"/>
            <w:gridSpan w:val="3"/>
          </w:tcPr>
          <w:p>
            <w:pPr>
              <w:jc w:val="right"/>
              <w:ind w:right="39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27.8</w:t>
            </w:r>
          </w:p>
        </w:tc>
        <w:tc>
          <w:tcPr>
            <w:tcW w:w="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22.0</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for credit losses of $12.7 and $15.7, respectively</w:t>
            </w:r>
          </w:p>
        </w:tc>
        <w:tc>
          <w:tcPr>
            <w:tcW w:w="18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390.8</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245.4</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338.0</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401.0</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18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845.7</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867.4</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11.1</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assets, includes $16.3 and $15.9 related to variable interest entity, respectively</w:t>
            </w:r>
          </w:p>
        </w:tc>
        <w:tc>
          <w:tcPr>
            <w:tcW w:w="18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156.9</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180.9</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62.5</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66.1</w:t>
            </w:r>
          </w:p>
        </w:tc>
      </w:tr>
      <w:tr>
        <w:trPr>
          <w:trHeight w:val="214"/>
        </w:trPr>
        <w:tc>
          <w:tcPr>
            <w:tcW w:w="8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43.8</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45.4</w:t>
            </w:r>
          </w:p>
        </w:tc>
      </w:tr>
      <w:tr>
        <w:trPr>
          <w:trHeight w:val="211"/>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1,865.5</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1,839.3</w:t>
            </w:r>
          </w:p>
        </w:tc>
      </w:tr>
      <w:tr>
        <w:trPr>
          <w:trHeight w:val="208"/>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includes $122.9 and $126.5 related to variable interest entity, respectively</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25,409.8</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24,930.9</w:t>
            </w:r>
          </w:p>
        </w:tc>
      </w:tr>
      <w:tr>
        <w:trPr>
          <w:trHeight w:val="211"/>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assets, includes $286.3 and $294.5 related to variable interest entity, respectively</w:t>
            </w:r>
          </w:p>
        </w:tc>
        <w:tc>
          <w:tcPr>
            <w:tcW w:w="18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1,807.9</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1,719.3</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Nuclear decommissioning trust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929.8</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879.8</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2,336.6</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2,336.6</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561.7</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576.2</w:t>
            </w:r>
          </w:p>
        </w:tc>
      </w:tr>
      <w:tr>
        <w:trPr>
          <w:trHeight w:val="208"/>
        </w:trPr>
        <w:tc>
          <w:tcPr>
            <w:tcW w:w="8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Assets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5,636.0</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5,511.9</w:t>
            </w:r>
          </w:p>
        </w:tc>
      </w:tr>
      <w:tr>
        <w:trPr>
          <w:trHeight w:val="218"/>
        </w:trPr>
        <w:tc>
          <w:tcPr>
            <w:tcW w:w="8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32,911.3</w:t>
            </w: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32,282.1</w:t>
            </w: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212"/>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tcPr>
          <w:p>
            <w:pPr>
              <w:spacing w:after="0"/>
              <w:rPr>
                <w:sz w:val="18"/>
                <w:szCs w:val="18"/>
                <w:color w:val="auto"/>
              </w:rPr>
            </w:pPr>
          </w:p>
        </w:tc>
        <w:tc>
          <w:tcPr>
            <w:tcW w:w="244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0" w:type="dxa"/>
            <w:vAlign w:val="bottom"/>
          </w:tcPr>
          <w:p>
            <w:pPr>
              <w:spacing w:after="0"/>
              <w:rPr>
                <w:sz w:val="1"/>
                <w:szCs w:val="1"/>
                <w:color w:val="auto"/>
              </w:rPr>
            </w:pPr>
          </w:p>
        </w:tc>
      </w:tr>
      <w:tr>
        <w:trPr>
          <w:trHeight w:val="217"/>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 includes $16.6 and $16.2 related to variable interest entity, respectively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652.5</w:t>
            </w: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651.7</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1,423.2</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1,207.6</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Collateralized note payable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338.0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401.0</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387.8</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613.8</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taxes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253.4</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159.0</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interest, includes $1.3 and $1.3 related to variable interest entity, respectively</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119.0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136.4</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168.5</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173.8</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31.3</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66.2</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73.0</w:t>
            </w:r>
          </w:p>
        </w:tc>
        <w:tc>
          <w:tcPr>
            <w:tcW w:w="0" w:type="dxa"/>
            <w:vAlign w:val="bottom"/>
          </w:tcPr>
          <w:p>
            <w:pPr>
              <w:spacing w:after="0"/>
              <w:rPr>
                <w:sz w:val="1"/>
                <w:szCs w:val="1"/>
                <w:color w:val="auto"/>
              </w:rPr>
            </w:pPr>
          </w:p>
        </w:tc>
      </w:tr>
      <w:tr>
        <w:trPr>
          <w:trHeight w:val="214"/>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269.7</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217.4</w:t>
            </w:r>
          </w:p>
        </w:tc>
        <w:tc>
          <w:tcPr>
            <w:tcW w:w="0" w:type="dxa"/>
            <w:vAlign w:val="bottom"/>
          </w:tcPr>
          <w:p>
            <w:pPr>
              <w:spacing w:after="0"/>
              <w:rPr>
                <w:sz w:val="1"/>
                <w:szCs w:val="1"/>
                <w:color w:val="auto"/>
              </w:rPr>
            </w:pPr>
          </w:p>
        </w:tc>
      </w:tr>
      <w:tr>
        <w:trPr>
          <w:trHeight w:val="211"/>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3,709.6</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3,662.4</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net, includes $287.6 and $295.7 related to variable interest entity, respectively</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12,398.0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11,809.2</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1,986.4</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2,035.7</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Unamortized investment tax credits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159.3</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162.8</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2,704.4</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2,672.0</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post-retirement liability</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353.6</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371.3</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1,292.7</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1,268.3</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308.1</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311.2</w:t>
            </w:r>
          </w:p>
        </w:tc>
        <w:tc>
          <w:tcPr>
            <w:tcW w:w="0" w:type="dxa"/>
            <w:vAlign w:val="bottom"/>
          </w:tcPr>
          <w:p>
            <w:pPr>
              <w:spacing w:after="0"/>
              <w:rPr>
                <w:sz w:val="1"/>
                <w:szCs w:val="1"/>
                <w:color w:val="auto"/>
              </w:rPr>
            </w:pPr>
          </w:p>
        </w:tc>
      </w:tr>
      <w:tr>
        <w:trPr>
          <w:trHeight w:val="208"/>
        </w:trPr>
        <w:tc>
          <w:tcPr>
            <w:tcW w:w="8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19,202.5</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18,630.5</w:t>
            </w:r>
          </w:p>
        </w:tc>
        <w:tc>
          <w:tcPr>
            <w:tcW w:w="0" w:type="dxa"/>
            <w:vAlign w:val="bottom"/>
          </w:tcPr>
          <w:p>
            <w:pPr>
              <w:spacing w:after="0"/>
              <w:rPr>
                <w:sz w:val="1"/>
                <w:szCs w:val="1"/>
                <w:color w:val="auto"/>
              </w:rPr>
            </w:pPr>
          </w:p>
        </w:tc>
      </w:tr>
      <w:tr>
        <w:trPr>
          <w:trHeight w:val="198"/>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Evergy, Inc. Shareholders' Equity:</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64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Common stock - 600,000,000 shares authorized, without par value</w:t>
            </w:r>
          </w:p>
        </w:tc>
        <w:tc>
          <w:tcPr>
            <w:tcW w:w="160" w:type="dxa"/>
            <w:vAlign w:val="bottom"/>
          </w:tcPr>
          <w:p>
            <w:pPr>
              <w:spacing w:after="0"/>
              <w:rPr>
                <w:sz w:val="14"/>
                <w:szCs w:val="14"/>
                <w:color w:val="auto"/>
              </w:rPr>
            </w:pPr>
          </w:p>
        </w:tc>
        <w:tc>
          <w:tcPr>
            <w:tcW w:w="104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7,258.1</w:t>
            </w:r>
          </w:p>
        </w:tc>
        <w:tc>
          <w:tcPr>
            <w:tcW w:w="460" w:type="dxa"/>
            <w:vAlign w:val="bottom"/>
          </w:tcPr>
          <w:p>
            <w:pPr>
              <w:spacing w:after="0"/>
              <w:rPr>
                <w:sz w:val="14"/>
                <w:szCs w:val="14"/>
                <w:color w:val="auto"/>
              </w:rPr>
            </w:pPr>
          </w:p>
        </w:tc>
        <w:tc>
          <w:tcPr>
            <w:tcW w:w="9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7,245.9</w:t>
            </w:r>
          </w:p>
        </w:tc>
        <w:tc>
          <w:tcPr>
            <w:tcW w:w="0" w:type="dxa"/>
            <w:vAlign w:val="bottom"/>
          </w:tcPr>
          <w:p>
            <w:pPr>
              <w:spacing w:after="0"/>
              <w:rPr>
                <w:sz w:val="1"/>
                <w:szCs w:val="1"/>
                <w:color w:val="auto"/>
              </w:rPr>
            </w:pPr>
          </w:p>
        </w:tc>
      </w:tr>
      <w:tr>
        <w:trPr>
          <w:trHeight w:val="213"/>
        </w:trPr>
        <w:tc>
          <w:tcPr>
            <w:tcW w:w="8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230,151,269 and 229,983,615 shares issued, stated value</w:t>
            </w: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2,721.8</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2,732.9</w:t>
            </w:r>
          </w:p>
        </w:tc>
        <w:tc>
          <w:tcPr>
            <w:tcW w:w="0" w:type="dxa"/>
            <w:vAlign w:val="bottom"/>
          </w:tcPr>
          <w:p>
            <w:pPr>
              <w:spacing w:after="0"/>
              <w:rPr>
                <w:sz w:val="1"/>
                <w:szCs w:val="1"/>
                <w:color w:val="auto"/>
              </w:rPr>
            </w:pPr>
          </w:p>
        </w:tc>
      </w:tr>
      <w:tr>
        <w:trPr>
          <w:trHeight w:val="214"/>
        </w:trPr>
        <w:tc>
          <w:tcPr>
            <w:tcW w:w="8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(21.1)</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11"/>
        </w:trPr>
        <w:tc>
          <w:tcPr>
            <w:tcW w:w="8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Evergy, Inc. Shareholders' Equity</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9,958.8</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9,955.0</w:t>
            </w:r>
          </w:p>
        </w:tc>
        <w:tc>
          <w:tcPr>
            <w:tcW w:w="0" w:type="dxa"/>
            <w:vAlign w:val="bottom"/>
          </w:tcPr>
          <w:p>
            <w:pPr>
              <w:spacing w:after="0"/>
              <w:rPr>
                <w:sz w:val="1"/>
                <w:szCs w:val="1"/>
                <w:color w:val="auto"/>
              </w:rPr>
            </w:pPr>
          </w:p>
        </w:tc>
      </w:tr>
      <w:tr>
        <w:trPr>
          <w:trHeight w:val="214"/>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40.4</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11"/>
        </w:trPr>
        <w:tc>
          <w:tcPr>
            <w:tcW w:w="8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9,999.2</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9,989.2</w:t>
            </w:r>
          </w:p>
        </w:tc>
        <w:tc>
          <w:tcPr>
            <w:tcW w:w="0" w:type="dxa"/>
            <w:vAlign w:val="bottom"/>
          </w:tcPr>
          <w:p>
            <w:pPr>
              <w:spacing w:after="0"/>
              <w:rPr>
                <w:sz w:val="1"/>
                <w:szCs w:val="1"/>
                <w:color w:val="auto"/>
              </w:rPr>
            </w:pPr>
          </w:p>
        </w:tc>
      </w:tr>
      <w:tr>
        <w:trPr>
          <w:trHeight w:val="217"/>
        </w:trPr>
        <w:tc>
          <w:tcPr>
            <w:tcW w:w="8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32,911.3</w:t>
            </w:r>
          </w:p>
        </w:tc>
        <w:tc>
          <w:tcPr>
            <w:tcW w:w="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32,282.1</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to Date</w:t>
            </w:r>
          </w:p>
        </w:tc>
        <w:tc>
          <w:tcPr>
            <w:tcW w:w="700" w:type="dxa"/>
            <w:vAlign w:val="bottom"/>
          </w:tcPr>
          <w:p>
            <w:pPr>
              <w:spacing w:after="0"/>
              <w:rPr>
                <w:sz w:val="16"/>
                <w:szCs w:val="16"/>
                <w:color w:val="auto"/>
              </w:rPr>
            </w:pPr>
          </w:p>
        </w:tc>
      </w:tr>
      <w:tr>
        <w:trPr>
          <w:trHeight w:val="212"/>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00" w:type="dxa"/>
            <w:vAlign w:val="bottom"/>
          </w:tcPr>
          <w:p>
            <w:pPr>
              <w:spacing w:after="0"/>
              <w:rPr>
                <w:sz w:val="18"/>
                <w:szCs w:val="18"/>
                <w:color w:val="auto"/>
              </w:rPr>
            </w:pPr>
          </w:p>
        </w:tc>
      </w:tr>
      <w:tr>
        <w:trPr>
          <w:trHeight w:val="227"/>
        </w:trPr>
        <w:tc>
          <w:tcPr>
            <w:tcW w:w="6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2024</w:t>
            </w:r>
          </w:p>
        </w:tc>
      </w:tr>
      <w:tr>
        <w:trPr>
          <w:trHeight w:val="195"/>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40" w:type="dxa"/>
            <w:vAlign w:val="bottom"/>
            <w:gridSpan w:val="4"/>
          </w:tcPr>
          <w:p>
            <w:pPr>
              <w:jc w:val="right"/>
              <w:ind w:right="79"/>
              <w:spacing w:after="0"/>
              <w:rPr>
                <w:sz w:val="20"/>
                <w:szCs w:val="20"/>
                <w:color w:val="auto"/>
              </w:rPr>
            </w:pPr>
            <w:r>
              <w:rPr>
                <w:rFonts w:ascii="Times New Roman" w:cs="Times New Roman" w:eastAsia="Times New Roman" w:hAnsi="Times New Roman"/>
                <w:sz w:val="14"/>
                <w:szCs w:val="14"/>
                <w:color w:val="auto"/>
              </w:rPr>
              <w:t>(millions, except per share amounts)</w:t>
            </w: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1,437.0</w:t>
            </w:r>
          </w:p>
        </w:tc>
        <w:tc>
          <w:tcPr>
            <w:tcW w:w="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1,447.5</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2,811.5</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2,778.5</w:t>
            </w:r>
          </w:p>
        </w:tc>
      </w:tr>
      <w:tr>
        <w:trPr>
          <w:trHeight w:val="19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and purchased power</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330.4</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359.0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685.7</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735.4</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SPP network transmission costs</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114.9</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100.0</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211.3</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255.1</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237.7</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487.1</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469.2</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288.4</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280.1</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576.5</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556.2</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other than income tax</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104.4</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112.6</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215.5</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w:t>
            </w:r>
          </w:p>
        </w:tc>
      </w:tr>
      <w:tr>
        <w:trPr>
          <w:trHeight w:val="208"/>
        </w:trPr>
        <w:tc>
          <w:tcPr>
            <w:tcW w:w="6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1,093.2</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1,089.4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2,176.1</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2,160.2</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343.8</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358.1</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635.4</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618.3</w:t>
            </w:r>
          </w:p>
        </w:tc>
      </w:tr>
      <w:tr>
        <w:trPr>
          <w:trHeight w:val="19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earnings (loss)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(20.9)</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(18.8)</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22.3</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9.8</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26.7</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(8.8)</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(11.4)</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(18.3)</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08"/>
        </w:trPr>
        <w:tc>
          <w:tcPr>
            <w:tcW w:w="6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(7.4)</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(10.4)</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153.8</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143.6</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306.3</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w:t>
            </w:r>
          </w:p>
        </w:tc>
      </w:tr>
      <w:tr>
        <w:trPr>
          <w:trHeight w:val="208"/>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182.6</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215.5</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318.7</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w:t>
            </w: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10.0</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7.4</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19.6</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14"/>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1.8</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3.4</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174.4</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210.1</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302.5</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w:t>
            </w:r>
          </w:p>
        </w:tc>
      </w:tr>
      <w:tr>
        <w:trPr>
          <w:trHeight w:val="214"/>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3.1</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6.2</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8"/>
        </w:trPr>
        <w:tc>
          <w:tcPr>
            <w:tcW w:w="6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EVERGY, INC.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171.3</w:t>
            </w:r>
          </w:p>
        </w:tc>
        <w:tc>
          <w:tcPr>
            <w:tcW w:w="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207.0</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296.3</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329.7</w:t>
            </w:r>
          </w:p>
        </w:tc>
      </w:tr>
      <w:tr>
        <w:trPr>
          <w:trHeight w:val="162"/>
        </w:trPr>
        <w:tc>
          <w:tcPr>
            <w:tcW w:w="6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BASIC AND DILUTED EARNINGS PER AVERAGE COMMON SHARE OUTSTANDING</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13"/>
        </w:trPr>
        <w:tc>
          <w:tcPr>
            <w:tcW w:w="6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ATTRIBUTABLE TO EVERGY, INC. (see Note 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0.74</w:t>
            </w:r>
          </w:p>
        </w:tc>
        <w:tc>
          <w:tcPr>
            <w:tcW w:w="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0.90</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1.29</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0.74</w:t>
            </w:r>
          </w:p>
        </w:tc>
        <w:tc>
          <w:tcPr>
            <w:tcW w:w="3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0.90</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1.28</w:t>
            </w:r>
          </w:p>
        </w:tc>
        <w:tc>
          <w:tcPr>
            <w:tcW w:w="4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COMMON SHARES OUTSTANDING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230.4</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230.3</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230.4</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230.2</w:t>
            </w:r>
          </w:p>
        </w:tc>
      </w:tr>
      <w:tr>
        <w:trPr>
          <w:trHeight w:val="225"/>
        </w:trPr>
        <w:tc>
          <w:tcPr>
            <w:tcW w:w="6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232.7</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230.5</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232.4</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w:t>
            </w:r>
          </w:p>
        </w:tc>
      </w:tr>
      <w:tr>
        <w:trPr>
          <w:trHeight w:val="214"/>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174.4</w:t>
            </w:r>
          </w:p>
        </w:tc>
        <w:tc>
          <w:tcPr>
            <w:tcW w:w="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210.1</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302.5</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w:t>
            </w:r>
          </w:p>
        </w:tc>
      </w:tr>
      <w:tr>
        <w:trPr>
          <w:trHeight w:val="213"/>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hedging activity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Reclassification to expenses, net of tax</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2.8</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8"/>
        </w:trPr>
        <w:tc>
          <w:tcPr>
            <w:tcW w:w="6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2.8</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1"/>
        </w:trPr>
        <w:tc>
          <w:tcPr>
            <w:tcW w:w="6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Amortization of net gains included in net periodic benefit costs, net of tax</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(0.1)</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5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Change in unrecognized pension expense, net of tax</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(0.1)</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1.3</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8"/>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175.7</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211.5</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305.2</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3.1</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6.2</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7"/>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EVERGY, INC.</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172.6</w:t>
            </w:r>
          </w:p>
        </w:tc>
        <w:tc>
          <w:tcPr>
            <w:tcW w:w="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208.4</w:t>
            </w:r>
          </w:p>
        </w:tc>
        <w:tc>
          <w:tcPr>
            <w:tcW w:w="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299.0</w:t>
            </w:r>
          </w:p>
        </w:tc>
        <w:tc>
          <w:tcPr>
            <w:tcW w:w="4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332.4</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to Date June 30</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2024</w:t>
            </w: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OPERATING ACTIVITIES:</w:t>
            </w:r>
          </w:p>
        </w:tc>
        <w:tc>
          <w:tcPr>
            <w:tcW w:w="260" w:type="dxa"/>
            <w:vAlign w:val="bottom"/>
          </w:tcPr>
          <w:p>
            <w:pPr>
              <w:spacing w:after="0"/>
              <w:rPr>
                <w:sz w:val="18"/>
                <w:szCs w:val="18"/>
                <w:color w:val="auto"/>
              </w:rPr>
            </w:pP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(millions)</w:t>
            </w: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302.5</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w:t>
            </w: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income to net cash from operating activities: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576.5</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556.2</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nuclear fuel</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32.4</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refueling outage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8.4</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corporate-owned life insurance</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13.3</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 compensation</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11.3</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deferred income taxes and credits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(5.9)</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asset retirement obligations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(3.4)</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from corporate-owned life insurance</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(7.9)</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(Gains) losses from investments in early-stage clean energy and energy solution companies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29.0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working capital items: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(137.6)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63.0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21.9</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15.0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(169.5)</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taxes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105.6</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other assets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4"/>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Changes in other liabilities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(69.0)</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09"/>
        </w:trPr>
        <w:tc>
          <w:tcPr>
            <w:tcW w:w="86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773.5</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634.8</w:t>
            </w:r>
          </w:p>
        </w:tc>
      </w:tr>
      <w:tr>
        <w:trPr>
          <w:trHeight w:val="208"/>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(1,220.1)</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(1,296.1)</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securities - trusts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(70.8)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securities - trusts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68.0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corporate-owned life insurance</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investment in corporate-owned life insurance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5.2</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r>
      <w:tr>
        <w:trPr>
          <w:trHeight w:val="214"/>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9"/>
        </w:trPr>
        <w:tc>
          <w:tcPr>
            <w:tcW w:w="86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(1,235.4)</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(1,270.1)</w:t>
            </w:r>
          </w:p>
        </w:tc>
      </w:tr>
      <w:tr>
        <w:trPr>
          <w:trHeight w:val="208"/>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debt, net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215.6</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short-term borrowings, net</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(63.0)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0.4</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593.4</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920.7</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Retirements of long-term debt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Borrowings against cash surrender value of corporate-owned life insurance</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46.1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 of borrowings against cash surrender value of corporate-owned life insurance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(3.3)</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(304.6)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(9.6)</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08"/>
        </w:trPr>
        <w:tc>
          <w:tcPr>
            <w:tcW w:w="8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467.0</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643.1</w:t>
            </w:r>
          </w:p>
        </w:tc>
      </w:tr>
      <w:tr>
        <w:trPr>
          <w:trHeight w:val="211"/>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5.1</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29.9</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16"/>
        </w:trPr>
        <w:tc>
          <w:tcPr>
            <w:tcW w:w="8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35.0</w:t>
            </w:r>
          </w:p>
        </w:tc>
        <w:tc>
          <w:tcPr>
            <w:tcW w:w="4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5140" w:type="dxa"/>
            <w:vAlign w:val="bottom"/>
          </w:tcPr>
          <w:p>
            <w:pPr>
              <w:spacing w:after="0"/>
              <w:rPr>
                <w:sz w:val="19"/>
                <w:szCs w:val="19"/>
                <w:color w:val="auto"/>
              </w:rPr>
            </w:pPr>
          </w:p>
        </w:tc>
        <w:tc>
          <w:tcPr>
            <w:tcW w:w="3220" w:type="dxa"/>
            <w:vAlign w:val="bottom"/>
            <w:tcBorders>
              <w:bottom w:val="single" w:sz="8" w:color="auto"/>
            </w:tcBorders>
            <w:gridSpan w:val="5"/>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Evergy, Inc. Shareholders</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2"/>
                <w:szCs w:val="12"/>
                <w:color w:val="auto"/>
              </w:rPr>
            </w:pPr>
          </w:p>
        </w:tc>
        <w:tc>
          <w:tcPr>
            <w:tcW w:w="8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2"/>
                <w:szCs w:val="12"/>
                <w:color w:val="auto"/>
              </w:rPr>
            </w:pPr>
          </w:p>
        </w:tc>
        <w:tc>
          <w:tcPr>
            <w:tcW w:w="8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rPr>
              <w:t>Non-</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AOCI</w:t>
            </w:r>
          </w:p>
        </w:tc>
        <w:tc>
          <w:tcPr>
            <w:tcW w:w="140" w:type="dxa"/>
            <w:vAlign w:val="bottom"/>
          </w:tcPr>
          <w:p>
            <w:pPr>
              <w:spacing w:after="0"/>
              <w:rPr>
                <w:sz w:val="14"/>
                <w:szCs w:val="14"/>
                <w:color w:val="auto"/>
              </w:rPr>
            </w:pPr>
          </w:p>
        </w:tc>
        <w:tc>
          <w:tcPr>
            <w:tcW w:w="9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0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(millions, except share amounts)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229,729,296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9,685.0</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stock compensation and reinvested dividends, net of tax</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193,042</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withholding</w:t>
            </w:r>
          </w:p>
        </w:tc>
        <w:tc>
          <w:tcPr>
            <w:tcW w:w="12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on common stock ($0.6425 per share)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equivalents declared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229,922,338</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7,235.0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9,664.1</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stock compensation and reinvested dividends, net of tax</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32,186</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withholding</w:t>
            </w:r>
          </w:p>
        </w:tc>
        <w:tc>
          <w:tcPr>
            <w:tcW w:w="12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on common stock ($0.6425 per share)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equivalents declared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229,954,524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7,239.2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5120" w:type="dxa"/>
            <w:vAlign w:val="bottom"/>
          </w:tcPr>
          <w:p>
            <w:pPr>
              <w:spacing w:after="0"/>
              <w:rPr>
                <w:sz w:val="19"/>
                <w:szCs w:val="19"/>
                <w:color w:val="auto"/>
              </w:rPr>
            </w:pPr>
          </w:p>
        </w:tc>
        <w:tc>
          <w:tcPr>
            <w:tcW w:w="3200" w:type="dxa"/>
            <w:vAlign w:val="bottom"/>
            <w:tcBorders>
              <w:bottom w:val="single" w:sz="8" w:color="auto"/>
            </w:tcBorders>
            <w:gridSpan w:val="5"/>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Evergy, Inc. Shareholders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2"/>
                <w:szCs w:val="12"/>
                <w:color w:val="auto"/>
              </w:rPr>
            </w:pPr>
          </w:p>
        </w:tc>
        <w:tc>
          <w:tcPr>
            <w:tcW w:w="8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2"/>
                <w:szCs w:val="12"/>
                <w:color w:val="auto"/>
              </w:rPr>
            </w:pPr>
          </w:p>
        </w:tc>
        <w:tc>
          <w:tcPr>
            <w:tcW w:w="8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19"/>
              <w:spacing w:after="0" w:line="148" w:lineRule="exact"/>
              <w:rPr>
                <w:sz w:val="20"/>
                <w:szCs w:val="20"/>
                <w:color w:val="auto"/>
              </w:rPr>
            </w:pPr>
            <w:r>
              <w:rPr>
                <w:rFonts w:ascii="Times New Roman" w:cs="Times New Roman" w:eastAsia="Times New Roman" w:hAnsi="Times New Roman"/>
                <w:sz w:val="16"/>
                <w:szCs w:val="16"/>
                <w:b w:val="1"/>
                <w:bCs w:val="1"/>
                <w:color w:val="auto"/>
              </w:rPr>
              <w:t>Non-</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AOCI</w:t>
            </w:r>
          </w:p>
        </w:tc>
        <w:tc>
          <w:tcPr>
            <w:tcW w:w="120" w:type="dxa"/>
            <w:vAlign w:val="bottom"/>
          </w:tcPr>
          <w:p>
            <w:pPr>
              <w:spacing w:after="0"/>
              <w:rPr>
                <w:sz w:val="14"/>
                <w:szCs w:val="14"/>
                <w:color w:val="auto"/>
              </w:rPr>
            </w:pPr>
          </w:p>
        </w:tc>
        <w:tc>
          <w:tcPr>
            <w:tcW w:w="9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0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(millions, except share amounts)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229,983,615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9,989.2</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0" w:type="dxa"/>
            <w:vAlign w:val="bottom"/>
          </w:tcPr>
          <w:p>
            <w:pPr>
              <w:spacing w:after="0"/>
              <w:rPr>
                <w:sz w:val="1"/>
                <w:szCs w:val="1"/>
                <w:color w:val="auto"/>
              </w:rPr>
            </w:pPr>
          </w:p>
        </w:tc>
      </w:tr>
      <w:tr>
        <w:trPr>
          <w:trHeight w:val="165"/>
        </w:trPr>
        <w:tc>
          <w:tcPr>
            <w:tcW w:w="51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Issuance of stock compensation and reinvested dividends, net of tax</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101,120</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withholding</w:t>
            </w:r>
          </w:p>
        </w:tc>
        <w:tc>
          <w:tcPr>
            <w:tcW w:w="1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on common stock ($0.6675 per share)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equivalents declared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230,084,735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7,248.4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9,967.9</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44,622</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62"/>
        </w:trPr>
        <w:tc>
          <w:tcPr>
            <w:tcW w:w="51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Issuance of stock compensation and reinvested dividends, net of tax</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21,912</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withholding</w:t>
            </w:r>
          </w:p>
        </w:tc>
        <w:tc>
          <w:tcPr>
            <w:tcW w:w="12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declared on common stock ($0.6675 per share)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Dividend equivalents declared</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unrecognized pension expense, net of tax</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5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230,151,269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7,258.1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8"/>
                <w:szCs w:val="18"/>
                <w:color w:val="auto"/>
              </w:rPr>
            </w:pPr>
          </w:p>
        </w:tc>
        <w:tc>
          <w:tcPr>
            <w:tcW w:w="2480" w:type="dxa"/>
            <w:vAlign w:val="bottom"/>
            <w:gridSpan w:val="3"/>
          </w:tcPr>
          <w:p>
            <w:pPr>
              <w:jc w:val="right"/>
              <w:ind w:right="39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6.0</w:t>
            </w:r>
          </w:p>
        </w:tc>
        <w:tc>
          <w:tcPr>
            <w:tcW w:w="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3.7</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for credit losses of $5.5 and $7.8, respectively</w:t>
            </w:r>
          </w:p>
        </w:tc>
        <w:tc>
          <w:tcPr>
            <w:tcW w:w="1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228.9</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133.1</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65.2</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23.4</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1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177.0</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215.0</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448.5</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472.5</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1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11.4</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assets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58.7</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79.7</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31.2</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30.2</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15.9</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9.2</w:t>
            </w:r>
          </w:p>
        </w:tc>
      </w:tr>
      <w:tr>
        <w:trPr>
          <w:trHeight w:val="208"/>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1,031.4</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978.2</w:t>
            </w:r>
          </w:p>
        </w:tc>
      </w:tr>
      <w:tr>
        <w:trPr>
          <w:trHeight w:val="21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includes $122.9 and $126.5 related to variable interest entity, respectively</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13,162.4</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12,880.1</w:t>
            </w:r>
          </w:p>
        </w:tc>
      </w:tr>
      <w:tr>
        <w:trPr>
          <w:trHeight w:val="207"/>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assets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506.8</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446.6</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Nuclear decommissioning trust</w:t>
            </w:r>
          </w:p>
        </w:tc>
        <w:tc>
          <w:tcPr>
            <w:tcW w:w="1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431.5</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407.9</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293.4</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296.3</w:t>
            </w:r>
          </w:p>
        </w:tc>
      </w:tr>
      <w:tr>
        <w:trPr>
          <w:trHeight w:val="208"/>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Assets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1,231.7</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1,150.8</w:t>
            </w:r>
          </w:p>
        </w:tc>
      </w:tr>
      <w:tr>
        <w:trPr>
          <w:trHeight w:val="218"/>
        </w:trPr>
        <w:tc>
          <w:tcPr>
            <w:tcW w:w="8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15,425.5</w:t>
            </w: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15,009.1</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tcPr>
          <w:p>
            <w:pPr>
              <w:spacing w:after="0"/>
              <w:rPr>
                <w:sz w:val="18"/>
                <w:szCs w:val="18"/>
                <w:color w:val="auto"/>
              </w:rPr>
            </w:pPr>
          </w:p>
        </w:tc>
        <w:tc>
          <w:tcPr>
            <w:tcW w:w="244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250.0</w:t>
            </w: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250.0</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502.2</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797.3</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Collateralized note payable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177.0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215.0</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204.2</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281.5</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Related party payables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31.3</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36.7</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taxes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138.1</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109.7</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interest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63.2</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79.2</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88.4</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76.6</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17.1</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16.5</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33.8</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35.4</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138.6</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130.2</w:t>
            </w:r>
          </w:p>
        </w:tc>
      </w:tr>
      <w:tr>
        <w:trPr>
          <w:trHeight w:val="208"/>
        </w:trPr>
        <w:tc>
          <w:tcPr>
            <w:tcW w:w="8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1,643.9</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2,028.1</w:t>
            </w:r>
          </w:p>
        </w:tc>
      </w:tr>
      <w:tr>
        <w:trPr>
          <w:trHeight w:val="211"/>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net</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4,928.9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4,333.5</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768.8</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805.6</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Unamortized investment tax credits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50.5</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52.4</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1,498.3</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1,475.8</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 and post-retirement liability</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205.6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218.2</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647.3</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631.3</w:t>
            </w:r>
          </w:p>
        </w:tc>
      </w:tr>
      <w:tr>
        <w:trPr>
          <w:trHeight w:val="214"/>
        </w:trPr>
        <w:tc>
          <w:tcPr>
            <w:tcW w:w="8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172.9</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179.3</w:t>
            </w:r>
          </w:p>
        </w:tc>
      </w:tr>
      <w:tr>
        <w:trPr>
          <w:trHeight w:val="211"/>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8,272.3</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7,696.1</w:t>
            </w:r>
          </w:p>
        </w:tc>
      </w:tr>
      <w:tr>
        <w:trPr>
          <w:trHeight w:val="19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Evergy Kansas Central, Inc. Shareholder's Equity:</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stock - 1,000 shares authorized, $0.01 par value, 1 share issued</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2,737.6</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2,737.6</w:t>
            </w:r>
          </w:p>
        </w:tc>
      </w:tr>
      <w:tr>
        <w:trPr>
          <w:trHeight w:val="214"/>
        </w:trPr>
        <w:tc>
          <w:tcPr>
            <w:tcW w:w="8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2,731.3</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2,513.1</w:t>
            </w:r>
          </w:p>
        </w:tc>
      </w:tr>
      <w:tr>
        <w:trPr>
          <w:trHeight w:val="211"/>
        </w:trPr>
        <w:tc>
          <w:tcPr>
            <w:tcW w:w="8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Evergy Kansas Central, Inc. Shareholder's Equity</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5,468.9</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5,250.7</w:t>
            </w:r>
          </w:p>
        </w:tc>
      </w:tr>
      <w:tr>
        <w:trPr>
          <w:trHeight w:val="214"/>
        </w:trPr>
        <w:tc>
          <w:tcPr>
            <w:tcW w:w="8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40.4</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34.2</w:t>
            </w:r>
          </w:p>
        </w:tc>
      </w:tr>
      <w:tr>
        <w:trPr>
          <w:trHeight w:val="211"/>
        </w:trPr>
        <w:tc>
          <w:tcPr>
            <w:tcW w:w="8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5,509.3</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5,284.9</w:t>
            </w:r>
          </w:p>
        </w:tc>
      </w:tr>
      <w:tr>
        <w:trPr>
          <w:trHeight w:val="216"/>
        </w:trPr>
        <w:tc>
          <w:tcPr>
            <w:tcW w:w="8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15,425.5</w:t>
            </w:r>
          </w:p>
        </w:tc>
        <w:tc>
          <w:tcPr>
            <w:tcW w:w="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15,009.1</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to Date</w:t>
            </w:r>
          </w:p>
        </w:tc>
        <w:tc>
          <w:tcPr>
            <w:tcW w:w="680" w:type="dxa"/>
            <w:vAlign w:val="bottom"/>
          </w:tcPr>
          <w:p>
            <w:pPr>
              <w:spacing w:after="0"/>
              <w:rPr>
                <w:sz w:val="16"/>
                <w:szCs w:val="16"/>
                <w:color w:val="auto"/>
              </w:rPr>
            </w:pPr>
          </w:p>
        </w:tc>
      </w:tr>
      <w:tr>
        <w:trPr>
          <w:trHeight w:val="212"/>
        </w:trPr>
        <w:tc>
          <w:tcPr>
            <w:tcW w:w="6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80" w:type="dxa"/>
            <w:vAlign w:val="bottom"/>
          </w:tcPr>
          <w:p>
            <w:pPr>
              <w:spacing w:after="0"/>
              <w:rPr>
                <w:sz w:val="18"/>
                <w:szCs w:val="18"/>
                <w:color w:val="auto"/>
              </w:rPr>
            </w:pPr>
          </w:p>
        </w:tc>
      </w:tr>
      <w:tr>
        <w:trPr>
          <w:trHeight w:val="227"/>
        </w:trPr>
        <w:tc>
          <w:tcPr>
            <w:tcW w:w="6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2024</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2024</w:t>
            </w:r>
          </w:p>
        </w:tc>
      </w:tr>
      <w:tr>
        <w:trPr>
          <w:trHeight w:val="195"/>
        </w:trPr>
        <w:tc>
          <w:tcPr>
            <w:tcW w:w="6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(millions)</w:t>
            </w: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733.5</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727.3</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1,442.6</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1,420.5</w:t>
            </w:r>
          </w:p>
        </w:tc>
      </w:tr>
      <w:tr>
        <w:trPr>
          <w:trHeight w:val="193"/>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and purchased power</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117.5</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124.0</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244.0</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w:t>
            </w:r>
          </w:p>
        </w:tc>
      </w:tr>
      <w:tr>
        <w:trPr>
          <w:trHeight w:val="214"/>
        </w:trPr>
        <w:tc>
          <w:tcPr>
            <w:tcW w:w="6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SPP network transmission costs</w:t>
            </w:r>
          </w:p>
        </w:tc>
        <w:tc>
          <w:tcPr>
            <w:tcW w:w="2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114.9</w:t>
            </w:r>
          </w:p>
        </w:tc>
        <w:tc>
          <w:tcPr>
            <w:tcW w:w="36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100.0</w:t>
            </w:r>
          </w:p>
        </w:tc>
        <w:tc>
          <w:tcPr>
            <w:tcW w:w="38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211.3</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r>
      <w:tr>
        <w:trPr>
          <w:trHeight w:val="218"/>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119.7</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117.3</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229.2</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w:t>
            </w:r>
          </w:p>
        </w:tc>
      </w:tr>
      <w:tr>
        <w:trPr>
          <w:trHeight w:val="214"/>
        </w:trPr>
        <w:tc>
          <w:tcPr>
            <w:tcW w:w="6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144.2</w:t>
            </w:r>
          </w:p>
        </w:tc>
        <w:tc>
          <w:tcPr>
            <w:tcW w:w="36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140.6</w:t>
            </w:r>
          </w:p>
        </w:tc>
        <w:tc>
          <w:tcPr>
            <w:tcW w:w="38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286.3</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279.7</w:t>
            </w:r>
          </w:p>
        </w:tc>
      </w:tr>
      <w:tr>
        <w:trPr>
          <w:trHeight w:val="218"/>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other than income tax</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56.0</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62.7</w:t>
            </w: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116.8</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w:t>
            </w:r>
          </w:p>
        </w:tc>
      </w:tr>
      <w:tr>
        <w:trPr>
          <w:trHeight w:val="208"/>
        </w:trPr>
        <w:tc>
          <w:tcPr>
            <w:tcW w:w="6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552.3</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544.6</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1,087.6</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1,074.5</w:t>
            </w:r>
          </w:p>
        </w:tc>
      </w:tr>
      <w:tr>
        <w:trPr>
          <w:trHeight w:val="21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181.2</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182.7</w:t>
            </w: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355.0</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w:t>
            </w:r>
          </w:p>
        </w:tc>
      </w:tr>
      <w:tr>
        <w:trPr>
          <w:trHeight w:val="193"/>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earnings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0.4</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5.3</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4"/>
        </w:trPr>
        <w:tc>
          <w:tcPr>
            <w:tcW w:w="6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10.0</w:t>
            </w:r>
          </w:p>
        </w:tc>
        <w:tc>
          <w:tcPr>
            <w:tcW w:w="36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7.5</w:t>
            </w:r>
          </w:p>
        </w:tc>
        <w:tc>
          <w:tcPr>
            <w:tcW w:w="38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12.5</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8"/>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(3.7)</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w:t>
            </w: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(8.8)</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08"/>
        </w:trPr>
        <w:tc>
          <w:tcPr>
            <w:tcW w:w="6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Other Income, Net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8.4</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9.0</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61.1</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58.2</w:t>
            </w: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120.4</w:t>
            </w: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w:t>
            </w:r>
          </w:p>
        </w:tc>
      </w:tr>
      <w:tr>
        <w:trPr>
          <w:trHeight w:val="208"/>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128.5</w:t>
            </w:r>
          </w:p>
        </w:tc>
        <w:tc>
          <w:tcPr>
            <w:tcW w:w="36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126.6</w:t>
            </w:r>
          </w:p>
        </w:tc>
        <w:tc>
          <w:tcPr>
            <w:tcW w:w="38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243.6</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w:t>
            </w:r>
          </w:p>
        </w:tc>
      </w:tr>
      <w:tr>
        <w:trPr>
          <w:trHeight w:val="218"/>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6.0</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10.9</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4"/>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0.8</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1.7</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123.5</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124.5</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234.4</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w:t>
            </w:r>
          </w:p>
        </w:tc>
      </w:tr>
      <w:tr>
        <w:trPr>
          <w:trHeight w:val="214"/>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3.1</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3.1</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6.2</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8"/>
        </w:trPr>
        <w:tc>
          <w:tcPr>
            <w:tcW w:w="6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EVERGY KANSAS CENTRAL, INC.</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120.4</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121.4</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228.2</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(Unaudited)</w:t>
      </w:r>
    </w:p>
    <w:p>
      <w:pPr>
        <w:spacing w:after="0" w:line="246" w:lineRule="exact"/>
        <w:rPr>
          <w:sz w:val="20"/>
          <w:szCs w:val="20"/>
          <w:color w:val="auto"/>
        </w:rPr>
      </w:pPr>
    </w:p>
    <w:tbl>
      <w:tblPr>
        <w:tblLayout w:type="fixed"/>
        <w:tblInd w:w="80" w:type="dxa"/>
        <w:tblCellMar>
          <w:top w:w="0" w:type="dxa"/>
          <w:left w:w="0" w:type="dxa"/>
          <w:bottom w:w="0" w:type="dxa"/>
          <w:right w:w="0" w:type="dxa"/>
        </w:tblCellMar>
      </w:tblPr>
      <w:tr>
        <w:trPr>
          <w:trHeight w:val="225"/>
        </w:trPr>
        <w:tc>
          <w:tcPr>
            <w:tcW w:w="8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to Date June 30</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2024</w:t>
            </w: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OPERATING ACTIVITIES:</w:t>
            </w:r>
          </w:p>
        </w:tc>
        <w:tc>
          <w:tcPr>
            <w:tcW w:w="280" w:type="dxa"/>
            <w:vAlign w:val="bottom"/>
          </w:tcPr>
          <w:p>
            <w:pPr>
              <w:spacing w:after="0"/>
              <w:rPr>
                <w:sz w:val="18"/>
                <w:szCs w:val="18"/>
                <w:color w:val="auto"/>
              </w:rPr>
            </w:pP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(millions)</w:t>
            </w:r>
          </w:p>
        </w:tc>
        <w:tc>
          <w:tcPr>
            <w:tcW w:w="860" w:type="dxa"/>
            <w:vAlign w:val="bottom"/>
          </w:tcPr>
          <w:p>
            <w:pPr>
              <w:spacing w:after="0"/>
              <w:rPr>
                <w:sz w:val="18"/>
                <w:szCs w:val="18"/>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234.4</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w:t>
            </w: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income to net cash from operating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286.3</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w:t>
            </w: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nuclear fuel</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16.1</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18"/>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refueling outage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4.2</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corporate-owned life insurance</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13.3</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8"/>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deferred income taxes and credits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8"/>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asset retirement obligations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8"/>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from corporate-owned life insurance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working capital items: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(123.4)</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r>
      <w:tr>
        <w:trPr>
          <w:trHeight w:val="218"/>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38.0</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24.2</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8"/>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6.1</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(53.6)</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8"/>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taxes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39.8</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(40.4)</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other 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5.1</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4"/>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Changes in other liabilities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(30.4)</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0"/>
        </w:trPr>
        <w:tc>
          <w:tcPr>
            <w:tcW w:w="86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388.9</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w:t>
            </w:r>
          </w:p>
        </w:tc>
      </w:tr>
      <w:tr>
        <w:trPr>
          <w:trHeight w:val="208"/>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(662.0)</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(657.2)</w:t>
            </w:r>
          </w:p>
        </w:tc>
      </w:tr>
      <w:tr>
        <w:trPr>
          <w:trHeight w:val="214"/>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securities - trusts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securities - trusts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10.8</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4"/>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corporate-owned life insurance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(14.2)</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investment in corporate-owned life insurance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r>
      <w:tr>
        <w:trPr>
          <w:trHeight w:val="214"/>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0"/>
        </w:trPr>
        <w:tc>
          <w:tcPr>
            <w:tcW w:w="86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(673.7)</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(629.7)</w:t>
            </w:r>
          </w:p>
        </w:tc>
      </w:tr>
      <w:tr>
        <w:trPr>
          <w:trHeight w:val="208"/>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debt,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(295.1)</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w:t>
            </w:r>
          </w:p>
        </w:tc>
      </w:tr>
      <w:tr>
        <w:trPr>
          <w:trHeight w:val="214"/>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short-term debt,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(38.0)</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593.4</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money pool borrowings</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w:t>
            </w: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 against cash surrender value of corporate-owned life insurance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43.1</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r>
      <w:tr>
        <w:trPr>
          <w:trHeight w:val="214"/>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borrowings against cash surrender value of corporate-owned life insurance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0"/>
        </w:trPr>
        <w:tc>
          <w:tcPr>
            <w:tcW w:w="86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287.1</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w:t>
            </w:r>
          </w:p>
        </w:tc>
      </w:tr>
      <w:tr>
        <w:trPr>
          <w:trHeight w:val="209"/>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4"/>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8"/>
        </w:trPr>
        <w:tc>
          <w:tcPr>
            <w:tcW w:w="86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6.0</w:t>
            </w:r>
          </w:p>
        </w:tc>
        <w:tc>
          <w:tcPr>
            <w:tcW w:w="4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80" w:type="dxa"/>
            <w:vAlign w:val="bottom"/>
          </w:tcPr>
          <w:p>
            <w:pPr>
              <w:spacing w:after="0"/>
              <w:rPr>
                <w:sz w:val="19"/>
                <w:szCs w:val="19"/>
                <w:color w:val="auto"/>
              </w:rPr>
            </w:pPr>
          </w:p>
        </w:tc>
        <w:tc>
          <w:tcPr>
            <w:tcW w:w="3300" w:type="dxa"/>
            <w:vAlign w:val="bottom"/>
            <w:tcBorders>
              <w:bottom w:val="single" w:sz="8" w:color="auto"/>
            </w:tcBorders>
            <w:gridSpan w:val="5"/>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Evergy Kansas Central, Inc. Shareholder</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2"/>
                <w:szCs w:val="12"/>
                <w:color w:val="auto"/>
              </w:rPr>
            </w:pPr>
          </w:p>
        </w:tc>
        <w:tc>
          <w:tcPr>
            <w:tcW w:w="84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2"/>
                <w:szCs w:val="12"/>
                <w:color w:val="auto"/>
              </w:rPr>
            </w:pPr>
          </w:p>
        </w:tc>
        <w:tc>
          <w:tcPr>
            <w:tcW w:w="8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2"/>
                <w:szCs w:val="12"/>
                <w:color w:val="auto"/>
              </w:rPr>
            </w:pPr>
          </w:p>
        </w:tc>
        <w:tc>
          <w:tcPr>
            <w:tcW w:w="920" w:type="dxa"/>
            <w:vAlign w:val="bottom"/>
          </w:tcPr>
          <w:p>
            <w:pPr>
              <w:jc w:val="center"/>
              <w:ind w:right="19"/>
              <w:spacing w:after="0" w:line="148" w:lineRule="exact"/>
              <w:rPr>
                <w:sz w:val="20"/>
                <w:szCs w:val="20"/>
                <w:color w:val="auto"/>
              </w:rPr>
            </w:pPr>
            <w:r>
              <w:rPr>
                <w:rFonts w:ascii="Times New Roman" w:cs="Times New Roman" w:eastAsia="Times New Roman" w:hAnsi="Times New Roman"/>
                <w:sz w:val="16"/>
                <w:szCs w:val="16"/>
                <w:b w:val="1"/>
                <w:bCs w:val="1"/>
                <w:color w:val="auto"/>
              </w:rPr>
              <w:t>Non-</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controlling</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9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gridSpan w:val="5"/>
          </w:tcPr>
          <w:p>
            <w:pPr>
              <w:jc w:val="right"/>
              <w:ind w:right="659"/>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4,891.9</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5,003.5</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0" w:type="dxa"/>
            <w:vAlign w:val="bottom"/>
          </w:tcPr>
          <w:p>
            <w:pPr>
              <w:spacing w:after="0"/>
              <w:rPr>
                <w:sz w:val="1"/>
                <w:szCs w:val="1"/>
                <w:color w:val="auto"/>
              </w:rPr>
            </w:pPr>
          </w:p>
        </w:tc>
      </w:tr>
      <w:tr>
        <w:trPr>
          <w:trHeight w:val="206"/>
        </w:trPr>
        <w:tc>
          <w:tcPr>
            <w:tcW w:w="5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5,128.0</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5,284.9</w:t>
            </w:r>
          </w:p>
        </w:tc>
        <w:tc>
          <w:tcPr>
            <w:tcW w:w="0" w:type="dxa"/>
            <w:vAlign w:val="bottom"/>
          </w:tcPr>
          <w:p>
            <w:pPr>
              <w:spacing w:after="0"/>
              <w:rPr>
                <w:sz w:val="1"/>
                <w:szCs w:val="1"/>
                <w:color w:val="auto"/>
              </w:rPr>
            </w:pPr>
          </w:p>
        </w:tc>
      </w:tr>
      <w:tr>
        <w:trPr>
          <w:trHeight w:val="213"/>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on common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7"/>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2,610.9</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5,385.8</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0" w:type="dxa"/>
            <w:vAlign w:val="bottom"/>
          </w:tcPr>
          <w:p>
            <w:pPr>
              <w:spacing w:after="0"/>
              <w:rPr>
                <w:sz w:val="1"/>
                <w:szCs w:val="1"/>
                <w:color w:val="auto"/>
              </w:rPr>
            </w:pPr>
          </w:p>
        </w:tc>
      </w:tr>
      <w:tr>
        <w:trPr>
          <w:trHeight w:val="217"/>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2,731.3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5,509.3</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Unaudited Notes to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8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8"/>
                <w:szCs w:val="18"/>
                <w:color w:val="auto"/>
              </w:rPr>
            </w:pPr>
          </w:p>
        </w:tc>
        <w:tc>
          <w:tcPr>
            <w:tcW w:w="248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4.8</w:t>
            </w:r>
          </w:p>
        </w:tc>
        <w:tc>
          <w:tcPr>
            <w:tcW w:w="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3.7</w:t>
            </w:r>
          </w:p>
        </w:tc>
      </w:tr>
      <w:tr>
        <w:trPr>
          <w:trHeight w:val="214"/>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Receivables, net of allowance for credit losses of $5.1 and $5.8, respectively</w:t>
            </w:r>
          </w:p>
        </w:tc>
        <w:tc>
          <w:tcPr>
            <w:tcW w:w="140" w:type="dxa"/>
            <w:vAlign w:val="bottom"/>
          </w:tcPr>
          <w:p>
            <w:pPr>
              <w:spacing w:after="0"/>
              <w:rPr>
                <w:sz w:val="18"/>
                <w:szCs w:val="18"/>
                <w:color w:val="auto"/>
              </w:rPr>
            </w:pPr>
          </w:p>
        </w:tc>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116.0</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58.1</w:t>
            </w:r>
          </w:p>
        </w:tc>
      </w:tr>
      <w:tr>
        <w:trPr>
          <w:trHeight w:val="218"/>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114.0</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126.1</w:t>
            </w:r>
          </w:p>
        </w:tc>
      </w:tr>
      <w:tr>
        <w:trPr>
          <w:trHeight w:val="214"/>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140" w:type="dxa"/>
            <w:vAlign w:val="bottom"/>
          </w:tcPr>
          <w:p>
            <w:pPr>
              <w:spacing w:after="0"/>
              <w:rPr>
                <w:sz w:val="18"/>
                <w:szCs w:val="18"/>
                <w:color w:val="auto"/>
              </w:rPr>
            </w:pPr>
          </w:p>
        </w:tc>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111.0</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136.0</w:t>
            </w:r>
          </w:p>
        </w:tc>
      </w:tr>
      <w:tr>
        <w:trPr>
          <w:trHeight w:val="218"/>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285.0</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283.8</w:t>
            </w:r>
          </w:p>
        </w:tc>
      </w:tr>
      <w:tr>
        <w:trPr>
          <w:trHeight w:val="214"/>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Regulatory assets</w:t>
            </w:r>
          </w:p>
        </w:tc>
        <w:tc>
          <w:tcPr>
            <w:tcW w:w="140" w:type="dxa"/>
            <w:vAlign w:val="bottom"/>
          </w:tcPr>
          <w:p>
            <w:pPr>
              <w:spacing w:after="0"/>
              <w:rPr>
                <w:sz w:val="18"/>
                <w:szCs w:val="18"/>
                <w:color w:val="auto"/>
              </w:rPr>
            </w:pPr>
          </w:p>
        </w:tc>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40.3</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42.7</w:t>
            </w:r>
          </w:p>
        </w:tc>
      </w:tr>
      <w:tr>
        <w:trPr>
          <w:trHeight w:val="218"/>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23.0</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25.6</w:t>
            </w:r>
          </w:p>
        </w:tc>
      </w:tr>
      <w:tr>
        <w:trPr>
          <w:trHeight w:val="214"/>
        </w:trPr>
        <w:tc>
          <w:tcPr>
            <w:tcW w:w="8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20.8</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25.5</w:t>
            </w:r>
          </w:p>
        </w:tc>
      </w:tr>
      <w:tr>
        <w:trPr>
          <w:trHeight w:val="211"/>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714.9</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701.5</w:t>
            </w:r>
          </w:p>
        </w:tc>
      </w:tr>
      <w:tr>
        <w:trPr>
          <w:trHeight w:val="208"/>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8,333.8</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8,292.4</w:t>
            </w:r>
          </w:p>
        </w:tc>
      </w:tr>
      <w:tr>
        <w:trPr>
          <w:trHeight w:val="211"/>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4"/>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Regulatory assets</w:t>
            </w:r>
          </w:p>
        </w:tc>
        <w:tc>
          <w:tcPr>
            <w:tcW w:w="140" w:type="dxa"/>
            <w:vAlign w:val="bottom"/>
          </w:tcPr>
          <w:p>
            <w:pPr>
              <w:spacing w:after="0"/>
              <w:rPr>
                <w:sz w:val="18"/>
                <w:szCs w:val="18"/>
                <w:color w:val="auto"/>
              </w:rPr>
            </w:pPr>
          </w:p>
        </w:tc>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475.6</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429.4</w:t>
            </w:r>
          </w:p>
        </w:tc>
      </w:tr>
      <w:tr>
        <w:trPr>
          <w:trHeight w:val="218"/>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Nuclear decommissioning trust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498.3</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471.9</w:t>
            </w:r>
          </w:p>
        </w:tc>
      </w:tr>
      <w:tr>
        <w:trPr>
          <w:trHeight w:val="214"/>
        </w:trPr>
        <w:tc>
          <w:tcPr>
            <w:tcW w:w="8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90.5</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81.5</w:t>
            </w:r>
          </w:p>
        </w:tc>
      </w:tr>
      <w:tr>
        <w:trPr>
          <w:trHeight w:val="211"/>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1,064.4</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982.8</w:t>
            </w:r>
          </w:p>
        </w:tc>
      </w:tr>
      <w:tr>
        <w:trPr>
          <w:trHeight w:val="217"/>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10,113.1</w:t>
            </w:r>
          </w:p>
        </w:tc>
        <w:tc>
          <w:tcPr>
            <w:tcW w:w="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9,976.7</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tcPr>
          <w:p>
            <w:pPr>
              <w:spacing w:after="0"/>
              <w:rPr>
                <w:sz w:val="18"/>
                <w:szCs w:val="18"/>
                <w:color w:val="auto"/>
              </w:rPr>
            </w:pPr>
          </w:p>
        </w:tc>
        <w:tc>
          <w:tcPr>
            <w:tcW w:w="244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350.0</w:t>
            </w: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350.0</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305.9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158.7</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Collateralized note payable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111.0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136.0</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146.1</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252.8</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Related party payables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0.2</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taxes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92.8</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52.4</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interest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30.3</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32.1</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41.5</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38.5</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13.8</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11.8</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32.5</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37.6</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103.6</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69.8</w:t>
            </w:r>
          </w:p>
        </w:tc>
      </w:tr>
      <w:tr>
        <w:trPr>
          <w:trHeight w:val="208"/>
        </w:trPr>
        <w:tc>
          <w:tcPr>
            <w:tcW w:w="8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1,227.5</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1,139.9</w:t>
            </w:r>
          </w:p>
        </w:tc>
      </w:tr>
      <w:tr>
        <w:trPr>
          <w:trHeight w:val="211"/>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net</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2,874.6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2,873.4</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730.9</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755.3</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Unamortized investment tax credits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106.4</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108.0</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1,050.1</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1,008.4</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 and post-retirement liability</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131.5</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137.0</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498.3</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490.9</w:t>
            </w:r>
          </w:p>
        </w:tc>
      </w:tr>
      <w:tr>
        <w:trPr>
          <w:trHeight w:val="214"/>
        </w:trPr>
        <w:tc>
          <w:tcPr>
            <w:tcW w:w="8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97.1</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87.6</w:t>
            </w:r>
          </w:p>
        </w:tc>
      </w:tr>
      <w:tr>
        <w:trPr>
          <w:trHeight w:val="211"/>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5,488.9</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5,460.6</w:t>
            </w:r>
          </w:p>
        </w:tc>
      </w:tr>
      <w:tr>
        <w:trPr>
          <w:trHeight w:val="19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- 1,000 shares authorized, without par value, 1 share issued, stated value</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1,563.1</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1,563.1</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1,830.4</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1,809.7</w:t>
            </w:r>
          </w:p>
        </w:tc>
      </w:tr>
      <w:tr>
        <w:trPr>
          <w:trHeight w:val="214"/>
        </w:trPr>
        <w:tc>
          <w:tcPr>
            <w:tcW w:w="8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3.2</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3.4</w:t>
            </w:r>
          </w:p>
        </w:tc>
      </w:tr>
      <w:tr>
        <w:trPr>
          <w:trHeight w:val="211"/>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3,396.7</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3,376.2</w:t>
            </w:r>
          </w:p>
        </w:tc>
      </w:tr>
      <w:tr>
        <w:trPr>
          <w:trHeight w:val="216"/>
        </w:trPr>
        <w:tc>
          <w:tcPr>
            <w:tcW w:w="8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10,113.1</w:t>
            </w:r>
          </w:p>
        </w:tc>
        <w:tc>
          <w:tcPr>
            <w:tcW w:w="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9,976.7</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to Date</w:t>
            </w:r>
          </w:p>
        </w:tc>
        <w:tc>
          <w:tcPr>
            <w:tcW w:w="700" w:type="dxa"/>
            <w:vAlign w:val="bottom"/>
          </w:tcPr>
          <w:p>
            <w:pPr>
              <w:spacing w:after="0"/>
              <w:rPr>
                <w:sz w:val="16"/>
                <w:szCs w:val="16"/>
                <w:color w:val="auto"/>
              </w:rPr>
            </w:pPr>
          </w:p>
        </w:tc>
      </w:tr>
      <w:tr>
        <w:trPr>
          <w:trHeight w:val="212"/>
        </w:trPr>
        <w:tc>
          <w:tcPr>
            <w:tcW w:w="6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00" w:type="dxa"/>
            <w:vAlign w:val="bottom"/>
          </w:tcPr>
          <w:p>
            <w:pPr>
              <w:spacing w:after="0"/>
              <w:rPr>
                <w:sz w:val="18"/>
                <w:szCs w:val="18"/>
                <w:color w:val="auto"/>
              </w:rPr>
            </w:pPr>
          </w:p>
        </w:tc>
      </w:tr>
      <w:tr>
        <w:trPr>
          <w:trHeight w:val="227"/>
        </w:trPr>
        <w:tc>
          <w:tcPr>
            <w:tcW w:w="64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2024</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2024</w:t>
            </w:r>
          </w:p>
        </w:tc>
      </w:tr>
      <w:tr>
        <w:trPr>
          <w:trHeight w:val="195"/>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(millions)</w:t>
            </w: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471.2</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474.0</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898.9</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894.9</w:t>
            </w:r>
          </w:p>
        </w:tc>
      </w:tr>
      <w:tr>
        <w:trPr>
          <w:trHeight w:val="207"/>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and purchased power</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144.8</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145.5</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282.6</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282.1</w:t>
            </w:r>
          </w:p>
        </w:tc>
      </w:tr>
      <w:tr>
        <w:trPr>
          <w:trHeight w:val="214"/>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24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78.6</w:t>
            </w:r>
          </w:p>
        </w:tc>
        <w:tc>
          <w:tcPr>
            <w:tcW w:w="36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67.6</w:t>
            </w:r>
          </w:p>
        </w:tc>
        <w:tc>
          <w:tcPr>
            <w:tcW w:w="3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149.1</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w:t>
            </w:r>
          </w:p>
        </w:tc>
      </w:tr>
      <w:tr>
        <w:trPr>
          <w:trHeight w:val="218"/>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100.2</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101.9</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204.0</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r>
      <w:tr>
        <w:trPr>
          <w:trHeight w:val="214"/>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Taxes other than income tax</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34.5</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36.2</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71.2</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w:t>
            </w:r>
          </w:p>
        </w:tc>
      </w:tr>
      <w:tr>
        <w:trPr>
          <w:trHeight w:val="211"/>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358.1</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351.2</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706.9</w:t>
            </w:r>
          </w:p>
        </w:tc>
        <w:tc>
          <w:tcPr>
            <w:tcW w:w="4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693.5</w:t>
            </w:r>
          </w:p>
        </w:tc>
      </w:tr>
      <w:tr>
        <w:trPr>
          <w:trHeight w:val="208"/>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113.1</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122.8</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192.0</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201.4</w:t>
            </w:r>
          </w:p>
        </w:tc>
      </w:tr>
      <w:tr>
        <w:trPr>
          <w:trHeight w:val="198"/>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4"/>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earnings</w:t>
            </w:r>
          </w:p>
        </w:tc>
        <w:tc>
          <w:tcPr>
            <w:tcW w:w="24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1.3</w:t>
            </w:r>
          </w:p>
        </w:tc>
        <w:tc>
          <w:tcPr>
            <w:tcW w:w="36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w:t>
            </w:r>
          </w:p>
        </w:tc>
        <w:tc>
          <w:tcPr>
            <w:tcW w:w="3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3.3</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8"/>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0.5</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4"/>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(5.1)</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1"/>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(0.4)</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0.5</w:t>
            </w:r>
          </w:p>
        </w:tc>
        <w:tc>
          <w:tcPr>
            <w:tcW w:w="4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8"/>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34.2</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38.4</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70.5</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w:t>
            </w:r>
          </w:p>
        </w:tc>
      </w:tr>
      <w:tr>
        <w:trPr>
          <w:trHeight w:val="211"/>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78.5</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84.3</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122.0</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w:t>
            </w:r>
          </w:p>
        </w:tc>
      </w:tr>
      <w:tr>
        <w:trPr>
          <w:trHeight w:val="214"/>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9.7</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9.7</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16.3</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18"/>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68.8</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74.6</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105.7</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r>
      <w:tr>
        <w:trPr>
          <w:trHeight w:val="214"/>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8"/>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68.8</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74.6</w:t>
            </w:r>
          </w:p>
        </w:tc>
        <w:tc>
          <w:tcPr>
            <w:tcW w:w="3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105.7</w:t>
            </w:r>
          </w:p>
        </w:tc>
        <w:tc>
          <w:tcPr>
            <w:tcW w:w="4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r>
      <w:tr>
        <w:trPr>
          <w:trHeight w:val="21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hedging activity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4"/>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Reclassification to expenses, net of tax</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(0.2)</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1"/>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(0.2)</w:t>
            </w:r>
          </w:p>
        </w:tc>
        <w:tc>
          <w:tcPr>
            <w:tcW w:w="4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8"/>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(0.2)</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8"/>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68.7</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74.5</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105.5</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Year to Date June 30</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2024</w:t>
            </w:r>
          </w:p>
        </w:tc>
      </w:tr>
      <w:tr>
        <w:trPr>
          <w:trHeight w:val="213"/>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(USED IN) OPERATING ACTIVITIES:</w:t>
            </w:r>
          </w:p>
        </w:tc>
        <w:tc>
          <w:tcPr>
            <w:tcW w:w="280" w:type="dxa"/>
            <w:vAlign w:val="bottom"/>
          </w:tcPr>
          <w:p>
            <w:pPr>
              <w:spacing w:after="0"/>
              <w:rPr>
                <w:sz w:val="18"/>
                <w:szCs w:val="18"/>
                <w:color w:val="auto"/>
              </w:rPr>
            </w:pP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(millions)</w:t>
            </w:r>
          </w:p>
        </w:tc>
        <w:tc>
          <w:tcPr>
            <w:tcW w:w="920" w:type="dxa"/>
            <w:vAlign w:val="bottom"/>
          </w:tcPr>
          <w:p>
            <w:pPr>
              <w:spacing w:after="0"/>
              <w:rPr>
                <w:sz w:val="18"/>
                <w:szCs w:val="18"/>
                <w:color w:val="auto"/>
              </w:rPr>
            </w:pPr>
          </w:p>
        </w:tc>
      </w:tr>
      <w:tr>
        <w:trPr>
          <w:trHeight w:val="219"/>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105.7</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r>
      <w:tr>
        <w:trPr>
          <w:trHeight w:val="213"/>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income to net cash from operating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204.0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r>
      <w:tr>
        <w:trPr>
          <w:trHeight w:val="214"/>
        </w:trPr>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nuclear fuel</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16.3</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8"/>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deferred refueling outage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4.2</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4"/>
        </w:trPr>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deferred income taxes and credits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1.5</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8"/>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4"/>
        </w:trPr>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for asset retirement obligations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8"/>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Changes in working capital items: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(36.1)</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14"/>
        </w:trPr>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25.0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8"/>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4"/>
        </w:trPr>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1.4</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8"/>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(84.5)</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r>
      <w:tr>
        <w:trPr>
          <w:trHeight w:val="214"/>
        </w:trPr>
        <w:tc>
          <w:tcPr>
            <w:tcW w:w="8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taxes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40.4</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r>
      <w:tr>
        <w:trPr>
          <w:trHeight w:val="218"/>
        </w:trPr>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29.1</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14"/>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Changes in other assets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(3.3)</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8"/>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(11.1)</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08"/>
        </w:trPr>
        <w:tc>
          <w:tcPr>
            <w:tcW w:w="8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287.0</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w:t>
            </w:r>
          </w:p>
        </w:tc>
      </w:tr>
      <w:tr>
        <w:trPr>
          <w:trHeight w:val="211"/>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4"/>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(322.1)</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(362.3)</w:t>
            </w:r>
          </w:p>
        </w:tc>
      </w:tr>
      <w:tr>
        <w:trPr>
          <w:trHeight w:val="218"/>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securities - trusts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(62.3)</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r>
      <w:tr>
        <w:trPr>
          <w:trHeight w:val="214"/>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Sale of securities - trusts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57.2</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8"/>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4.2</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8"/>
        </w:trPr>
        <w:tc>
          <w:tcPr>
            <w:tcW w:w="8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(323.0)</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(364.7)</w:t>
            </w:r>
          </w:p>
        </w:tc>
      </w:tr>
      <w:tr>
        <w:trPr>
          <w:trHeight w:val="211"/>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4"/>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Short-term debt, net</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147.2</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w:t>
            </w:r>
          </w:p>
        </w:tc>
      </w:tr>
      <w:tr>
        <w:trPr>
          <w:trHeight w:val="218"/>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Collateralized short-term debt, net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(25.0)</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4"/>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297.0</w:t>
            </w:r>
          </w:p>
        </w:tc>
      </w:tr>
      <w:tr>
        <w:trPr>
          <w:trHeight w:val="218"/>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paid</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(85.0)</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0"/>
        </w:trPr>
        <w:tc>
          <w:tcPr>
            <w:tcW w:w="85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37.1</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210"/>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1.1</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8"/>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4"/>
        </w:trPr>
        <w:tc>
          <w:tcPr>
            <w:tcW w:w="8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Beginning of period</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3.7</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8"/>
        </w:trPr>
        <w:tc>
          <w:tcPr>
            <w:tcW w:w="85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4.8</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6"/>
                <w:szCs w:val="16"/>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AOCI - Net</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gains (losses) on</w:t>
            </w:r>
          </w:p>
        </w:tc>
        <w:tc>
          <w:tcPr>
            <w:tcW w:w="16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8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20" w:type="dxa"/>
            <w:vAlign w:val="bottom"/>
            <w:gridSpan w:val="5"/>
          </w:tcPr>
          <w:p>
            <w:pPr>
              <w:jc w:val="right"/>
              <w:ind w:right="719"/>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1,626.2</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3,193.0</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1,658.9</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3,225.6</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6"/>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1,733.5</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3,300.1</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1,809.7</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3,376.2</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on common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3,363.0</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on common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1,830.4</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3,396.7</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INC.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Combined Notes to Unaudited Consolidated Financial Statements</w:t>
      </w:r>
    </w:p>
    <w:p>
      <w:pPr>
        <w:spacing w:after="0" w:line="112"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auto"/>
        </w:rPr>
        <w:t>The notes to unaudited consolidated financial statements that follow are a combined presentation for Evergy, Inc., Evergy Kansas Central, Inc. and Evergy Metro, Inc., all registrants under this filing.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Organization</w:t>
      </w:r>
    </w:p>
    <w:p>
      <w:pPr>
        <w:spacing w:after="0" w:line="26"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68" w:lineRule="exact"/>
        <w:rPr>
          <w:sz w:val="20"/>
          <w:szCs w:val="20"/>
          <w:color w:val="auto"/>
        </w:rPr>
      </w:pPr>
    </w:p>
    <w:p>
      <w:pPr>
        <w:ind w:left="660" w:right="120" w:hanging="328"/>
        <w:spacing w:after="0" w:line="268"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53" w:lineRule="exact"/>
        <w:rPr>
          <w:rFonts w:ascii="Times New Roman" w:cs="Times New Roman" w:eastAsia="Times New Roman" w:hAnsi="Times New Roman"/>
          <w:sz w:val="20"/>
          <w:szCs w:val="20"/>
          <w:color w:val="auto"/>
        </w:rPr>
      </w:pPr>
    </w:p>
    <w:p>
      <w:pPr>
        <w:ind w:left="660" w:right="36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Metro, Inc. (Evergy Metro) is an integrated, regulated electric utility that provides electricity to customers in the states of Missouri and Kansas.</w:t>
      </w:r>
    </w:p>
    <w:p>
      <w:pPr>
        <w:spacing w:after="0" w:line="38"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Missouri West, Inc. (Evergy Missouri West) is an integrated, regulated electric utility that provides electricity to customers in the state of Missouri.</w:t>
      </w:r>
    </w:p>
    <w:p>
      <w:pPr>
        <w:spacing w:after="0" w:line="38" w:lineRule="exact"/>
        <w:rPr>
          <w:rFonts w:ascii="Times New Roman" w:cs="Times New Roman" w:eastAsia="Times New Roman" w:hAnsi="Times New Roman"/>
          <w:sz w:val="20"/>
          <w:szCs w:val="20"/>
          <w:color w:val="auto"/>
        </w:rPr>
      </w:pPr>
    </w:p>
    <w:p>
      <w:pPr>
        <w:ind w:left="660" w:right="40" w:hanging="328"/>
        <w:spacing w:after="0" w:line="258"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Evergy Kansas Central also owns a 50% interest in Prairie Wind Transmission, LLC (Prairie Wind), which is a joint venture between Evergy Kansas Central and subsidiaries of AEP and Berkshire Hathaway Energy Company. Prairie Wind owns a 108-mile, 345 kilovolt (kV) double-circuit transmission line that provides transmission service in the Southwest Power Pool, Inc. (SPP). Evergy Kansas Central accounts for its investment in Prairie Wind under the equity method.</w:t>
      </w:r>
    </w:p>
    <w:p>
      <w:pPr>
        <w:spacing w:after="0" w:line="17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Evergy Kansas Central, Evergy Kansas South, Evergy Metro and Evergy Missouri West conduct business in their respective service territories using the name Evergy. Collectively, the Evergy Companies have approximately 15,800 megawatts (MWs) of owned generating capacity and renewable power purchase agreements and engage in the generation, transmission, distribution and sale of electricity to approximately 1.7 million customers in the states of Kansas and Missouri.</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These unaudited consolidated financial statements have been prepared in accordance with generally accepted accounting principles (GAAP) for interim financial information and with the instructions to Form 10-Q and Regulation S-X. Accordingly, these unaudited consolidated financial statements do not include all of the information and notes required by GAAP for annual financial statements and should be read in conjunction with the consolidated financial statements in the Evergy Companies' combined 2024 Form 10-K.</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These unaudited consolidated financial statements, in the opinion of management, reflect all normal recurring adjustments necessary to fairly present the unaudited consolidated financial statements for each of the Evergy Companies for these interim periods. In preparing financial statements that conform to GAAP, management must make estimates and assumptions that affect the reported amounts of assets and liabilities, the reported amounts of revenues and expenses, and the disclosure of contingent assets and liabilities at the date of the financial statements. Actual results could differ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Principles of Consolidation</w:t>
      </w:r>
    </w:p>
    <w:p>
      <w:pPr>
        <w:spacing w:after="0" w:line="32"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20"/>
          <w:szCs w:val="20"/>
          <w:color w:val="auto"/>
        </w:rPr>
        <w:t>Each of Evergy's, Evergy Kansas Central's and Evergy Metro's unaudited consolidated financial statements includes the accounts of their subsidiaries and the variable interest entities (VIE) of which Evergy and Evergy Kansas Central are the primary beneficiaries.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w:t>
      </w:r>
    </w:p>
    <w:p>
      <w:pPr>
        <w:spacing w:after="0" w:line="3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Cash equivalents consist of highly liquid investments with original maturities of three months or less at acquisition. Evergy has restricted cash included in Other Current Assets and Other Non-current Assets on Evergy's consolidated balance sheet to facilitate the servicing of Evergy Missouri West Storm Funding I, LLC's debt and the funding requirements for a jointly-owned generation facility. The following table summarizes the cash, cash equivalents and restricted cash included on Evergy's consolidated balance sheet.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June 30</w:t>
            </w:r>
          </w:p>
        </w:tc>
        <w:tc>
          <w:tcPr>
            <w:tcW w:w="6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230"/>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7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1200" w:type="dxa"/>
            <w:vAlign w:val="bottom"/>
          </w:tcPr>
          <w:p>
            <w:pPr>
              <w:spacing w:after="0"/>
              <w:rPr>
                <w:sz w:val="19"/>
                <w:szCs w:val="19"/>
                <w:color w:val="auto"/>
              </w:rPr>
            </w:pP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1440" w:type="dxa"/>
            <w:vAlign w:val="bottom"/>
          </w:tcPr>
          <w:p>
            <w:pPr>
              <w:spacing w:after="0"/>
              <w:rPr>
                <w:sz w:val="19"/>
                <w:szCs w:val="19"/>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27.8</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5.5</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35.0</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Fuel Inventory and Supplies</w:t>
      </w:r>
    </w:p>
    <w:p>
      <w:pPr>
        <w:spacing w:after="0" w:line="26"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20"/>
          <w:szCs w:val="20"/>
          <w:color w:val="auto"/>
        </w:rPr>
        <w:t>The Evergy Companies record fuel inventory and supplies at average cost. The following table separately states the balances for fuel inventory and supplies.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1160" w:type="dxa"/>
            <w:vAlign w:val="bottom"/>
          </w:tcPr>
          <w:p>
            <w:pPr>
              <w:spacing w:after="0"/>
              <w:rPr>
                <w:sz w:val="19"/>
                <w:szCs w:val="19"/>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inventory</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237.2</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r>
      <w:tr>
        <w:trPr>
          <w:trHeight w:val="229"/>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Supplies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608.5</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603.2</w:t>
            </w:r>
          </w:p>
        </w:tc>
      </w:tr>
      <w:tr>
        <w:trPr>
          <w:trHeight w:val="223"/>
        </w:trPr>
        <w:tc>
          <w:tcPr>
            <w:tcW w:w="7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inventory and supplies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845.7</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inventory</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130.2</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r>
      <w:tr>
        <w:trPr>
          <w:trHeight w:val="230"/>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Supplies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318.3</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w:t>
            </w:r>
          </w:p>
        </w:tc>
      </w:tr>
      <w:tr>
        <w:trPr>
          <w:trHeight w:val="223"/>
        </w:trPr>
        <w:tc>
          <w:tcPr>
            <w:tcW w:w="7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inventory and supplies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448.5</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inventory</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72.1</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30"/>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Supplies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212.9</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30"/>
        </w:trPr>
        <w:tc>
          <w:tcPr>
            <w:tcW w:w="7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inventory and supplies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285.0</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Plant and Equipment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the property, plant and equipment of Evergy, Evergy Kansas Central and Evergy Metro.</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4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r>
      <w:tr>
        <w:trPr>
          <w:trHeight w:val="207"/>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Times New Roman" w:cs="Times New Roman" w:eastAsia="Times New Roman" w:hAnsi="Times New Roman"/>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2"/>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Electric plant in service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37,572.1</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18,627.7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13,791.8</w:t>
            </w: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Electric plant acquisition adjustment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742.9</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724.9</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(14,550.2)</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(7,074.2)</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(5,941.4)</w:t>
            </w:r>
          </w:p>
        </w:tc>
      </w:tr>
      <w:tr>
        <w:trPr>
          <w:trHeight w:val="223"/>
        </w:trPr>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Plant in service, net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23,764.8</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12,278.4</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7,850.4</w:t>
            </w:r>
          </w:p>
        </w:tc>
      </w:tr>
      <w:tr>
        <w:trPr>
          <w:trHeight w:val="22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1,422.5</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772.9</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372.0</w:t>
            </w:r>
          </w:p>
        </w:tc>
      </w:tr>
      <w:tr>
        <w:trPr>
          <w:trHeight w:val="230"/>
        </w:trPr>
        <w:tc>
          <w:tcPr>
            <w:tcW w:w="4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Nuclear fuel, net</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222.5</w:t>
            </w:r>
          </w:p>
        </w:tc>
        <w:tc>
          <w:tcPr>
            <w:tcW w:w="9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rPr>
              <w:t>111.1</w:t>
            </w:r>
          </w:p>
        </w:tc>
        <w:tc>
          <w:tcPr>
            <w:tcW w:w="5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111.4</w:t>
            </w:r>
          </w:p>
        </w:tc>
      </w:tr>
      <w:tr>
        <w:trPr>
          <w:trHeight w:val="230"/>
        </w:trPr>
        <w:tc>
          <w:tcPr>
            <w:tcW w:w="43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25,409.8</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13,162.4</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8,333.8</w:t>
            </w:r>
          </w:p>
        </w:tc>
      </w:tr>
    </w:tbl>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4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r>
      <w:tr>
        <w:trPr>
          <w:trHeight w:val="207"/>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Times New Roman" w:cs="Times New Roman" w:eastAsia="Times New Roman" w:hAnsi="Times New Roman"/>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2"/>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Electric plant in service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36,444.9</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17,914.9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13,468.3</w:t>
            </w: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Electric plant acquisition adjustment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742.9</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724.9</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(14,165.5)</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(6,914.4)</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(5,752.6)</w:t>
            </w:r>
          </w:p>
        </w:tc>
      </w:tr>
      <w:tr>
        <w:trPr>
          <w:trHeight w:val="223"/>
        </w:trPr>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Plant in service, net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23,022.3</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11,725.4</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7,715.7</w:t>
            </w:r>
          </w:p>
        </w:tc>
      </w:tr>
      <w:tr>
        <w:trPr>
          <w:trHeight w:val="23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1,707.0</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1,053.7</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476.1</w:t>
            </w: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Nuclear fuel, net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200.9</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100.3</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100.6</w:t>
            </w:r>
          </w:p>
        </w:tc>
      </w:tr>
      <w:tr>
        <w:trPr>
          <w:trHeight w:val="229"/>
        </w:trPr>
        <w:tc>
          <w:tcPr>
            <w:tcW w:w="43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Plant to be retired, net</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0.7</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0.7</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24,930.9</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rPr>
              <w:t>12,880.1</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8,292.4</w:t>
            </w:r>
          </w:p>
        </w:tc>
      </w:tr>
    </w:tbl>
    <w:p>
      <w:pPr>
        <w:spacing w:after="0" w:line="61"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December 31, 2024, represents the planned retirement of Evergy Kansas Central analog meters prior to the end of their remaining useful lives.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 in Early-Stage Clean Energy and Energy Solution Companies</w:t>
      </w:r>
    </w:p>
    <w:p>
      <w:pPr>
        <w:spacing w:after="0" w:line="32"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auto"/>
        </w:rPr>
        <w:t>From time to time, Evergy has made limited non-regulated equity and debt investments in early-stage clean energy and energy solution companies. These investments are recorded in Other Assets - Long-Term on Evergy’s consolidated balance sheets and as of June 30, 2025, and December 31, 2024, the total value of these investments was $95.0 million and $121.4 million, respectively. These investments have historically not had a significant impact on Evergy’s results of operations.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For the three months ended and year to date June 30, 2025, Evergy recorded unrealized losses and impairment losses on these investments of $25.4 million and $29.0 million, respectively, in investment earnings (losses) on its consolidated statements of income and comprehensive income as a result of a decrease in the value of these investments.</w:t>
      </w:r>
    </w:p>
    <w:p>
      <w:pPr>
        <w:spacing w:after="0" w:line="18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Evergy has initiated a process to dispose of these investments and could experience additional losses or gains on these investments as a result of further changes in their value or upon their ultimate liquidation.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Income and Other Expense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tables below show the detail of other income and other expense, respectively, for each of the Evergy Companies.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820" w:type="dxa"/>
            <w:vAlign w:val="bottom"/>
            <w:tcBorders>
              <w:top w:val="single" w:sz="8" w:color="auto"/>
            </w:tcBorders>
          </w:tcPr>
          <w:p>
            <w:pPr>
              <w:spacing w:after="0"/>
              <w:rPr>
                <w:sz w:val="18"/>
                <w:szCs w:val="18"/>
                <w:color w:val="auto"/>
              </w:rPr>
            </w:pPr>
          </w:p>
        </w:tc>
      </w:tr>
      <w:tr>
        <w:trPr>
          <w:trHeight w:val="229"/>
        </w:trPr>
        <w:tc>
          <w:tcPr>
            <w:tcW w:w="5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Pr>
          <w:p>
            <w:pPr>
              <w:spacing w:after="0"/>
              <w:rPr>
                <w:sz w:val="19"/>
                <w:szCs w:val="19"/>
                <w:color w:val="auto"/>
              </w:rPr>
            </w:pPr>
          </w:p>
        </w:tc>
      </w:tr>
      <w:tr>
        <w:trPr>
          <w:trHeight w:val="238"/>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AFUDC equity</w:t>
            </w: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9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Corporate-owned life insurance policy benefit</w:t>
            </w:r>
          </w:p>
        </w:tc>
        <w:tc>
          <w:tcPr>
            <w:tcW w:w="800" w:type="dxa"/>
            <w:vAlign w:val="bottom"/>
          </w:tcPr>
          <w:p>
            <w:pPr>
              <w:spacing w:after="0"/>
              <w:rPr>
                <w:sz w:val="19"/>
                <w:szCs w:val="19"/>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980" w:type="dxa"/>
            <w:vAlign w:val="bottom"/>
          </w:tcPr>
          <w:p>
            <w:pPr>
              <w:spacing w:after="0"/>
              <w:rPr>
                <w:sz w:val="19"/>
                <w:szCs w:val="19"/>
                <w:color w:val="auto"/>
              </w:rPr>
            </w:pPr>
          </w:p>
        </w:tc>
        <w:tc>
          <w:tcPr>
            <w:tcW w:w="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w:t>
            </w:r>
          </w:p>
        </w:tc>
        <w:tc>
          <w:tcPr>
            <w:tcW w:w="46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7.8</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sale of commercial solar project</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11.6</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11.6</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0.8</w:t>
            </w: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5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income</w:t>
            </w: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22.3</w:t>
            </w:r>
          </w:p>
        </w:tc>
        <w:tc>
          <w:tcPr>
            <w:tcW w:w="9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9.8</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26.7</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AFUDC equity</w:t>
            </w: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9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Corporate-owned life insurance policy benefit</w:t>
            </w:r>
          </w:p>
        </w:tc>
        <w:tc>
          <w:tcPr>
            <w:tcW w:w="800" w:type="dxa"/>
            <w:vAlign w:val="bottom"/>
          </w:tcPr>
          <w:p>
            <w:pPr>
              <w:spacing w:after="0"/>
              <w:rPr>
                <w:sz w:val="19"/>
                <w:szCs w:val="19"/>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980" w:type="dxa"/>
            <w:vAlign w:val="bottom"/>
          </w:tcPr>
          <w:p>
            <w:pPr>
              <w:spacing w:after="0"/>
              <w:rPr>
                <w:sz w:val="19"/>
                <w:szCs w:val="19"/>
                <w:color w:val="auto"/>
              </w:rPr>
            </w:pPr>
          </w:p>
        </w:tc>
        <w:tc>
          <w:tcPr>
            <w:tcW w:w="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w:t>
            </w:r>
          </w:p>
        </w:tc>
        <w:tc>
          <w:tcPr>
            <w:tcW w:w="46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0.3</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5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income</w:t>
            </w: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7.5</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12.5</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AFUDC equity</w:t>
            </w: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58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Other income</w:t>
            </w:r>
          </w:p>
        </w:tc>
        <w:tc>
          <w:tcPr>
            <w:tcW w:w="8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0.5</w:t>
            </w:r>
          </w:p>
        </w:tc>
        <w:tc>
          <w:tcPr>
            <w:tcW w:w="9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gridSpan w:val="3"/>
          </w:tcPr>
          <w:p>
            <w:pPr>
              <w:jc w:val="right"/>
              <w:ind w:right="491"/>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Year to Date</w:t>
            </w:r>
          </w:p>
        </w:tc>
        <w:tc>
          <w:tcPr>
            <w:tcW w:w="820" w:type="dxa"/>
            <w:vAlign w:val="bottom"/>
            <w:tcBorders>
              <w:top w:val="single" w:sz="8" w:color="auto"/>
            </w:tcBorders>
          </w:tcPr>
          <w:p>
            <w:pPr>
              <w:spacing w:after="0"/>
              <w:rPr>
                <w:sz w:val="17"/>
                <w:szCs w:val="17"/>
                <w:color w:val="auto"/>
              </w:rPr>
            </w:pPr>
          </w:p>
        </w:tc>
      </w:tr>
      <w:tr>
        <w:trPr>
          <w:trHeight w:val="234"/>
        </w:trPr>
        <w:tc>
          <w:tcPr>
            <w:tcW w:w="5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Pr>
          <w:p>
            <w:pPr>
              <w:spacing w:after="0"/>
              <w:rPr>
                <w:sz w:val="20"/>
                <w:szCs w:val="20"/>
                <w:color w:val="auto"/>
              </w:rPr>
            </w:pPr>
          </w:p>
        </w:tc>
      </w:tr>
      <w:tr>
        <w:trPr>
          <w:trHeight w:val="238"/>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Non-service cost component of net benefit cost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(1.9)</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Corporate-owned life insurance</w:t>
            </w:r>
          </w:p>
        </w:tc>
        <w:tc>
          <w:tcPr>
            <w:tcW w:w="280" w:type="dxa"/>
            <w:vAlign w:val="bottom"/>
          </w:tcPr>
          <w:p>
            <w:pPr>
              <w:spacing w:after="0"/>
              <w:rPr>
                <w:sz w:val="19"/>
                <w:szCs w:val="19"/>
                <w:color w:val="auto"/>
              </w:rPr>
            </w:pPr>
          </w:p>
        </w:tc>
        <w:tc>
          <w:tcPr>
            <w:tcW w:w="10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(4.7)</w:t>
            </w:r>
          </w:p>
        </w:tc>
        <w:tc>
          <w:tcPr>
            <w:tcW w:w="42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w:t>
            </w:r>
          </w:p>
        </w:tc>
        <w:tc>
          <w:tcPr>
            <w:tcW w:w="4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(2.2)</w:t>
            </w: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5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(8.8)</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(18.3)</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Non-service cost component of net benefit cost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7"/>
              </w:rPr>
              <w:t>1.1</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0.6</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Corporate-owned life insurance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(4.6)</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8"/>
              </w:rPr>
              <w:t>(0.2)</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5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(3.7)</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Non-service cost component of net benefit cost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(1.6)</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Corporate-owned life insurance</w:t>
            </w:r>
          </w:p>
        </w:tc>
        <w:tc>
          <w:tcPr>
            <w:tcW w:w="280" w:type="dxa"/>
            <w:vAlign w:val="bottom"/>
          </w:tcPr>
          <w:p>
            <w:pPr>
              <w:spacing w:after="0"/>
              <w:rPr>
                <w:sz w:val="19"/>
                <w:szCs w:val="19"/>
                <w:color w:val="auto"/>
              </w:rPr>
            </w:pPr>
          </w:p>
        </w:tc>
        <w:tc>
          <w:tcPr>
            <w:tcW w:w="10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(0.1)</w:t>
            </w:r>
          </w:p>
        </w:tc>
        <w:tc>
          <w:tcPr>
            <w:tcW w:w="42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(0.5)</w:t>
            </w: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(0.6)</w:t>
            </w: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58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8"/>
              </w:rPr>
              <w:t>(2.2)</w:t>
            </w: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Per Share</w:t>
      </w:r>
    </w:p>
    <w:p>
      <w:pPr>
        <w:spacing w:after="0" w:line="2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To compute basic earnings per common share (EPS), Evergy divides net income attributable to Evergy, Inc. by the weighted average number of common shares outstanding. Diluted EPS includes the effect of issuable common shares resulting from restricted share units (RSUs), convertible notes and a warrant. Evergy computes the dilutive effects of potential issuances of common shares using the treasury stock method, the contingently issuable share method or the if-converted method, as applicable.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reconciles Evergy's basic and diluted EPS.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0" w:type="dxa"/>
            <w:vAlign w:val="bottom"/>
            <w:tcBorders>
              <w:top w:val="single" w:sz="8" w:color="auto"/>
            </w:tcBorders>
            <w:gridSpan w:val="3"/>
          </w:tcPr>
          <w:p>
            <w:pPr>
              <w:jc w:val="right"/>
              <w:ind w:right="471"/>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Year to Date</w:t>
            </w:r>
          </w:p>
        </w:tc>
        <w:tc>
          <w:tcPr>
            <w:tcW w:w="820" w:type="dxa"/>
            <w:vAlign w:val="bottom"/>
            <w:tcBorders>
              <w:top w:val="single" w:sz="8" w:color="auto"/>
            </w:tcBorders>
          </w:tcPr>
          <w:p>
            <w:pPr>
              <w:spacing w:after="0"/>
              <w:rPr>
                <w:sz w:val="17"/>
                <w:szCs w:val="17"/>
                <w:color w:val="auto"/>
              </w:rPr>
            </w:pPr>
          </w:p>
        </w:tc>
      </w:tr>
      <w:tr>
        <w:trPr>
          <w:trHeight w:val="234"/>
        </w:trPr>
        <w:tc>
          <w:tcPr>
            <w:tcW w:w="5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3"/>
          </w:tcPr>
          <w:p>
            <w:pPr>
              <w:jc w:val="right"/>
              <w:ind w:right="99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00" w:type="dxa"/>
            <w:vAlign w:val="bottom"/>
          </w:tcPr>
          <w:p>
            <w:pPr>
              <w:spacing w:after="0"/>
              <w:rPr>
                <w:sz w:val="20"/>
                <w:szCs w:val="20"/>
                <w:color w:val="auto"/>
              </w:rPr>
            </w:pP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Pr>
          <w:p>
            <w:pPr>
              <w:spacing w:after="0"/>
              <w:rPr>
                <w:sz w:val="20"/>
                <w:szCs w:val="20"/>
                <w:color w:val="auto"/>
              </w:rPr>
            </w:pPr>
          </w:p>
        </w:tc>
      </w:tr>
      <w:tr>
        <w:trPr>
          <w:trHeight w:val="238"/>
        </w:trPr>
        <w:tc>
          <w:tcPr>
            <w:tcW w:w="5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80" w:type="dxa"/>
            <w:vAlign w:val="bottom"/>
            <w:gridSpan w:val="3"/>
          </w:tcPr>
          <w:p>
            <w:pPr>
              <w:jc w:val="right"/>
              <w:ind w:right="110"/>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174.4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210.1</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302.5</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r>
      <w:tr>
        <w:trPr>
          <w:trHeight w:val="22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6.2</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5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171.3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207.0</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296.3</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 Outstanding</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230.4</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230.3</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230.4</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r>
      <w:tr>
        <w:trPr>
          <w:trHeight w:val="22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5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average number of common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232.7</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230.5</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232.4</w:t>
            </w: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0.74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0.90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1.29</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7"/>
        </w:trPr>
        <w:tc>
          <w:tcPr>
            <w:tcW w:w="5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0.74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0.90</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1.28</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bl>
    <w:p>
      <w:pPr>
        <w:spacing w:after="0" w:line="27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The effect of dilutive securities for the three months ended and year to date June 30, 2025, included 1.8 million shares and 1.6 million shares, respectively, resulting from Evergy's convertible notes. There was no dilution resulting from Evergy's convertible notes for the three months ended and year to date June 30, 2024. Anti-dilutive securities excluded from the computation of diluted EPS for the three months ended June 30, 2025, were 161,072 RSUs with performance measures. Anti-dilutive securities excluded from the computation of diluted EPS year to date June 30, 2025, were 155,315 RSUs with performance measures and 57,282 time-based RSUs. There were no anti-dilutive shares excluded from the computation of diluted EPS for the three months ended and year to date June 30, 2024.</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Cash Flow Information</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Evergy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7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June 30</w:t>
            </w:r>
          </w:p>
        </w:tc>
        <w:tc>
          <w:tcPr>
            <w:tcW w:w="18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net of amount capitalized</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289.8</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of VIEs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8.2</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4.3</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12.9</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21.8</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transactions:</w:t>
            </w:r>
          </w:p>
        </w:tc>
        <w:tc>
          <w:tcPr>
            <w:tcW w:w="1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additions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153.5</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financing transactions:</w:t>
            </w:r>
          </w:p>
        </w:tc>
        <w:tc>
          <w:tcPr>
            <w:tcW w:w="1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6"/>
        </w:trPr>
        <w:tc>
          <w:tcPr>
            <w:tcW w:w="40" w:type="dxa"/>
            <w:vAlign w:val="bottom"/>
          </w:tcPr>
          <w:p>
            <w:pPr>
              <w:spacing w:after="0"/>
              <w:rPr>
                <w:sz w:val="20"/>
                <w:szCs w:val="20"/>
                <w:color w:val="auto"/>
              </w:rPr>
            </w:pPr>
          </w:p>
        </w:tc>
        <w:tc>
          <w:tcPr>
            <w:tcW w:w="70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common stock for reinvested dividends</w:t>
            </w:r>
          </w:p>
        </w:tc>
        <w:tc>
          <w:tcPr>
            <w:tcW w:w="18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453"/>
        </w:trPr>
        <w:tc>
          <w:tcPr>
            <w:tcW w:w="40" w:type="dxa"/>
            <w:vAlign w:val="bottom"/>
          </w:tcPr>
          <w:p>
            <w:pPr>
              <w:spacing w:after="0"/>
              <w:rPr>
                <w:sz w:val="24"/>
                <w:szCs w:val="24"/>
                <w:color w:val="auto"/>
              </w:rPr>
            </w:pPr>
          </w:p>
        </w:tc>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1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 w:type="dxa"/>
            <w:vAlign w:val="bottom"/>
          </w:tcPr>
          <w:p>
            <w:pPr>
              <w:spacing w:after="0"/>
              <w:rPr>
                <w:sz w:val="19"/>
                <w:szCs w:val="19"/>
                <w:color w:val="auto"/>
              </w:rPr>
            </w:pPr>
          </w:p>
        </w:tc>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June 30</w:t>
            </w:r>
          </w:p>
        </w:tc>
        <w:tc>
          <w:tcPr>
            <w:tcW w:w="18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net of amount capitalized</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112.3</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8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6.0</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8.8</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transactions: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7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additions</w:t>
            </w:r>
          </w:p>
        </w:tc>
        <w:tc>
          <w:tcPr>
            <w:tcW w:w="1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89.5</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 w:type="dxa"/>
            <w:vAlign w:val="bottom"/>
          </w:tcPr>
          <w:p>
            <w:pPr>
              <w:spacing w:after="0"/>
              <w:rPr>
                <w:sz w:val="20"/>
                <w:szCs w:val="20"/>
                <w:color w:val="auto"/>
              </w:rPr>
            </w:pPr>
          </w:p>
        </w:tc>
      </w:tr>
      <w:tr>
        <w:trPr>
          <w:trHeight w:val="453"/>
        </w:trPr>
        <w:tc>
          <w:tcPr>
            <w:tcW w:w="7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1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0"/>
        </w:trPr>
        <w:tc>
          <w:tcPr>
            <w:tcW w:w="7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June 30</w:t>
            </w:r>
          </w:p>
        </w:tc>
        <w:tc>
          <w:tcPr>
            <w:tcW w:w="18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r>
      <w:tr>
        <w:trPr>
          <w:trHeight w:val="22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net of amount capitalized</w:t>
            </w:r>
          </w:p>
        </w:tc>
        <w:tc>
          <w:tcPr>
            <w:tcW w:w="1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76.8</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8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11.3</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6.9</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9"/>
                <w:szCs w:val="19"/>
                <w:color w:val="auto"/>
              </w:rPr>
            </w:pP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8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transactions: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6"/>
        </w:trPr>
        <w:tc>
          <w:tcPr>
            <w:tcW w:w="40" w:type="dxa"/>
            <w:vAlign w:val="bottom"/>
            <w:tcBorders>
              <w:bottom w:val="single" w:sz="8" w:color="auto"/>
            </w:tcBorders>
          </w:tcPr>
          <w:p>
            <w:pPr>
              <w:spacing w:after="0"/>
              <w:rPr>
                <w:sz w:val="20"/>
                <w:szCs w:val="20"/>
                <w:color w:val="auto"/>
              </w:rPr>
            </w:pPr>
          </w:p>
        </w:tc>
        <w:tc>
          <w:tcPr>
            <w:tcW w:w="7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additions</w:t>
            </w:r>
          </w:p>
        </w:tc>
        <w:tc>
          <w:tcPr>
            <w:tcW w:w="1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45.7</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Borders>
              <w:bottom w:val="single" w:sz="8" w:color="auto"/>
            </w:tcBorders>
          </w:tcPr>
          <w:p>
            <w:pPr>
              <w:spacing w:after="0"/>
              <w:rPr>
                <w:sz w:val="20"/>
                <w:szCs w:val="20"/>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 Declared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August 2025, Evergy's Board of Directors (Evergy Board) declared a quarterly dividend of $0.6675 per share on Evergy's common stock.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common dividend is payable on September 19, 2025, to shareholders of record as of August 22, 2025.</w:t>
      </w:r>
    </w:p>
    <w:p>
      <w:pPr>
        <w:spacing w:after="0" w:line="200"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auto"/>
        </w:rPr>
        <w:t>In August 2025, Evergy Kansas Central's Board of Directors and Evergy Metro's Board of Directors each declared a cash dividend to Evergy of up to $50.0 million payable on or before September 18, 2025.</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Missouri Legislation</w:t>
      </w:r>
    </w:p>
    <w:p>
      <w:pPr>
        <w:spacing w:after="0" w:line="32"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In April 2025, Missouri Senate Bill (SB) 4 was signed into law by the Governor of Missouri. Most notably, SB 4 establishes new mechanisms for Missouri electric utilities to recover the costs associated with the construction of new natural gas-fired generating units. The utilities will be able to include certain costs of construction work in progress (CWIP) in rate base. The inclusion of CWIP will be in lieu of allowance for funds used during construction (AFUDC) applicable to the construction of the new natural gas-fired generating units. The Public Service Commission of the State of Missouri (MPSC) will determine the amount of CWIP that may be included in rate base. Additionally, amounts collected arising from the inclusion of CWIP in rate base are subject to refund under certain circumstances. These provisions are scheduled to expire at the end of 2035.</w:t>
      </w:r>
    </w:p>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Additionally, the law extends Missouri's existing plant-in service accounting (PISA) provisions to include certain natural gas-fired generating units as qualifying electric plants and extends the sunset date of these provisions through the end of 2035. These provisions allow electric utilities to defer to a regulatory asset for recovery in a subsequent general rate case 85% of depreciation expense and the associated return on investment for qualifying electric plant rate base additions for assets placed in-service between general rate cases.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Natural Gas Plant Investments</w:t>
      </w:r>
    </w:p>
    <w:p>
      <w:pPr>
        <w:spacing w:after="0" w:line="3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The Evergy Companies use a triennial integrated resource plan (IRP), a detailed analysis that estimates factors that influence the future supply and demand for electricity, to inform the manner in which they supply electricity. The most recent IRPs incorporate the latest SPP resource adequacy requirements and anticipated load growth. Based on these and other factors, the IRP indicated the addition of new supply side resources, including combined and simple cycle natural gas plants, would be needed.</w:t>
      </w:r>
    </w:p>
    <w:p>
      <w:pPr>
        <w:spacing w:after="0" w:line="17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9"/>
          <w:szCs w:val="19"/>
          <w:color w:val="auto"/>
        </w:rPr>
        <w:t>In October 2024, Evergy announced its plan to construct two combined-cycle natural gas plants located in Kansas. Evergy Kansas Central and Evergy Missouri West will jointly-own each plant and expect each plant to have an initial generating capacity of approximately 705 MW. The first plant is expected to begin operations by summer of 2029 and the second plant is expected to begin operations by summer of 2030.</w:t>
      </w:r>
    </w:p>
    <w:p>
      <w:pPr>
        <w:spacing w:after="0" w:line="16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Additionally, Evergy Missouri West plans to construct a 440 MW simple-cycle natural gas plant located in Missouri. The plant is expected to begin operations in 2030.</w:t>
      </w:r>
    </w:p>
    <w:p>
      <w:pPr>
        <w:spacing w:after="0" w:line="17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0"/>
          <w:szCs w:val="20"/>
          <w:color w:val="auto"/>
        </w:rPr>
        <w:t>See "Applications for Predetermination" and "Requests for Certificate of Convenience and Necessity" in Note 4 for information regarding Evergy Kansas Central's and Evergy Missouri West's applications for predetermination and a Certificate of Convenience and Necessity (CCN) for their investments in these natural gas plants.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Renewable Plant Investments</w:t>
      </w:r>
    </w:p>
    <w:p>
      <w:pPr>
        <w:spacing w:after="0" w:line="26"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20"/>
          <w:szCs w:val="20"/>
          <w:color w:val="auto"/>
        </w:rPr>
        <w:t>Evergy Kansas Central intends to construct and own an approximately 159 MW solar generation facility to be located in Kansas and called Kansas Sky. The solar generation facility is expected to begin operations by summer of 2027. The construction of Kansas Sky is subject to the granting by the Kansas Corporation Commission (KCC) of predetermination with reasonably acceptable terms and other closing conditions. See "Applications for Predetermination" in Note 4 for additional information regarding Evergy Kansas Central's application for predetermination for its investment in this renewable generating plant.</w:t>
      </w:r>
    </w:p>
    <w:p>
      <w:pPr>
        <w:spacing w:after="0" w:line="17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In 2024, Evergy Missouri West entered into agreements to own two solar generation facilities currently under development. The first facility, to be called Sunflower Sky, is a solar generation facility to be located in Kansas with an expected generating capacity of approximately 65 MW. The second facility, to be called Foxtrot, is a solar generation facility to be located in Missouri with an expected generating capacity of approximately 100 MW. The solar generation facilities are expected to begin operations by summer of 2027. The agreements are subject to regulatory approvals and closing conditions, including the granting by the MPSC of a CCN with reasonably acceptable terms. See "Requests for Certificate of Convenience and Necessity" in Note 4 for information regarding Evergy Missouri West's application for a CCN for its investment in these renewable generating plants.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REVENUE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Evergy's, Evergy Kansas Central's and Evergy Metro's revenues disaggregated by customer class are summarized in the following tables.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gridSpan w:val="3"/>
          </w:tcPr>
          <w:p>
            <w:pPr>
              <w:jc w:val="center"/>
              <w:ind w:right="151"/>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left="2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Year to Date</w:t>
            </w:r>
          </w:p>
        </w:tc>
        <w:tc>
          <w:tcPr>
            <w:tcW w:w="820" w:type="dxa"/>
            <w:vAlign w:val="bottom"/>
            <w:tcBorders>
              <w:top w:val="single" w:sz="8" w:color="auto"/>
            </w:tcBorders>
          </w:tcPr>
          <w:p>
            <w:pPr>
              <w:spacing w:after="0"/>
              <w:rPr>
                <w:sz w:val="16"/>
                <w:szCs w:val="16"/>
                <w:color w:val="auto"/>
              </w:rPr>
            </w:pPr>
          </w:p>
        </w:tc>
      </w:tr>
      <w:tr>
        <w:trPr>
          <w:trHeight w:val="229"/>
        </w:trPr>
        <w:tc>
          <w:tcPr>
            <w:tcW w:w="6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7"/>
              </w:rPr>
              <w:t>June 30</w:t>
            </w:r>
          </w:p>
        </w:tc>
        <w:tc>
          <w:tcPr>
            <w:tcW w:w="820" w:type="dxa"/>
            <w:vAlign w:val="bottom"/>
          </w:tcPr>
          <w:p>
            <w:pPr>
              <w:spacing w:after="0"/>
              <w:rPr>
                <w:sz w:val="19"/>
                <w:szCs w:val="19"/>
                <w:color w:val="auto"/>
              </w:rPr>
            </w:pPr>
          </w:p>
        </w:tc>
      </w:tr>
      <w:tr>
        <w:trPr>
          <w:trHeight w:val="238"/>
        </w:trPr>
        <w:tc>
          <w:tcPr>
            <w:tcW w:w="6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491.9</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1,001.8</w:t>
            </w:r>
          </w:p>
        </w:tc>
        <w:tc>
          <w:tcPr>
            <w:tcW w:w="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w:t>
            </w:r>
          </w:p>
        </w:tc>
      </w:tr>
      <w:tr>
        <w:trPr>
          <w:trHeight w:val="23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467.6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4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904.1</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918.5</w:t>
            </w:r>
          </w:p>
        </w:tc>
      </w:tr>
      <w:tr>
        <w:trPr>
          <w:trHeight w:val="229"/>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160.5</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305.5</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r>
      <w:tr>
        <w:trPr>
          <w:trHeight w:val="229"/>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retail</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20.8</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3"/>
        </w:trPr>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electric retail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1,130.7</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2,232.2</w:t>
            </w:r>
          </w:p>
        </w:tc>
        <w:tc>
          <w:tcPr>
            <w:tcW w:w="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2,291.4</w:t>
            </w:r>
          </w:p>
        </w:tc>
      </w:tr>
      <w:tr>
        <w:trPr>
          <w:trHeight w:val="229"/>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91.2</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4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139.8</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3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Transmission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128.3</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262.3</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r>
      <w:tr>
        <w:trPr>
          <w:trHeight w:val="229"/>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Industrial steam and 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14.9</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1,354.7</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2,649.2</w:t>
            </w:r>
          </w:p>
        </w:tc>
        <w:tc>
          <w:tcPr>
            <w:tcW w:w="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2,687.7</w:t>
            </w:r>
          </w:p>
        </w:tc>
      </w:tr>
      <w:tr>
        <w:trPr>
          <w:trHeight w:val="22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82.3</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162.3</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1,437.0</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2,811.5</w:t>
            </w:r>
          </w:p>
        </w:tc>
        <w:tc>
          <w:tcPr>
            <w:tcW w:w="5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2,778.5</w:t>
            </w:r>
          </w:p>
        </w:tc>
      </w:tr>
      <w:tr>
        <w:trPr>
          <w:trHeight w:val="453"/>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75"/>
        </w:trPr>
        <w:tc>
          <w:tcPr>
            <w:tcW w:w="6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3"/>
          </w:tcPr>
          <w:p>
            <w:pPr>
              <w:jc w:val="center"/>
              <w:ind w:right="151"/>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00" w:type="dxa"/>
            <w:vAlign w:val="bottom"/>
          </w:tcPr>
          <w:p>
            <w:pPr>
              <w:spacing w:after="0"/>
              <w:rPr>
                <w:sz w:val="15"/>
                <w:szCs w:val="15"/>
                <w:color w:val="auto"/>
              </w:rPr>
            </w:pPr>
          </w:p>
        </w:tc>
        <w:tc>
          <w:tcPr>
            <w:tcW w:w="1420" w:type="dxa"/>
            <w:vAlign w:val="bottom"/>
            <w:gridSpan w:val="2"/>
          </w:tcPr>
          <w:p>
            <w:pPr>
              <w:jc w:val="center"/>
              <w:ind w:left="290"/>
              <w:spacing w:after="0" w:line="176" w:lineRule="exact"/>
              <w:rPr>
                <w:sz w:val="20"/>
                <w:szCs w:val="20"/>
                <w:color w:val="auto"/>
              </w:rPr>
            </w:pPr>
            <w:r>
              <w:rPr>
                <w:rFonts w:ascii="Times New Roman" w:cs="Times New Roman" w:eastAsia="Times New Roman" w:hAnsi="Times New Roman"/>
                <w:sz w:val="18"/>
                <w:szCs w:val="18"/>
                <w:b w:val="1"/>
                <w:bCs w:val="1"/>
                <w:color w:val="auto"/>
                <w:w w:val="97"/>
              </w:rPr>
              <w:t>Year to Date</w:t>
            </w:r>
          </w:p>
        </w:tc>
        <w:tc>
          <w:tcPr>
            <w:tcW w:w="820" w:type="dxa"/>
            <w:vAlign w:val="bottom"/>
          </w:tcPr>
          <w:p>
            <w:pPr>
              <w:spacing w:after="0"/>
              <w:rPr>
                <w:sz w:val="15"/>
                <w:szCs w:val="15"/>
                <w:color w:val="auto"/>
              </w:rPr>
            </w:pPr>
          </w:p>
        </w:tc>
      </w:tr>
      <w:tr>
        <w:trPr>
          <w:trHeight w:val="234"/>
        </w:trPr>
        <w:tc>
          <w:tcPr>
            <w:tcW w:w="6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7"/>
              </w:rPr>
              <w:t>June 30</w:t>
            </w:r>
          </w:p>
        </w:tc>
        <w:tc>
          <w:tcPr>
            <w:tcW w:w="820" w:type="dxa"/>
            <w:vAlign w:val="bottom"/>
          </w:tcPr>
          <w:p>
            <w:pPr>
              <w:spacing w:after="0"/>
              <w:rPr>
                <w:sz w:val="20"/>
                <w:szCs w:val="20"/>
                <w:color w:val="auto"/>
              </w:rPr>
            </w:pPr>
          </w:p>
        </w:tc>
      </w:tr>
      <w:tr>
        <w:trPr>
          <w:trHeight w:val="238"/>
        </w:trPr>
        <w:tc>
          <w:tcPr>
            <w:tcW w:w="6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208.4</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432.1</w:t>
            </w:r>
          </w:p>
        </w:tc>
        <w:tc>
          <w:tcPr>
            <w:tcW w:w="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w:t>
            </w:r>
          </w:p>
        </w:tc>
      </w:tr>
      <w:tr>
        <w:trPr>
          <w:trHeight w:val="23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192.8</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4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376.4</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r>
      <w:tr>
        <w:trPr>
          <w:trHeight w:val="229"/>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101.0</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197.1</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r>
      <w:tr>
        <w:trPr>
          <w:trHeight w:val="230"/>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retail</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5.5</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11.6</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3"/>
        </w:trPr>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electric retail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507.7</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1,017.2</w:t>
            </w:r>
          </w:p>
        </w:tc>
        <w:tc>
          <w:tcPr>
            <w:tcW w:w="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w:t>
            </w:r>
          </w:p>
        </w:tc>
      </w:tr>
      <w:tr>
        <w:trPr>
          <w:trHeight w:val="23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70.3</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4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142.8</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3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Transmission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119.6</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242.8</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r>
      <w:tr>
        <w:trPr>
          <w:trHeight w:val="230"/>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697.7</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1,404.7</w:t>
            </w:r>
          </w:p>
        </w:tc>
        <w:tc>
          <w:tcPr>
            <w:tcW w:w="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w:t>
            </w:r>
          </w:p>
        </w:tc>
      </w:tr>
      <w:tr>
        <w:trPr>
          <w:trHeight w:val="22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35.8</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37.9</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733.5</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1,442.6</w:t>
            </w:r>
          </w:p>
        </w:tc>
        <w:tc>
          <w:tcPr>
            <w:tcW w:w="5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1,420.5</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340" w:type="dxa"/>
            <w:vAlign w:val="bottom"/>
            <w:tcBorders>
              <w:top w:val="single" w:sz="8" w:color="auto"/>
            </w:tcBorders>
            <w:gridSpan w:val="3"/>
          </w:tcPr>
          <w:p>
            <w:pPr>
              <w:jc w:val="right"/>
              <w:ind w:right="391"/>
              <w:spacing w:after="0" w:line="18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Year to Date</w:t>
            </w:r>
          </w:p>
        </w:tc>
        <w:tc>
          <w:tcPr>
            <w:tcW w:w="820" w:type="dxa"/>
            <w:vAlign w:val="bottom"/>
            <w:tcBorders>
              <w:top w:val="single" w:sz="8" w:color="auto"/>
            </w:tcBorders>
          </w:tcPr>
          <w:p>
            <w:pPr>
              <w:spacing w:after="0"/>
              <w:rPr>
                <w:sz w:val="15"/>
                <w:szCs w:val="15"/>
                <w:color w:val="auto"/>
              </w:rPr>
            </w:pPr>
          </w:p>
        </w:tc>
      </w:tr>
      <w:tr>
        <w:trPr>
          <w:trHeight w:val="234"/>
        </w:trPr>
        <w:tc>
          <w:tcPr>
            <w:tcW w:w="6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Pr>
          <w:p>
            <w:pPr>
              <w:spacing w:after="0"/>
              <w:rPr>
                <w:sz w:val="20"/>
                <w:szCs w:val="20"/>
                <w:color w:val="auto"/>
              </w:rPr>
            </w:pPr>
          </w:p>
        </w:tc>
      </w:tr>
      <w:tr>
        <w:trPr>
          <w:trHeight w:val="238"/>
        </w:trPr>
        <w:tc>
          <w:tcPr>
            <w:tcW w:w="6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175.1</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342.0</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r>
      <w:tr>
        <w:trPr>
          <w:trHeight w:val="229"/>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187.7</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4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359.4</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r>
      <w:tr>
        <w:trPr>
          <w:trHeight w:val="230"/>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34.8</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63.1</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29"/>
        </w:trPr>
        <w:tc>
          <w:tcPr>
            <w:tcW w:w="6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retail</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5.4</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6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electric retail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400.7</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769.9</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w:t>
            </w:r>
          </w:p>
        </w:tc>
      </w:tr>
      <w:tr>
        <w:trPr>
          <w:trHeight w:val="229"/>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30"/>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Transmission</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13.3</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6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425.1</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775.3</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w:t>
            </w:r>
          </w:p>
        </w:tc>
      </w:tr>
      <w:tr>
        <w:trPr>
          <w:trHeight w:val="229"/>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46.1</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123.6</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30"/>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471.2</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898.9</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894.9</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RECEIVABLES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Evergy Companies' receivables are detailed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280" w:type="dxa"/>
            <w:vAlign w:val="bottom"/>
            <w:tcBorders>
              <w:top w:val="single" w:sz="8" w:color="auto"/>
            </w:tcBorders>
          </w:tcPr>
          <w:p>
            <w:pPr>
              <w:spacing w:after="0"/>
              <w:rPr>
                <w:sz w:val="21"/>
                <w:szCs w:val="21"/>
                <w:color w:val="auto"/>
              </w:rPr>
            </w:pPr>
          </w:p>
        </w:tc>
        <w:tc>
          <w:tcPr>
            <w:tcW w:w="35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28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60" w:type="dxa"/>
            <w:vAlign w:val="bottom"/>
          </w:tcPr>
          <w:p>
            <w:pPr>
              <w:spacing w:after="0"/>
              <w:rPr>
                <w:sz w:val="19"/>
                <w:szCs w:val="19"/>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billed</w:t>
            </w:r>
          </w:p>
        </w:tc>
        <w:tc>
          <w:tcPr>
            <w:tcW w:w="4620" w:type="dxa"/>
            <w:vAlign w:val="bottom"/>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unbilled</w:t>
            </w:r>
          </w:p>
        </w:tc>
        <w:tc>
          <w:tcPr>
            <w:tcW w:w="3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248.0</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2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3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153.4</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5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(12.7)</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3"/>
        </w:trPr>
        <w:tc>
          <w:tcPr>
            <w:tcW w:w="42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390.8</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3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unbilled</w:t>
            </w:r>
          </w:p>
        </w:tc>
        <w:tc>
          <w:tcPr>
            <w:tcW w:w="4620" w:type="dxa"/>
            <w:vAlign w:val="bottom"/>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93.5</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3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140.9</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5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42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228.9</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3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unbilled</w:t>
            </w:r>
          </w:p>
        </w:tc>
        <w:tc>
          <w:tcPr>
            <w:tcW w:w="462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96.2</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3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24.9</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3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5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42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116.0</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1080"/>
        </w:trPr>
        <w:tc>
          <w:tcPr>
            <w:tcW w:w="4280" w:type="dxa"/>
            <w:vAlign w:val="bottom"/>
          </w:tcPr>
          <w:p>
            <w:pPr>
              <w:spacing w:after="0"/>
              <w:rPr>
                <w:sz w:val="24"/>
                <w:szCs w:val="24"/>
                <w:color w:val="auto"/>
              </w:rPr>
            </w:pPr>
          </w:p>
        </w:tc>
        <w:tc>
          <w:tcPr>
            <w:tcW w:w="350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32</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20"/>
          <w:szCs w:val="20"/>
          <w:color w:val="auto"/>
        </w:rPr>
        <w:t>The Evergy Companies' other receivables as of June 30, 2025, and December 31, 2024, consisted primarily of receivables from partners in jointly-owned electric utility plants, wholesale sales receivables and receivables related to alternative revenue programs. The Evergy Companies' other receivables also included receivables from contracts with customers as summarized in the following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740" w:type="dxa"/>
            <w:vAlign w:val="bottom"/>
            <w:tcBorders>
              <w:top w:val="single" w:sz="8" w:color="auto"/>
            </w:tcBorders>
          </w:tcPr>
          <w:p>
            <w:pPr>
              <w:spacing w:after="0"/>
              <w:rPr>
                <w:sz w:val="21"/>
                <w:szCs w:val="21"/>
                <w:color w:val="auto"/>
              </w:rPr>
            </w:pPr>
          </w:p>
        </w:tc>
        <w:tc>
          <w:tcPr>
            <w:tcW w:w="4220" w:type="dxa"/>
            <w:vAlign w:val="bottom"/>
            <w:tcBorders>
              <w:top w:val="single" w:sz="8" w:color="auto"/>
            </w:tcBorders>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74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7"/>
        </w:trPr>
        <w:tc>
          <w:tcPr>
            <w:tcW w:w="47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60" w:type="dxa"/>
            <w:vAlign w:val="bottom"/>
          </w:tcPr>
          <w:p>
            <w:pPr>
              <w:spacing w:after="0"/>
              <w:rPr>
                <w:sz w:val="17"/>
                <w:szCs w:val="17"/>
                <w:color w:val="auto"/>
              </w:rPr>
            </w:pPr>
          </w:p>
        </w:tc>
      </w:tr>
      <w:tr>
        <w:trPr>
          <w:trHeight w:val="23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422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94.0</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4220" w:type="dxa"/>
            <w:vAlign w:val="bottom"/>
          </w:tcPr>
          <w:p>
            <w:pPr>
              <w:spacing w:after="0"/>
              <w:rPr>
                <w:sz w:val="19"/>
                <w:szCs w:val="19"/>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90.7</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37"/>
        </w:trPr>
        <w:tc>
          <w:tcPr>
            <w:tcW w:w="4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42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change in the Evergy Companies' allowance for credit losses is summarized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5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1160" w:type="dxa"/>
            <w:vAlign w:val="bottom"/>
          </w:tcPr>
          <w:p>
            <w:pPr>
              <w:spacing w:after="0"/>
              <w:rPr>
                <w:sz w:val="19"/>
                <w:szCs w:val="19"/>
                <w:color w:val="auto"/>
              </w:rPr>
            </w:pP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6"/>
                <w:szCs w:val="16"/>
                <w:color w:val="auto"/>
              </w:rPr>
              <w:t>(millions)</w:t>
            </w: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15.7</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1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5.1</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Recoveries of prior write-offs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5.6</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 June 30</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12.7</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7.8</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1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Recoveries of prior write-offs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2.3</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 June 30</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5.5</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5.8</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1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Recoveries of prior write-offs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2.3</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7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 June 30</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5.1</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 of Accounts Receivable</w:t>
      </w:r>
    </w:p>
    <w:p>
      <w:pPr>
        <w:spacing w:after="0" w:line="2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9"/>
          <w:szCs w:val="19"/>
          <w:color w:val="auto"/>
        </w:rPr>
        <w:t>Evergy Kansas Central, Evergy Metro and Evergy Missouri West sell an undivided percentage ownership interest in their retail electric accounts receivable to independent outside investors. These sales are accounted for as secured borrowings with accounts receivable pledged as collateral and a corresponding short-term collateralized note payable recognized on the balance sheets. The Evergy Companies' accounts receivable pledged as collateral and the corresponding short-term collateralized note payable are summarized in the following table.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600" w:type="dxa"/>
            <w:vAlign w:val="bottom"/>
            <w:tcBorders>
              <w:top w:val="single" w:sz="8" w:color="auto"/>
            </w:tcBorders>
          </w:tcPr>
          <w:p>
            <w:pPr>
              <w:spacing w:after="0"/>
              <w:rPr>
                <w:sz w:val="21"/>
                <w:szCs w:val="21"/>
                <w:color w:val="auto"/>
              </w:rPr>
            </w:pPr>
          </w:p>
        </w:tc>
        <w:tc>
          <w:tcPr>
            <w:tcW w:w="4140" w:type="dxa"/>
            <w:vAlign w:val="bottom"/>
            <w:tcBorders>
              <w:top w:val="single" w:sz="8" w:color="auto"/>
            </w:tcBorders>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7"/>
              </w:rPr>
              <w:t>June 30</w:t>
            </w:r>
          </w:p>
        </w:tc>
        <w:tc>
          <w:tcPr>
            <w:tcW w:w="6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60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7"/>
        </w:trPr>
        <w:tc>
          <w:tcPr>
            <w:tcW w:w="46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460" w:type="dxa"/>
            <w:vAlign w:val="bottom"/>
          </w:tcPr>
          <w:p>
            <w:pPr>
              <w:spacing w:after="0"/>
              <w:rPr>
                <w:sz w:val="17"/>
                <w:szCs w:val="17"/>
                <w:color w:val="auto"/>
              </w:rPr>
            </w:pPr>
          </w:p>
        </w:tc>
      </w:tr>
      <w:tr>
        <w:trPr>
          <w:trHeight w:val="23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41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338.0</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4140" w:type="dxa"/>
            <w:vAlign w:val="bottom"/>
          </w:tcPr>
          <w:p>
            <w:pPr>
              <w:spacing w:after="0"/>
              <w:rPr>
                <w:sz w:val="19"/>
                <w:szCs w:val="19"/>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177.0</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r>
      <w:tr>
        <w:trPr>
          <w:trHeight w:val="237"/>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4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111.0</w:t>
            </w:r>
          </w:p>
        </w:tc>
        <w:tc>
          <w:tcPr>
            <w:tcW w:w="4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r>
    </w:tbl>
    <w:p>
      <w:pPr>
        <w:spacing w:after="0" w:line="274"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In April 2025, Evergy Kansas Central, Evergy Metro and Evergy Missouri West extended the expiration of each receivable sale facility from November 2025 to April 2028. Evergy Kansas Central's facility allows up to</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$185.0 million in aggregate outstanding principal amount to be borrowed at any time. To the extent Evergy Kansas Central has qualifying accounts receivable and subject to the lender's discretion, Evergy Kansas Central's facility allows for an additional $65.0 million in aggregate outstanding principal amount to be borrowed at any time. Evergy Metro's facility allows up to $130.0 million in aggregate outstanding principal amount to be borrowed at any time. To the extent Evergy Metro has qualifying accounts receivable and subject to the lender's discretion, Evergy Metro's facility allows for an additional $70.0 million in aggregate outstanding principal amount to be borrowed at any time. Evergy Missouri West's facility allows up to $50.0 million in aggregate outstanding principal amount to be borrowed at any time. To the extent Evergy Missouri West has qualifying accounts receivable and subject to the lender's discretion, Evergy Missouri West's facility allows for an additional $65.0 million in aggregate outstanding principal amount to be borrowed at any time.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RATE MATTERS AND REGULATION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KCC Proceedings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Kansas Central's 2025 Rate Case Proceeding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January 2025, Evergy Kansas Central filed an application with the KCC to request an increase to its retail revenues of approximately</w:t>
      </w:r>
    </w:p>
    <w:p>
      <w:pPr>
        <w:spacing w:after="0" w:line="6" w:lineRule="exact"/>
        <w:rPr>
          <w:sz w:val="20"/>
          <w:szCs w:val="20"/>
          <w:color w:val="auto"/>
        </w:rPr>
      </w:pPr>
    </w:p>
    <w:p>
      <w:pPr>
        <w:jc w:val="both"/>
        <w:ind w:right="240"/>
        <w:spacing w:after="0" w:line="249" w:lineRule="auto"/>
        <w:rPr>
          <w:sz w:val="20"/>
          <w:szCs w:val="20"/>
          <w:color w:val="auto"/>
        </w:rPr>
      </w:pPr>
      <w:r>
        <w:rPr>
          <w:rFonts w:ascii="Times New Roman" w:cs="Times New Roman" w:eastAsia="Times New Roman" w:hAnsi="Times New Roman"/>
          <w:sz w:val="20"/>
          <w:szCs w:val="20"/>
          <w:color w:val="auto"/>
        </w:rPr>
        <w:t>$196 million. Evergy Kansas Central's request reflected a return on equity of 10.5% (with a capital structure composed of 52% equity) and increases related to the recovery of infrastructure investments made to improve reliability and enhance customer service and the update of expenses to current levels of spend.</w:t>
      </w:r>
    </w:p>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In July 2025, Evergy Kansas Central, KCC staff and other intervenors reached a unanimous settlement agreement to settle all issues in the case. The unanimous settlement agreement provides for an increase to retail revenues of $128.0 million after rebasing property tax expense and not including costs recoverable through KCC-approved riders for Evergy Kansas Central. As part of the settlement agreement, Evergy Kansas Central agreed to participate in an earnings review surveillance report for each calendar year beginning 2025 through the time Evergy Kansas Central files its next general rate case and new base rates become effective as a result of that case. Under this mechanism, Evergy Kansas Central’s jurisdiction is required to refund customers 50% of annual earnings in excess of a 9.7% return on equity. The unanimous settlement agreement is subject to the approval of the KCC. If approved, new rates are expected to be effective on September 29,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Applications for Predetermination</w:t>
      </w:r>
    </w:p>
    <w:p>
      <w:pPr>
        <w:spacing w:after="0" w:line="3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9"/>
          <w:szCs w:val="19"/>
          <w:color w:val="auto"/>
        </w:rPr>
        <w:t>The KCC uses a process referred to as ‘predetermination’ to establish ratemaking principles and treatments for certain utility investments before they are included in a utility’s rate base. The process helps balance the interest of utilities and customers by ensuring broad agreement</w:t>
      </w:r>
    </w:p>
    <w:p>
      <w:pPr>
        <w:spacing w:after="0" w:line="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to the reasonableness of the investment and regulatory certainty regarding the recovery of costs associated with the investment. Investment in utility projects may be dependent on acceptable regulatory treatment determined in the predetermination process.</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In November 2024, Evergy Kansas Central requested predetermination from the KCC for its planned natural gas plant investments and Kansas Sky solar investment. In April 2025, Evergy Kansas Central and intervenors in the case reached a non-unanimous partial settlement agreement regarding its planned natural gas plant investments and a unanimous partial settlement agreement regarding the Kansas Sky solar investment.</w:t>
      </w:r>
    </w:p>
    <w:p>
      <w:pPr>
        <w:spacing w:after="0" w:line="17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0"/>
          <w:szCs w:val="20"/>
          <w:color w:val="auto"/>
        </w:rPr>
        <w:t>In July 2025, the KCC approved the non-unanimous partial settlement agreement for the natural gas plant investments establishing that Evergy Kansas Central's investment in its planned natural gas plants is prudent. This agreement will permit Evergy Kansas Central to implement a CWIP rider one year after construction of each plant begins and Evergy Kansas Central will recover through the CWIP rider the return on up to 100% of amounts recorded to CWIP for each plant, not to exceed definitive cost estimates established by the KCC unless otherwise ordered by the KCC. Evergy Kansas Central will be permitted to update rates charged through the CWIP rider every six months. Evergy Kansas Central will be permitted to collect these amounts through the CWIP rider until new base rates reflecting Evergy Kansas Central's investment in the natural gas plants take effect. Evergy Kansas Central will not be able to accrue AFUDC on these amounts once the CWIP rider becomes effective and is included in customer rates. When new base rates reflecting Evergy Kansas Central's investment in each plant take effect, those base rates will include a deferral for depreciation expense incurred and carrying costs on any unrecovered portion of Evergy Kansas Central's investment in natural gas plants incurred between the time the natural gas plants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620"/>
        <w:spacing w:after="0" w:line="269" w:lineRule="auto"/>
        <w:rPr>
          <w:sz w:val="20"/>
          <w:szCs w:val="20"/>
          <w:color w:val="auto"/>
        </w:rPr>
      </w:pPr>
      <w:r>
        <w:rPr>
          <w:rFonts w:ascii="Times New Roman" w:cs="Times New Roman" w:eastAsia="Times New Roman" w:hAnsi="Times New Roman"/>
          <w:sz w:val="20"/>
          <w:szCs w:val="20"/>
          <w:color w:val="auto"/>
        </w:rPr>
        <w:t>are placed in service and the time the investment in the natural gas plants is included in base rates. Investments above certain amounts established in the settlement agreement will be subject to a prudence review.</w:t>
      </w:r>
    </w:p>
    <w:p>
      <w:pPr>
        <w:spacing w:after="0" w:line="159"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In July 2025, the KCC approved the unanimous partial settlement agreement for the Kansas Sky solar investment allowing Evergy Kansas Central’s investment in Kansas Sky to be recovered through a levelized revenue requirement for the first thirty years of the life of the generation site, after which the levelized revenue requirement will be reevaluated. In addition, Evergy Kansas Central will be permitted to defer to a regulatory asset and recover over the remaining life of the Kansas Sky solar investment depreciation expense, the associated return on investment and other costs incurred between the time the investment is placed in service and the effective date of rates that include the fixed revenue requirement.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Kansas Central 2025 Transmission Delivery Charge (TDC)</w:t>
      </w:r>
    </w:p>
    <w:p>
      <w:pPr>
        <w:spacing w:after="0" w:line="32" w:lineRule="exact"/>
        <w:rPr>
          <w:sz w:val="20"/>
          <w:szCs w:val="20"/>
          <w:color w:val="auto"/>
        </w:rPr>
      </w:pPr>
    </w:p>
    <w:p>
      <w:pPr>
        <w:jc w:val="both"/>
        <w:ind w:right="220"/>
        <w:spacing w:after="0" w:line="253" w:lineRule="auto"/>
        <w:rPr>
          <w:sz w:val="20"/>
          <w:szCs w:val="20"/>
          <w:color w:val="auto"/>
        </w:rPr>
      </w:pPr>
      <w:r>
        <w:rPr>
          <w:rFonts w:ascii="Times New Roman" w:cs="Times New Roman" w:eastAsia="Times New Roman" w:hAnsi="Times New Roman"/>
          <w:sz w:val="20"/>
          <w:szCs w:val="20"/>
          <w:color w:val="auto"/>
        </w:rPr>
        <w:t>In April 2025, the KCC issued an order adjusting Evergy Kansas Central's retail prices to include updated transmission costs as reflected in the Federal Energy Regulatory Commission (FERC) transmission formula rate (TFR). The new prices were effective in May 2025 and are expected to increase Evergy Kansas Central's annual retail revenues by $55.9 million when compared to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Metro 2025 TDC</w:t>
      </w:r>
    </w:p>
    <w:p>
      <w:pPr>
        <w:spacing w:after="0" w:line="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In April 2025, the KCC issued an order adjusting Evergy Metro's retail prices to include updated transmission costs as reflected in the FERC TFR. The new prices were effective in May 2025 and are expected to increase Evergy Metro's annual retail revenues by $4.8 million when compared to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MPSC Proceedings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Missouri West's 2024 Rate Case Proceeding</w:t>
      </w:r>
    </w:p>
    <w:p>
      <w:pPr>
        <w:spacing w:after="0" w:line="6" w:lineRule="exact"/>
        <w:rPr>
          <w:sz w:val="20"/>
          <w:szCs w:val="20"/>
          <w:color w:val="auto"/>
        </w:rPr>
      </w:pPr>
    </w:p>
    <w:p>
      <w:pPr>
        <w:jc w:val="both"/>
        <w:ind w:right="520"/>
        <w:spacing w:after="0" w:line="256" w:lineRule="auto"/>
        <w:rPr>
          <w:sz w:val="20"/>
          <w:szCs w:val="20"/>
          <w:color w:val="auto"/>
        </w:rPr>
      </w:pPr>
      <w:r>
        <w:rPr>
          <w:rFonts w:ascii="Times New Roman" w:cs="Times New Roman" w:eastAsia="Times New Roman" w:hAnsi="Times New Roman"/>
          <w:sz w:val="20"/>
          <w:szCs w:val="20"/>
          <w:color w:val="auto"/>
        </w:rPr>
        <w:t>In January 2025, Evergy Missouri West implemented new rates approved by the MPSC in December 2024 providing for an increase to Evergy Missouri West's retail revenues of approximately $55 million after lowering base rates for fuel and purchased power expense of approximately $49 million and rebasing property tax expense.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Requests for Certificate of Convenience and Necessity</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Missouri utilities must request a CCN from the MPSC to authorize them to build certain utility projects. The CCN process authorizes utilities to build projects and can provide assurance that the project is prudent and necessary. Investment in projects is dependent upon the granting by the MPSC of a CCN with reasonably acceptable terms.</w:t>
      </w:r>
    </w:p>
    <w:p>
      <w:pPr>
        <w:spacing w:after="0" w:line="18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In 2024, Evergy Missouri West filed applications for CCNs for its planned renewable and natural gas plant investments. In May 2025, Evergy Missouri West entered into a unanimous stipulation and agreement with the MPSC staff and other intervenors that would grant Evergy Missouri West’s CCNs to construct, install, own, operate, maintain and otherwise control and manage Sunflower Sky and Foxtrot solar generating facilities. In May 2025, Evergy Missouri West entered into a non-unanimous stipulation and agreement with the MPSC staff and other intervenors that would grant Evergy Missouri West’s CCNs to construct, install, own, operate, maintain and otherwise control and manage its planned natural gas plant investments.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July 2025, the MPSC approved the unanimous stipulation and agreement for Sunflower Sky and Foxtrot solar generating facilities granting Evergy Missouri West's CCN request for its planned renewable plant investments. Evergy Missouri West plans to utilize PISA, as applicable, for its planned renewable plant investments.</w:t>
      </w:r>
    </w:p>
    <w:p>
      <w:pPr>
        <w:spacing w:after="0" w:line="174"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0"/>
          <w:szCs w:val="20"/>
          <w:color w:val="auto"/>
        </w:rPr>
        <w:t>In July 2025, the MPSC approved the non-unanimous stipulation and agreement for the natural gas plant investments granting Evergy Missouri West's CCN and establishing that Evergy Missouri West’s planned investments in the natural gas plants are decisionally prudent. Evergy Missouri West intends to utilize the SB 4 CWIP inclusion provision and PISA, as applicable, for its planned investments in the natural gas plants.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FERC Proceedings</w:t>
      </w:r>
    </w:p>
    <w:p>
      <w:pPr>
        <w:spacing w:after="0" w:line="32"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20"/>
          <w:szCs w:val="20"/>
          <w:color w:val="auto"/>
        </w:rPr>
        <w:t>In October of each year, Evergy Kansas Central and Evergy Metro post an updated TFR that includes projected transmission capital expenditures and operating costs for the following year. This rate is the most significant component in the retail rate calculation for Evergy Kansas Central's and Evergy Metro's annual request with the KCC to adjust retail prices to include updated transmission costs through the TDC.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Kansas Central TFR Annual Update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Most recently, the updated TFR was expected to adjust Evergy Kansas Central's annual transmission revenues by approximately:</w:t>
      </w:r>
    </w:p>
    <w:p>
      <w:pPr>
        <w:spacing w:after="0" w:line="92"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$19.1 million increase effective in January 2025; and</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$115.8 million increase effective in January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Kansas Central TFR Formal Complaint</w:t>
      </w:r>
    </w:p>
    <w:p>
      <w:pPr>
        <w:spacing w:after="0" w:line="3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In February 2023, certain Evergy Kansas Central TFR customers submitted a formal complaint with FERC requesting the refund of over-collections related to the capital structure calculation in determining Evergy Kansas Central's Annual Transmission Revenue Requirement for the 2018 and 2019 rate years. As of June 30, 2025, and December 31, 2024, Evergy and Evergy Kansas Central had recorded a regulatory liability of $9.3 million and $7.1 million, respectively, related to the 2018 and 2019 rate year refund request. Evergy and Evergy Kansas Central are awaiting a response from FERC.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Metro TFR Annual Update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Most recently, the updated TFR was expected to adjust Evergy Metro's annual transmission revenues by approximately:</w:t>
      </w:r>
    </w:p>
    <w:p>
      <w:pPr>
        <w:spacing w:after="0" w:line="92" w:lineRule="exact"/>
        <w:rPr>
          <w:sz w:val="20"/>
          <w:szCs w:val="20"/>
          <w:color w:val="auto"/>
        </w:rPr>
      </w:pPr>
    </w:p>
    <w:p>
      <w:pPr>
        <w:ind w:left="640" w:hanging="308"/>
        <w:spacing w:after="0"/>
        <w:tabs>
          <w:tab w:leader="none" w:pos="6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million increase effective in January 2025; and</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$23.7 million increase effective in January 2024.</w:t>
      </w:r>
    </w:p>
    <w:p>
      <w:pPr>
        <w:spacing w:after="0" w:line="211"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w:t>
      </w:r>
    </w:p>
    <w:p>
      <w:pPr>
        <w:spacing w:after="0" w:line="12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GAAP requires goodwill to be tested for impairment annually and when an event occurs indicating the possibility that an impairment exists. Evergy's impairment test for the $2,336.6 million of goodwill that was recorded as a result of the merger that created Evergy was conducted as of May 1, 2025.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Evergy's consolidated operations are considered one reporting unit for assessment of impairment, as management assesses financial performance and allocates resources on a consolidated basis. The determination of fair value of the reporting unit consisted of two valuation techniques: an income approach consisting of a discounted cash flow analysis and a market approach consisting of a determination of reporting unit invested capital using a market multiple derived from the historical earnings before interest, income taxes, depreciation and amortization and market prices of the stock of peer companies. The results of the two techniques were evaluated and weighted to determine a point within the range that management considered representative of fair value for the reporting unit. The fair value of the reporting unit exceeded the carrying amount, including goodwill. As a result, there was no impairment of goodwill.</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PENSION PLANS AND POST-RETIREMENT BENEFITS</w:t>
      </w:r>
    </w:p>
    <w:p>
      <w:pPr>
        <w:spacing w:after="0" w:line="125"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0"/>
          <w:szCs w:val="20"/>
          <w:color w:val="auto"/>
        </w:rPr>
        <w:t>Evergy and certain of its subsidiaries maintain, and Evergy Kansas Central and Evergy Metro participate in, qualified non-contributory defined benefit pension plans covering the majority of Evergy Kansas Central's and Evergy Metro's employees as well as certain non-qualified plans covering certain active and retired officers. Evergy is also responsible for its indirect 94% ownership share of Wolf Creek Generating Station (Wolf Creek) defined benefit plans, consisting of Evergy Kansas South's and Evergy Metro's respective 47% ownership shares.</w:t>
      </w:r>
    </w:p>
    <w:p>
      <w:pPr>
        <w:spacing w:after="0" w:line="19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9"/>
          <w:szCs w:val="19"/>
          <w:color w:val="auto"/>
        </w:rPr>
        <w:t>For the majority of employees, pension benefits under these plans reflect the employees' compensation, years of service and age at retirement. However, for the plan covering Evergy Kansas Central's employees, the benefits for non-union employees hired between 2002 and the second quarter of 2018 and union employees hired beginning in 2012 are derived from a cash balance account formula. The plan was closed to future non-union employees in 2018. For the plans covering Evergy Metro's employees, the benefits for union employees hired beginning in 2014 are derived from a cash balance account formula and the plans were closed to future non-union employees in 2014.</w:t>
      </w:r>
    </w:p>
    <w:p>
      <w:pPr>
        <w:spacing w:after="0" w:line="175"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Evergy and its subsidiaries also provide certain post-retirement health care and life insurance benefits for substantially all retired employees of Evergy Kansas Central and Evergy Metro and their respective shares of Wolf Creek's post-retirement benefit plans.</w:t>
      </w:r>
    </w:p>
    <w:p>
      <w:pPr>
        <w:spacing w:after="0" w:line="17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The Evergy Companies record pension and post-retirement expense in accordance with rate orders from the KCC and MPSC that allow the difference between pension and post-retirement costs under GAAP and costs for ratemaking to be recognized as a regulatory asset or liability. This difference between financial and regulatory accounting methods is due to timing and will be eliminated over the life of the plans.</w:t>
      </w:r>
    </w:p>
    <w:p>
      <w:pPr>
        <w:spacing w:after="0" w:line="172"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The following tables provide the components of net periodic benefit costs prior to the effects of capitalization and sharing with joint owners of power plants.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0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480" w:type="dxa"/>
            <w:vAlign w:val="bottom"/>
            <w:tcBorders>
              <w:top w:val="single" w:sz="8" w:color="auto"/>
            </w:tcBorders>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Post-Retirement Benefits</w:t>
            </w: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center"/>
              <w:ind w:right="2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Evergy</w:t>
            </w:r>
          </w:p>
        </w:tc>
        <w:tc>
          <w:tcPr>
            <w:tcW w:w="220" w:type="dxa"/>
            <w:vAlign w:val="bottom"/>
          </w:tcPr>
          <w:p>
            <w:pPr>
              <w:spacing w:after="0"/>
              <w:rPr>
                <w:sz w:val="16"/>
                <w:szCs w:val="16"/>
                <w:color w:val="auto"/>
              </w:rPr>
            </w:pPr>
          </w:p>
        </w:tc>
        <w:tc>
          <w:tcPr>
            <w:tcW w:w="98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rPr>
              <w:t>Evergy</w:t>
            </w:r>
          </w:p>
        </w:tc>
        <w:tc>
          <w:tcPr>
            <w:tcW w:w="320" w:type="dxa"/>
            <w:vAlign w:val="bottom"/>
          </w:tcPr>
          <w:p>
            <w:pPr>
              <w:spacing w:after="0"/>
              <w:rPr>
                <w:sz w:val="16"/>
                <w:szCs w:val="16"/>
                <w:color w:val="auto"/>
              </w:rPr>
            </w:pPr>
          </w:p>
        </w:tc>
        <w:tc>
          <w:tcPr>
            <w:tcW w:w="80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Evergy</w:t>
            </w:r>
          </w:p>
        </w:tc>
        <w:tc>
          <w:tcPr>
            <w:tcW w:w="0" w:type="dxa"/>
            <w:vAlign w:val="bottom"/>
          </w:tcPr>
          <w:p>
            <w:pPr>
              <w:spacing w:after="0"/>
              <w:rPr>
                <w:sz w:val="1"/>
                <w:szCs w:val="1"/>
                <w:color w:val="auto"/>
              </w:rPr>
            </w:pPr>
          </w:p>
        </w:tc>
      </w:tr>
      <w:tr>
        <w:trPr>
          <w:trHeight w:val="184"/>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180" w:type="dxa"/>
            <w:vAlign w:val="bottom"/>
          </w:tcPr>
          <w:p>
            <w:pPr>
              <w:spacing w:after="0"/>
              <w:rPr>
                <w:sz w:val="16"/>
                <w:szCs w:val="16"/>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00" w:type="dxa"/>
            <w:vAlign w:val="bottom"/>
          </w:tcPr>
          <w:p>
            <w:pPr>
              <w:spacing w:after="0"/>
              <w:rPr>
                <w:sz w:val="16"/>
                <w:szCs w:val="16"/>
                <w:color w:val="auto"/>
              </w:rPr>
            </w:pPr>
          </w:p>
        </w:tc>
        <w:tc>
          <w:tcPr>
            <w:tcW w:w="1040" w:type="dxa"/>
            <w:vAlign w:val="bottom"/>
          </w:tcPr>
          <w:p>
            <w:pPr>
              <w:jc w:val="center"/>
              <w:ind w:right="1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40" w:type="dxa"/>
            <w:vAlign w:val="bottom"/>
          </w:tcPr>
          <w:p>
            <w:pPr>
              <w:spacing w:after="0"/>
              <w:rPr>
                <w:sz w:val="16"/>
                <w:szCs w:val="16"/>
                <w:color w:val="auto"/>
              </w:rPr>
            </w:pPr>
          </w:p>
        </w:tc>
        <w:tc>
          <w:tcPr>
            <w:tcW w:w="100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3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Metro</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Metro</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0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11.4</w:t>
            </w:r>
          </w:p>
        </w:tc>
        <w:tc>
          <w:tcPr>
            <w:tcW w:w="3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9"/>
                <w:szCs w:val="19"/>
                <w:color w:val="auto"/>
              </w:rPr>
            </w:pPr>
          </w:p>
        </w:tc>
        <w:tc>
          <w:tcPr>
            <w:tcW w:w="8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7"/>
              </w:rPr>
              <w:t>1.3</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164"/>
        </w:trPr>
        <w:tc>
          <w:tcPr>
            <w:tcW w:w="400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Net periodic benefit costs before regulatory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and intercompany allocations</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0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Pr>
          <w:p>
            <w:pPr>
              <w:spacing w:after="0"/>
              <w:rPr>
                <w:sz w:val="20"/>
                <w:szCs w:val="20"/>
                <w:color w:val="auto"/>
              </w:rPr>
            </w:pPr>
          </w:p>
        </w:tc>
        <w:tc>
          <w:tcPr>
            <w:tcW w:w="8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adjustment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Intercompany allocations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0.3</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benefit costs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9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9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320" w:type="dxa"/>
            <w:vAlign w:val="bottom"/>
            <w:tcBorders>
              <w:top w:val="single" w:sz="8" w:color="auto"/>
            </w:tcBorders>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Evergy</w:t>
            </w:r>
          </w:p>
        </w:tc>
        <w:tc>
          <w:tcPr>
            <w:tcW w:w="240" w:type="dxa"/>
            <w:vAlign w:val="bottom"/>
          </w:tcPr>
          <w:p>
            <w:pPr>
              <w:spacing w:after="0"/>
              <w:rPr>
                <w:sz w:val="16"/>
                <w:szCs w:val="16"/>
                <w:color w:val="auto"/>
              </w:rPr>
            </w:pPr>
          </w:p>
        </w:tc>
        <w:tc>
          <w:tcPr>
            <w:tcW w:w="98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rPr>
              <w:t>Evergy</w:t>
            </w:r>
          </w:p>
        </w:tc>
        <w:tc>
          <w:tcPr>
            <w:tcW w:w="360" w:type="dxa"/>
            <w:vAlign w:val="bottom"/>
          </w:tcPr>
          <w:p>
            <w:pPr>
              <w:spacing w:after="0"/>
              <w:rPr>
                <w:sz w:val="16"/>
                <w:szCs w:val="16"/>
                <w:color w:val="auto"/>
              </w:rPr>
            </w:pPr>
          </w:p>
        </w:tc>
        <w:tc>
          <w:tcPr>
            <w:tcW w:w="82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Evergy</w:t>
            </w:r>
          </w:p>
        </w:tc>
        <w:tc>
          <w:tcPr>
            <w:tcW w:w="0" w:type="dxa"/>
            <w:vAlign w:val="bottom"/>
          </w:tcPr>
          <w:p>
            <w:pPr>
              <w:spacing w:after="0"/>
              <w:rPr>
                <w:sz w:val="1"/>
                <w:szCs w:val="1"/>
                <w:color w:val="auto"/>
              </w:rPr>
            </w:pPr>
          </w:p>
        </w:tc>
      </w:tr>
      <w:tr>
        <w:trPr>
          <w:trHeight w:val="176"/>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June 30, 2025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80" w:type="dxa"/>
            <w:vAlign w:val="bottom"/>
          </w:tcPr>
          <w:p>
            <w:pPr>
              <w:spacing w:after="0"/>
              <w:rPr>
                <w:sz w:val="15"/>
                <w:szCs w:val="15"/>
                <w:color w:val="auto"/>
              </w:rPr>
            </w:pPr>
          </w:p>
        </w:tc>
        <w:tc>
          <w:tcPr>
            <w:tcW w:w="10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40" w:type="dxa"/>
            <w:vAlign w:val="bottom"/>
          </w:tcPr>
          <w:p>
            <w:pPr>
              <w:spacing w:after="0"/>
              <w:rPr>
                <w:sz w:val="15"/>
                <w:szCs w:val="15"/>
                <w:color w:val="auto"/>
              </w:rPr>
            </w:pPr>
          </w:p>
        </w:tc>
        <w:tc>
          <w:tcPr>
            <w:tcW w:w="98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3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Metro</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Metro</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3"/>
          </w:tcPr>
          <w:p>
            <w:pPr>
              <w:jc w:val="right"/>
              <w:ind w:right="790"/>
              <w:spacing w:after="0"/>
              <w:rPr>
                <w:sz w:val="20"/>
                <w:szCs w:val="20"/>
                <w:color w:val="auto"/>
              </w:rPr>
            </w:pPr>
            <w:r>
              <w:rPr>
                <w:rFonts w:ascii="Times New Roman" w:cs="Times New Roman" w:eastAsia="Times New Roman" w:hAnsi="Times New Roman"/>
                <w:sz w:val="16"/>
                <w:szCs w:val="16"/>
                <w:color w:val="auto"/>
              </w:rPr>
              <w:t>(millions)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7"/>
              </w:rPr>
              <w:t>0.3</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22.8</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spacing w:after="0"/>
              <w:rPr>
                <w:sz w:val="19"/>
                <w:szCs w:val="19"/>
                <w:color w:val="auto"/>
              </w:rPr>
            </w:pPr>
          </w:p>
        </w:tc>
        <w:tc>
          <w:tcPr>
            <w:tcW w:w="8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7"/>
              </w:rPr>
              <w:t>2.5</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tcPr>
          <w:p>
            <w:pPr>
              <w:spacing w:after="0"/>
              <w:rPr>
                <w:sz w:val="19"/>
                <w:szCs w:val="19"/>
                <w:color w:val="auto"/>
              </w:rPr>
            </w:pPr>
          </w:p>
        </w:tc>
        <w:tc>
          <w:tcPr>
            <w:tcW w:w="8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56"/>
        </w:trPr>
        <w:tc>
          <w:tcPr>
            <w:tcW w:w="406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8"/>
                <w:szCs w:val="18"/>
                <w:color w:val="auto"/>
              </w:rPr>
              <w:t>Net periodic benefit costs before regulatory adjustment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intercompany allocations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60" w:type="dxa"/>
            <w:vAlign w:val="bottom"/>
          </w:tcPr>
          <w:p>
            <w:pPr>
              <w:spacing w:after="0"/>
              <w:rPr>
                <w:sz w:val="21"/>
                <w:szCs w:val="21"/>
                <w:color w:val="auto"/>
              </w:rPr>
            </w:pPr>
          </w:p>
        </w:tc>
        <w:tc>
          <w:tcPr>
            <w:tcW w:w="8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adjustment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Intercompany allocations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7"/>
              </w:rPr>
              <w:t>0.4</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benefit costs (income)</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16.8</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3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Post-Retirement Benefits</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center"/>
              <w:ind w:right="25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Evergy</w:t>
            </w:r>
          </w:p>
        </w:tc>
        <w:tc>
          <w:tcPr>
            <w:tcW w:w="240" w:type="dxa"/>
            <w:vAlign w:val="bottom"/>
          </w:tcPr>
          <w:p>
            <w:pPr>
              <w:spacing w:after="0"/>
              <w:rPr>
                <w:sz w:val="16"/>
                <w:szCs w:val="16"/>
                <w:color w:val="auto"/>
              </w:rPr>
            </w:pPr>
          </w:p>
        </w:tc>
        <w:tc>
          <w:tcPr>
            <w:tcW w:w="980" w:type="dxa"/>
            <w:vAlign w:val="bottom"/>
            <w:vMerge w:val="restart"/>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rPr>
              <w:t>Evergy</w:t>
            </w: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80" w:type="dxa"/>
            <w:vAlign w:val="bottom"/>
          </w:tcPr>
          <w:p>
            <w:pPr>
              <w:spacing w:after="0"/>
              <w:rPr>
                <w:sz w:val="15"/>
                <w:szCs w:val="15"/>
                <w:color w:val="auto"/>
              </w:rPr>
            </w:pPr>
          </w:p>
        </w:tc>
        <w:tc>
          <w:tcPr>
            <w:tcW w:w="1000" w:type="dxa"/>
            <w:vAlign w:val="bottom"/>
          </w:tcPr>
          <w:p>
            <w:pPr>
              <w:jc w:val="center"/>
              <w:ind w:right="2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8"/>
              </w:rPr>
              <w:t>Evergy</w:t>
            </w:r>
          </w:p>
        </w:tc>
        <w:tc>
          <w:tcPr>
            <w:tcW w:w="240" w:type="dxa"/>
            <w:vAlign w:val="bottom"/>
          </w:tcPr>
          <w:p>
            <w:pPr>
              <w:spacing w:after="0"/>
              <w:rPr>
                <w:sz w:val="15"/>
                <w:szCs w:val="15"/>
                <w:color w:val="auto"/>
              </w:rPr>
            </w:pPr>
          </w:p>
        </w:tc>
        <w:tc>
          <w:tcPr>
            <w:tcW w:w="98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Metro</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118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22.4</w:t>
            </w:r>
          </w:p>
        </w:tc>
        <w:tc>
          <w:tcPr>
            <w:tcW w:w="28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19"/>
                <w:szCs w:val="19"/>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19"/>
                <w:szCs w:val="19"/>
                <w:color w:val="auto"/>
              </w:rPr>
            </w:pPr>
          </w:p>
        </w:tc>
        <w:tc>
          <w:tcPr>
            <w:tcW w:w="8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7"/>
              </w:rPr>
              <w:t>1.3</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19"/>
                <w:szCs w:val="19"/>
                <w:color w:val="auto"/>
              </w:rPr>
            </w:pPr>
          </w:p>
        </w:tc>
        <w:tc>
          <w:tcPr>
            <w:tcW w:w="1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9"/>
                <w:szCs w:val="19"/>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 loss</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55"/>
        </w:trPr>
        <w:tc>
          <w:tcPr>
            <w:tcW w:w="39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periodic benefit costs before regulatory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and intercompany allocations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rPr>
                <w:sz w:val="21"/>
                <w:szCs w:val="21"/>
                <w:color w:val="auto"/>
              </w:rPr>
            </w:pPr>
          </w:p>
        </w:tc>
        <w:tc>
          <w:tcPr>
            <w:tcW w:w="1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tcPr>
          <w:p>
            <w:pPr>
              <w:spacing w:after="0"/>
              <w:rPr>
                <w:sz w:val="21"/>
                <w:szCs w:val="21"/>
                <w:color w:val="auto"/>
              </w:rPr>
            </w:pPr>
          </w:p>
        </w:tc>
        <w:tc>
          <w:tcPr>
            <w:tcW w:w="8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adjustment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Intercompany allocations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benefit costs (income)</w:t>
            </w:r>
          </w:p>
        </w:tc>
        <w:tc>
          <w:tcPr>
            <w:tcW w:w="1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Pension Benefits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Post-Retirement Benefits</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center"/>
              <w:ind w:right="2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Evergy</w:t>
            </w:r>
          </w:p>
        </w:tc>
        <w:tc>
          <w:tcPr>
            <w:tcW w:w="240" w:type="dxa"/>
            <w:vAlign w:val="bottom"/>
          </w:tcPr>
          <w:p>
            <w:pPr>
              <w:spacing w:after="0"/>
              <w:rPr>
                <w:sz w:val="16"/>
                <w:szCs w:val="16"/>
                <w:color w:val="auto"/>
              </w:rPr>
            </w:pPr>
          </w:p>
        </w:tc>
        <w:tc>
          <w:tcPr>
            <w:tcW w:w="98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rPr>
              <w:t>Evergy</w:t>
            </w: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June 30, 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80" w:type="dxa"/>
            <w:vAlign w:val="bottom"/>
          </w:tcPr>
          <w:p>
            <w:pPr>
              <w:spacing w:after="0"/>
              <w:rPr>
                <w:sz w:val="16"/>
                <w:szCs w:val="16"/>
                <w:color w:val="auto"/>
              </w:rPr>
            </w:pPr>
          </w:p>
        </w:tc>
        <w:tc>
          <w:tcPr>
            <w:tcW w:w="1000" w:type="dxa"/>
            <w:vAlign w:val="bottom"/>
          </w:tcPr>
          <w:p>
            <w:pPr>
              <w:jc w:val="center"/>
              <w:ind w:right="2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8"/>
              </w:rPr>
              <w:t>Evergy</w:t>
            </w:r>
          </w:p>
        </w:tc>
        <w:tc>
          <w:tcPr>
            <w:tcW w:w="240" w:type="dxa"/>
            <w:vAlign w:val="bottom"/>
          </w:tcPr>
          <w:p>
            <w:pPr>
              <w:spacing w:after="0"/>
              <w:rPr>
                <w:sz w:val="16"/>
                <w:szCs w:val="16"/>
                <w:color w:val="auto"/>
              </w:rPr>
            </w:pPr>
          </w:p>
        </w:tc>
        <w:tc>
          <w:tcPr>
            <w:tcW w:w="98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Metro</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11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7"/>
              </w:rPr>
              <w:t>0.4</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44.8</w:t>
            </w:r>
          </w:p>
        </w:tc>
        <w:tc>
          <w:tcPr>
            <w:tcW w:w="2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21.5</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spacing w:after="0"/>
              <w:rPr>
                <w:sz w:val="19"/>
                <w:szCs w:val="19"/>
                <w:color w:val="auto"/>
              </w:rPr>
            </w:pPr>
          </w:p>
        </w:tc>
        <w:tc>
          <w:tcPr>
            <w:tcW w:w="8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7"/>
              </w:rPr>
              <w:t>2.5</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(21.9)</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 loss</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164"/>
        </w:trPr>
        <w:tc>
          <w:tcPr>
            <w:tcW w:w="394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Net periodic benefit costs before regulatory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and intercompany allocations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20"/>
                <w:szCs w:val="20"/>
                <w:color w:val="auto"/>
              </w:rPr>
            </w:pPr>
          </w:p>
        </w:tc>
        <w:tc>
          <w:tcPr>
            <w:tcW w:w="8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adjustment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15.5</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Intercompany allocations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7"/>
              </w:rPr>
              <w:t>0.3</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benefit costs (income)</w:t>
            </w:r>
          </w:p>
        </w:tc>
        <w:tc>
          <w:tcPr>
            <w:tcW w:w="1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18.8</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The components of net periodic benefit costs other than the service cost component are included in other expense on the Evergy Companies' consolidated statements of income and comprehensive income.</w:t>
      </w:r>
    </w:p>
    <w:p>
      <w:pPr>
        <w:spacing w:after="0" w:line="146" w:lineRule="exact"/>
        <w:rPr>
          <w:sz w:val="20"/>
          <w:szCs w:val="20"/>
          <w:color w:val="auto"/>
        </w:rPr>
      </w:pPr>
    </w:p>
    <w:p>
      <w:pPr>
        <w:ind w:right="1060"/>
        <w:spacing w:after="0" w:line="283" w:lineRule="auto"/>
        <w:rPr>
          <w:sz w:val="20"/>
          <w:szCs w:val="20"/>
          <w:color w:val="auto"/>
        </w:rPr>
      </w:pPr>
      <w:r>
        <w:rPr>
          <w:rFonts w:ascii="Times New Roman" w:cs="Times New Roman" w:eastAsia="Times New Roman" w:hAnsi="Times New Roman"/>
          <w:sz w:val="20"/>
          <w:szCs w:val="20"/>
          <w:color w:val="auto"/>
        </w:rPr>
        <w:t>Year to date June 30, 2025, Evergy, Evergy Kansas Central and Evergy Metro made cash pension contributions of $41.6 million, $23.2 million and $18.4 million, respectively. Evergy expects to make additional cash pension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20"/>
          <w:szCs w:val="20"/>
          <w:color w:val="auto"/>
        </w:rPr>
        <w:t>contributions of $24.4 million in 2025 to satisfy the Employee Retirement Income Security Act of 1974, as amended, funding requirements and KCC and MPSC rate orders, of which $8.6 million is expected to be paid by Evergy Kansas Central and $15.8 million is expected to be paid by Evergy Metro.</w:t>
      </w:r>
    </w:p>
    <w:p>
      <w:pPr>
        <w:spacing w:after="0" w:line="181"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20"/>
          <w:szCs w:val="20"/>
          <w:color w:val="auto"/>
        </w:rPr>
        <w:t>Year to date June 30, 2025, Evergy, Evergy Kansas Central and Evergy Metro made post-retirement benefit contributions of $0.3 million, $0.2 million and $0.1 million, respectively. Evergy, Evergy Kansas Central and Evergy Metro expect to make additional contributions in 2025 of $0.3 million, $0.2 million and $0.1 million, respectively, to the post-retirement benefit plans.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SHORT-TERM BORROWINGS AND SHORT-TERM BANK LINES OF CREDIT</w:t>
      </w:r>
    </w:p>
    <w:p>
      <w:pPr>
        <w:spacing w:after="0" w:line="112"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9"/>
          <w:szCs w:val="19"/>
          <w:color w:val="auto"/>
        </w:rPr>
        <w:t>The Evergy Companies' $2.5 billion master credit facility expires in 2028. Evergy, Evergy Kansas Central, Evergy Metro and Evergy Missouri West have borrowing capacity under the master credit facility with specific sublimits for each borrower. These sublimits can be unilaterally adjusted by Evergy for each borrower provided the sublimits remain within minimum and maximum sublimits as specified in the facility. The applicable interest rates and commitment fees of the facility are also subject to changes in ratings by the credit rating agencies.</w:t>
      </w:r>
    </w:p>
    <w:p>
      <w:pPr>
        <w:spacing w:after="0" w:line="17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A default by any borrower under the facility or one of its significant subsidiaries on other indebtedness totaling more than $100.0 million constitutes a default by that borrower under the facility. Under the terms of this facility, each of Evergy, Evergy Kansas Central, Evergy Metro and Evergy Missouri West is required to maintain a total indebtedness to total capitalization ratio, as defined in the facility, of not greater than 0.65 to 1.00. As of June 30, 2025, Evergy, Evergy Kansas Central, Evergy Metro and Evergy Missouri West were in compliance with this covenant.</w:t>
      </w:r>
    </w:p>
    <w:p>
      <w:pPr>
        <w:spacing w:after="0" w:line="192"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committed credit facilities (excluding receivable sale facilities discussed in Note 3) available to the Evergy Companies as of June 30, 2025, and December 31, 2024.</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24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Amounts Drawn</w:t>
            </w:r>
          </w:p>
        </w:tc>
        <w:tc>
          <w:tcPr>
            <w:tcW w:w="1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bottom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Available</w:t>
            </w:r>
          </w:p>
        </w:tc>
        <w:tc>
          <w:tcPr>
            <w:tcW w:w="2080" w:type="dxa"/>
            <w:vAlign w:val="bottom"/>
            <w:tcBorders>
              <w:top w:val="single" w:sz="8" w:color="auto"/>
              <w:bottom w:val="single" w:sz="8" w:color="auto"/>
            </w:tcBorders>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Master Credit</w:t>
            </w:r>
          </w:p>
        </w:tc>
        <w:tc>
          <w:tcPr>
            <w:tcW w:w="160" w:type="dxa"/>
            <w:vAlign w:val="bottom"/>
          </w:tcPr>
          <w:p>
            <w:pPr>
              <w:spacing w:after="0"/>
              <w:rPr>
                <w:sz w:val="13"/>
                <w:szCs w:val="13"/>
                <w:color w:val="auto"/>
              </w:rPr>
            </w:pPr>
          </w:p>
        </w:tc>
        <w:tc>
          <w:tcPr>
            <w:tcW w:w="11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180" w:type="dxa"/>
            <w:vAlign w:val="bottom"/>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Letters of Credit</w:t>
            </w:r>
          </w:p>
        </w:tc>
        <w:tc>
          <w:tcPr>
            <w:tcW w:w="1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1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Borrowings</w:t>
            </w:r>
          </w:p>
        </w:tc>
        <w:tc>
          <w:tcPr>
            <w:tcW w:w="2080" w:type="dxa"/>
            <w:vAlign w:val="bottom"/>
          </w:tcPr>
          <w:p>
            <w:pPr>
              <w:jc w:val="center"/>
              <w:ind w:lef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Rate on Short-</w:t>
            </w:r>
          </w:p>
        </w:tc>
        <w:tc>
          <w:tcPr>
            <w:tcW w:w="0" w:type="dxa"/>
            <w:vAlign w:val="bottom"/>
          </w:tcPr>
          <w:p>
            <w:pPr>
              <w:spacing w:after="0"/>
              <w:rPr>
                <w:sz w:val="1"/>
                <w:szCs w:val="1"/>
                <w:color w:val="auto"/>
              </w:rPr>
            </w:pPr>
          </w:p>
        </w:tc>
      </w:tr>
      <w:tr>
        <w:trPr>
          <w:trHeight w:val="243"/>
        </w:trPr>
        <w:tc>
          <w:tcPr>
            <w:tcW w:w="2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Paper</w:t>
            </w:r>
          </w:p>
        </w:tc>
        <w:tc>
          <w:tcPr>
            <w:tcW w:w="1340" w:type="dxa"/>
            <w:vAlign w:val="bottom"/>
            <w:tcBorders>
              <w:bottom w:val="single" w:sz="8" w:color="auto"/>
            </w:tcBorders>
            <w:gridSpan w:val="2"/>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1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20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Term Borrowings</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6"/>
                <w:szCs w:val="16"/>
                <w:color w:val="auto"/>
              </w:rPr>
              <w:t>(millions)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Inc.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Evergy Missouri West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080" w:type="dxa"/>
            <w:vAlign w:val="bottom"/>
            <w:tcBorders>
              <w:bottom w:val="single" w:sz="8" w:color="CCEEFF"/>
            </w:tcBorders>
          </w:tcPr>
          <w:p>
            <w:pPr>
              <w:jc w:val="center"/>
              <w:ind w:left="11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Inc.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Missouri West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2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Mortgage Bonds</w:t>
      </w:r>
    </w:p>
    <w:p>
      <w:pPr>
        <w:spacing w:after="0" w:line="32"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20"/>
          <w:szCs w:val="20"/>
          <w:color w:val="auto"/>
        </w:rPr>
        <w:t>In March 2025, Evergy Kansas Central issued, at a discount, $300.0 million of 5.25% First Mortgage Bonds, maturing in 2035. Proceeds were used to pay down commercial paper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w:t>
      </w:r>
    </w:p>
    <w:p>
      <w:pPr>
        <w:spacing w:after="0" w:line="32"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auto"/>
        </w:rPr>
        <w:t>In March 2025, Evergy Kansas Central issued, at a discount, $300.0 million of 4.70% Notes, maturing in 2028. Proceeds were used to pay down commercial paper and for general corporate purposes.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Pollution Control Bonds</w:t>
      </w:r>
    </w:p>
    <w:p>
      <w:pPr>
        <w:spacing w:after="0" w:line="2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In July 2025, Evergy Metro remarketed its unsecured Series 2008 Environmental Improvement Revenue Refunding (EIRR) bonds maturing in 2038 totaling $23.4 million at a fixed rate of 4.05% through June 2030.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DERIVATIVE INSTRUMENTS</w:t>
      </w:r>
    </w:p>
    <w:p>
      <w:pPr>
        <w:spacing w:after="0" w:line="11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The Evergy Companies engage in the wholesale and retail sale of electricity as part of their regulated electric operations, in addition to limited non-regulated energy marketing activities. These activities expose the Evergy Companies to market risks associated with the price of electricity, natural gas and other energy-related products. Management has established risk management policies and strategies to reduce the potentially adverse effects that the volatility of the markets may have on the Evergy Companies' operating results. The Evergy Companies' commodity risk management activities, which are subject to the management, direction and control of an internal risk management committee, utilize derivative instruments to reduce the effects of fluctuations in wholesale sales and fuel and purchased power expense caused by commodity price volatility.</w:t>
      </w:r>
    </w:p>
    <w:p>
      <w:pPr>
        <w:spacing w:after="0" w:line="17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20"/>
          <w:szCs w:val="20"/>
          <w:color w:val="auto"/>
        </w:rPr>
        <w:t>The Evergy Companies are also exposed to market risks arising from changes in interest rates and may use derivative instruments to manage these risks. The Evergy Companies' interest rate risk management activities have included using derivative instruments to hedge against future interest rate fluctuations on anticipated debt issuances.</w:t>
      </w:r>
    </w:p>
    <w:p>
      <w:pPr>
        <w:spacing w:after="0" w:line="161"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20"/>
          <w:szCs w:val="20"/>
          <w:color w:val="auto"/>
        </w:rPr>
        <w:t>The Evergy Companies also engage in non-regulated energy marketing activity for trading purposes, primarily at Evergy Kansas Central, which focuses on seizing market opportunities to create value driven by expected changes in the market prices of commodities, primarily electricity and natural gas.</w:t>
      </w:r>
    </w:p>
    <w:p>
      <w:pPr>
        <w:spacing w:after="0" w:line="18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The Evergy Companies consider various qualitative factors, such as contract and marketplace attributes, in designating derivative instruments at inception. The Evergy Companies may elect the normal purchases and normal sales (NPNS) exception, which requires the effects of the derivative to be recorded when the underlying contract settles under accrual accounting. The Evergy Companies account for derivative instruments that are not designated as NPNS primarily as either economic hedges or trading contracts (non-hedging derivatives) which are recorded as assets or liabilities on the consolidated balance sheets at fair value. See Note 10 for additional information on the Evergy Companies' methods for assessing the fair value of derivative instruments. Changes in the fair value of non-hedging derivatives that are related to the Evergy Companies' regulated operations are deferred to a regulatory asset or regulatory liability when determined to be probable of future recovery or refund from/to customers. Recovery of the actual costs incurred by regulated activities will not impact earnings but will impact cash flows due to the timing of the recovery mechanism. Cash flows for all derivative instruments are classified as operating activities on the Evergy Companies' statements of cash flows, with the exception of cash flows for interest rate swap agreements accounted for as cash flows hedges of forecasted debt transactions, which are recorded as financing activities. Changes in the fair value of non-hedging derivatives that are not related to the Evergy Companies' regulated operations are recorded in operating revenues on the Evergy Companies' statements of income and comprehensive income.</w:t>
      </w:r>
    </w:p>
    <w:p>
      <w:pPr>
        <w:spacing w:after="0" w:line="193"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The Evergy Companies offset fair value amounts recognized for derivative instruments under master netting arrangements, which include rights to reclaim cash collateral (a receivable), or the obligation to return cash collateral (a payable).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gross notional contract amount by commodity type for derivative instruments is summarized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0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tcPr>
          <w:p>
            <w:pPr>
              <w:jc w:val="right"/>
              <w:ind w:right="81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4520" w:type="dxa"/>
            <w:vAlign w:val="bottom"/>
            <w:tcBorders>
              <w:bottom w:val="single" w:sz="8" w:color="auto"/>
            </w:tcBorders>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Notional volume unit of measure</w:t>
            </w:r>
          </w:p>
        </w:tc>
        <w:tc>
          <w:tcPr>
            <w:tcW w:w="184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45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8"/>
                <w:szCs w:val="18"/>
                <w:color w:val="auto"/>
              </w:rPr>
            </w:pPr>
          </w:p>
        </w:tc>
      </w:tr>
      <w:tr>
        <w:trPr>
          <w:trHeight w:val="234"/>
        </w:trPr>
        <w:tc>
          <w:tcPr>
            <w:tcW w:w="360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7"/>
              </w:rPr>
              <w:t>MWhs</w:t>
            </w:r>
          </w:p>
        </w:tc>
        <w:tc>
          <w:tcPr>
            <w:tcW w:w="18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105.5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9"/>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MMBtu</w:t>
            </w:r>
          </w:p>
        </w:tc>
        <w:tc>
          <w:tcPr>
            <w:tcW w:w="18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121.0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w:t>
            </w:r>
          </w:p>
        </w:tc>
      </w:tr>
      <w:tr>
        <w:trPr>
          <w:trHeight w:val="229"/>
        </w:trPr>
        <w:tc>
          <w:tcPr>
            <w:tcW w:w="3600" w:type="dxa"/>
            <w:vAlign w:val="bottom"/>
            <w:shd w:val="clear" w:color="auto" w:fill="CCEEFF"/>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9"/>
              </w:rPr>
              <w:t>Evergy Kansas Central</w:t>
            </w:r>
          </w:p>
        </w:tc>
        <w:tc>
          <w:tcPr>
            <w:tcW w:w="45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360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7"/>
              </w:rPr>
              <w:t>MWhs</w:t>
            </w:r>
          </w:p>
        </w:tc>
        <w:tc>
          <w:tcPr>
            <w:tcW w:w="18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58.1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9"/>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MMBtu</w:t>
            </w:r>
          </w:p>
        </w:tc>
        <w:tc>
          <w:tcPr>
            <w:tcW w:w="18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121.0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w:t>
            </w:r>
          </w:p>
        </w:tc>
      </w:tr>
      <w:tr>
        <w:trPr>
          <w:trHeight w:val="230"/>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45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360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7"/>
        </w:trPr>
        <w:tc>
          <w:tcPr>
            <w:tcW w:w="36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tcBorders>
              <w:bottom w:val="single" w:sz="8" w:color="auto"/>
            </w:tcBorders>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7"/>
              </w:rPr>
              <w:t>MWhs</w:t>
            </w:r>
          </w:p>
        </w:tc>
        <w:tc>
          <w:tcPr>
            <w:tcW w:w="1840" w:type="dxa"/>
            <w:vAlign w:val="bottom"/>
            <w:tcBorders>
              <w:bottom w:val="single" w:sz="8" w:color="auto"/>
            </w:tcBorders>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35.7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bl>
    <w:p>
      <w:pPr>
        <w:spacing w:after="0" w:line="261"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The fair values of Evergy's open derivative positions and balance sheet classifications are summarized in the following tables. The fair values below are gross values before netting agreements and netting of cash collateral.</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8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4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45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9"/>
                <w:szCs w:val="19"/>
                <w:color w:val="auto"/>
              </w:rPr>
            </w:pP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21.9</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9"/>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assets - long-term</w:t>
            </w:r>
          </w:p>
        </w:tc>
        <w:tc>
          <w:tcPr>
            <w:tcW w:w="1080" w:type="dxa"/>
            <w:vAlign w:val="bottom"/>
          </w:tcPr>
          <w:p>
            <w:pPr>
              <w:spacing w:after="0"/>
              <w:rPr>
                <w:sz w:val="19"/>
                <w:szCs w:val="19"/>
                <w:color w:val="auto"/>
              </w:rPr>
            </w:pP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34.7</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7.2</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assets - long-term</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0.7</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assets</w:t>
            </w:r>
          </w:p>
        </w:tc>
        <w:tc>
          <w:tcPr>
            <w:tcW w:w="4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64.5</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29"/>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22.5</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080" w:type="dxa"/>
            <w:vAlign w:val="bottom"/>
          </w:tcPr>
          <w:p>
            <w:pPr>
              <w:spacing w:after="0"/>
              <w:rPr>
                <w:sz w:val="19"/>
                <w:szCs w:val="19"/>
                <w:color w:val="auto"/>
              </w:rPr>
            </w:pP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34.9</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7.4</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0.6</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45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65.4</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8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4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45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9"/>
                <w:szCs w:val="19"/>
                <w:color w:val="auto"/>
              </w:rPr>
            </w:pP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18.7</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assets - long-term</w:t>
            </w:r>
          </w:p>
        </w:tc>
        <w:tc>
          <w:tcPr>
            <w:tcW w:w="1080" w:type="dxa"/>
            <w:vAlign w:val="bottom"/>
          </w:tcPr>
          <w:p>
            <w:pPr>
              <w:spacing w:after="0"/>
              <w:rPr>
                <w:sz w:val="19"/>
                <w:szCs w:val="19"/>
                <w:color w:val="auto"/>
              </w:rPr>
            </w:pP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34.7</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9"/>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7.2</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assets - long-term</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0.7</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assets</w:t>
            </w:r>
          </w:p>
        </w:tc>
        <w:tc>
          <w:tcPr>
            <w:tcW w:w="4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61.3</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17.3</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080" w:type="dxa"/>
            <w:vAlign w:val="bottom"/>
          </w:tcPr>
          <w:p>
            <w:pPr>
              <w:spacing w:after="0"/>
              <w:rPr>
                <w:sz w:val="19"/>
                <w:szCs w:val="19"/>
                <w:color w:val="auto"/>
              </w:rPr>
            </w:pP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34.9</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7.4</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0.6</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45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60.2</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8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4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45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9"/>
                <w:szCs w:val="19"/>
                <w:color w:val="auto"/>
              </w:rPr>
            </w:pPr>
          </w:p>
        </w:tc>
      </w:tr>
      <w:tr>
        <w:trPr>
          <w:trHeight w:val="229"/>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 assets</w:t>
            </w:r>
          </w:p>
        </w:tc>
        <w:tc>
          <w:tcPr>
            <w:tcW w:w="4520" w:type="dxa"/>
            <w:vAlign w:val="bottom"/>
          </w:tcPr>
          <w:p>
            <w:pPr>
              <w:spacing w:after="0"/>
              <w:rPr>
                <w:sz w:val="19"/>
                <w:szCs w:val="19"/>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3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45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274"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20"/>
          <w:szCs w:val="20"/>
          <w:color w:val="auto"/>
        </w:rPr>
        <w:t>The following tables present the line items on the Evergy Companies' consolidated balance sheets where derivative assets and liabilities are reported. The gross amounts offset in the tables below show the effect of master netting arrangements and include collateral posted to offset the net position.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center"/>
              <w:ind w:right="291"/>
              <w:spacing w:after="0" w:line="202" w:lineRule="exact"/>
              <w:rPr>
                <w:sz w:val="20"/>
                <w:szCs w:val="20"/>
                <w:color w:val="auto"/>
              </w:rPr>
            </w:pPr>
            <w:r>
              <w:rPr>
                <w:rFonts w:ascii="Times New Roman" w:cs="Times New Roman" w:eastAsia="Times New Roman" w:hAnsi="Times New Roman"/>
                <w:sz w:val="18"/>
                <w:szCs w:val="18"/>
                <w:b w:val="1"/>
                <w:bCs w:val="1"/>
                <w:color w:val="auto"/>
              </w:rPr>
              <w:t>Evergy Kansas</w:t>
            </w: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0" w:type="dxa"/>
            <w:vAlign w:val="bottom"/>
          </w:tcPr>
          <w:p>
            <w:pPr>
              <w:spacing w:after="0"/>
              <w:rPr>
                <w:sz w:val="1"/>
                <w:szCs w:val="1"/>
                <w:color w:val="auto"/>
              </w:rPr>
            </w:pPr>
          </w:p>
        </w:tc>
      </w:tr>
      <w:tr>
        <w:trPr>
          <w:trHeight w:val="243"/>
        </w:trPr>
        <w:tc>
          <w:tcPr>
            <w:tcW w:w="586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center"/>
              <w:ind w:right="291"/>
              <w:spacing w:after="0"/>
              <w:rPr>
                <w:sz w:val="20"/>
                <w:szCs w:val="20"/>
                <w:color w:val="auto"/>
              </w:rPr>
            </w:pPr>
            <w:r>
              <w:rPr>
                <w:rFonts w:ascii="Times New Roman" w:cs="Times New Roman" w:eastAsia="Times New Roman" w:hAnsi="Times New Roman"/>
                <w:sz w:val="16"/>
                <w:szCs w:val="16"/>
                <w:color w:val="auto"/>
              </w:rPr>
              <w:t>(millions)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(22.4)</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assets - current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35.4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assets - long-term</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(20.8)</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liabilities - current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liabilities - long-term</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171"/>
              <w:spacing w:after="0" w:line="202" w:lineRule="exact"/>
              <w:rPr>
                <w:sz w:val="20"/>
                <w:szCs w:val="20"/>
                <w:color w:val="auto"/>
              </w:rPr>
            </w:pPr>
            <w:r>
              <w:rPr>
                <w:rFonts w:ascii="Times New Roman" w:cs="Times New Roman" w:eastAsia="Times New Roman" w:hAnsi="Times New Roman"/>
                <w:sz w:val="18"/>
                <w:szCs w:val="18"/>
                <w:b w:val="1"/>
                <w:bCs w:val="1"/>
                <w:color w:val="auto"/>
              </w:rPr>
              <w:t>Evergy Kansas</w:t>
            </w:r>
          </w:p>
        </w:tc>
        <w:tc>
          <w:tcPr>
            <w:tcW w:w="3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0" w:type="dxa"/>
            <w:vAlign w:val="bottom"/>
          </w:tcPr>
          <w:p>
            <w:pPr>
              <w:spacing w:after="0"/>
              <w:rPr>
                <w:sz w:val="1"/>
                <w:szCs w:val="1"/>
                <w:color w:val="auto"/>
              </w:rPr>
            </w:pPr>
          </w:p>
        </w:tc>
      </w:tr>
      <w:tr>
        <w:trPr>
          <w:trHeight w:val="243"/>
        </w:trPr>
        <w:tc>
          <w:tcPr>
            <w:tcW w:w="586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ind w:right="171"/>
              <w:spacing w:after="0"/>
              <w:rPr>
                <w:sz w:val="20"/>
                <w:szCs w:val="20"/>
                <w:color w:val="auto"/>
              </w:rPr>
            </w:pPr>
            <w:r>
              <w:rPr>
                <w:rFonts w:ascii="Times New Roman" w:cs="Times New Roman" w:eastAsia="Times New Roman" w:hAnsi="Times New Roman"/>
                <w:sz w:val="16"/>
                <w:szCs w:val="16"/>
                <w:color w:val="auto"/>
              </w:rPr>
              <w:t>(millions)</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28.2</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(28.4)</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(25.7)</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assets - current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9"/>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45.9</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assets - long-term</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33.9</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29.4</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(26.1)</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liabilities - current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43.6</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liabilities - long-term</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39.8</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39.8</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amounts of gain (loss) recognized in income for the change in fair value of derivatives not designated as hedging instruments for the Evergy Companies.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4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gridSpan w:val="2"/>
          </w:tcPr>
          <w:p>
            <w:pPr>
              <w:jc w:val="right"/>
              <w:ind w:right="9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Year to Date</w:t>
            </w:r>
          </w:p>
        </w:tc>
        <w:tc>
          <w:tcPr>
            <w:tcW w:w="920" w:type="dxa"/>
            <w:vAlign w:val="bottom"/>
            <w:tcBorders>
              <w:top w:val="single" w:sz="8" w:color="auto"/>
            </w:tcBorders>
          </w:tcPr>
          <w:p>
            <w:pPr>
              <w:spacing w:after="0"/>
              <w:rPr>
                <w:sz w:val="17"/>
                <w:szCs w:val="17"/>
                <w:color w:val="auto"/>
              </w:rPr>
            </w:pPr>
          </w:p>
        </w:tc>
      </w:tr>
      <w:tr>
        <w:trPr>
          <w:trHeight w:val="234"/>
        </w:trPr>
        <w:tc>
          <w:tcPr>
            <w:tcW w:w="24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Pr>
          <w:p>
            <w:pPr>
              <w:spacing w:after="0"/>
              <w:rPr>
                <w:sz w:val="20"/>
                <w:szCs w:val="20"/>
                <w:color w:val="auto"/>
              </w:rPr>
            </w:pPr>
          </w:p>
        </w:tc>
      </w:tr>
      <w:tr>
        <w:trPr>
          <w:trHeight w:val="238"/>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Location of gain (loss)</w:t>
            </w:r>
          </w:p>
        </w:tc>
        <w:tc>
          <w:tcPr>
            <w:tcW w:w="28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Contract type</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color w:val="auto"/>
              </w:rPr>
              <w:t>(millions)</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Commodity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15.8</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2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15.8</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2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84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Commodity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15.8</w:t>
            </w:r>
          </w:p>
        </w:tc>
        <w:tc>
          <w:tcPr>
            <w:tcW w:w="5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24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4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15.8</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bl>
    <w:p>
      <w:pPr>
        <w:spacing w:after="0" w:line="27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9"/>
          <w:szCs w:val="19"/>
          <w:color w:val="auto"/>
        </w:rPr>
        <w:t>Credit risk of the Evergy Companies' derivative instruments relates to the potential adverse financial impact resulting from non-performance by a counterparty of its contractual obligations. The Evergy Companies maintain credit policies and employ credit risk mitigation, such as collateral requirements or letters of credit, when necessary to minimize their overall credit risk and monitor exposure. Substantially all of the Evergy Companies' counterparty credit risk associated with derivative instruments relates to Evergy Kansas Central's non-regulated energy marketing activities. As of June 30, 2025, if counterparty groups completely failed to perform on contracts, Evergy's and Evergy Kansas Central's maximum exposure related to derivative assets was $35.0 million. As of June 30, 2025, the potential loss after the consideration of applicable master netting arrangements and collateral received for Evergy and Evergy Kansas Central was $25.9 million.</w:t>
      </w:r>
    </w:p>
    <w:p>
      <w:pPr>
        <w:spacing w:after="0" w:line="18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Certain of the Evergy Companies' derivative instruments contain collateral provisions that are tied to the Evergy Companies' credit ratings and may require the posting of collateral for various reasons, including if the Evergy Companies' credit ratings were to fall below investment grade. Substantially all of these derivative instruments relate to Evergy Kansas Central's non-regulated energy marketing activities. The aggregate fair value of all derivative instruments with credit-risk-related contingent features that were in a liability position as of June 30, 2025, was $37.6 million for which Evergy and Evergy Kansas Central have posted $2.5 million collateral in the normal course of business. If the credit-risk-related contingent features underlying these agreements were triggered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000"/>
        <w:spacing w:after="0" w:line="283" w:lineRule="auto"/>
        <w:rPr>
          <w:sz w:val="20"/>
          <w:szCs w:val="20"/>
          <w:color w:val="auto"/>
        </w:rPr>
      </w:pPr>
      <w:r>
        <w:rPr>
          <w:rFonts w:ascii="Times New Roman" w:cs="Times New Roman" w:eastAsia="Times New Roman" w:hAnsi="Times New Roman"/>
          <w:sz w:val="20"/>
          <w:szCs w:val="20"/>
          <w:color w:val="auto"/>
        </w:rPr>
        <w:t>as of June 30, 2025, Evergy and Evergy Kansas Central could be required to post an additional $33.6 million of collateral to their counterparties.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Values of Financial Instruments</w:t>
      </w:r>
    </w:p>
    <w:p>
      <w:pPr>
        <w:spacing w:after="0" w:line="26"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0"/>
          <w:szCs w:val="20"/>
          <w:color w:val="auto"/>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net asset value (NAV), which are not included in the fair value hierarchy. Further explanation of these levels and NAV is summarized below.</w:t>
      </w:r>
    </w:p>
    <w:p>
      <w:pPr>
        <w:spacing w:after="0" w:line="17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0"/>
          <w:szCs w:val="20"/>
          <w:color w:val="auto"/>
        </w:rPr>
        <w:t>Level 1 – Quoted prices are available in active markets for identical assets or liabilities. The types of assets and liabilities included in Level 1 are highly liquid and actively traded instruments with quoted prices, such as equities listed on public exchanges or exchange-traded derivative instruments.</w:t>
      </w:r>
    </w:p>
    <w:p>
      <w:pPr>
        <w:spacing w:after="0" w:line="16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20"/>
          <w:szCs w:val="20"/>
          <w:color w:val="auto"/>
        </w:rPr>
        <w:t>Level 2 – Pricing inputs are not quoted prices in active markets but are either directly or indirectly observable. The types of assets and liabilities included in Level 2 are certain marketable debt securities, financial instruments traded in less than active markets, non-exchange traded derivative instruments with observable forward curves and options contracts.</w:t>
      </w:r>
    </w:p>
    <w:p>
      <w:pPr>
        <w:spacing w:after="0" w:line="181"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0"/>
          <w:szCs w:val="20"/>
          <w:color w:val="auto"/>
        </w:rPr>
        <w:t>Level 3 – Significant inputs to pricing have little or no transparency. The types of assets and liabilities included in Level 3 are those with inputs requiring significant management judgment or estimation. The types of assets and liabilities included in Level 3 are non-exchange traded derivative instruments for which observable market data is not available to corroborate the valuation inputs and transmission congestion rights (TCRs) in the SPP Integrated Marketplace.</w:t>
      </w:r>
    </w:p>
    <w:p>
      <w:pPr>
        <w:spacing w:after="0" w:line="17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 funds that do not have a readily determinable fair value. The underlying alternative investments include collateralized debt obligations, mezzanine debt and a variety of other investments.</w:t>
      </w:r>
    </w:p>
    <w:p>
      <w:pPr>
        <w:spacing w:after="0" w:line="18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Evergy Companies record cash and cash equivalents, accounts receivable and short-term borrowings on their consolidated balance sheets at cost, which approximates fair value due to the short-term nature of these instruments.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Fair Value of Long-Term Debt</w:t>
      </w:r>
    </w:p>
    <w:p>
      <w:pPr>
        <w:spacing w:after="0" w:line="2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The Evergy Companies measure the fair value of long-term debt using Level 2 measurements available as of the measurement date. The book value and fair value of the Evergy Companies' long-term debt are summarized in the following table.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960" w:type="dxa"/>
            <w:vAlign w:val="bottom"/>
            <w:tcBorders>
              <w:top w:val="single" w:sz="8" w:color="auto"/>
            </w:tcBorders>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51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51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Long-term debt</w:t>
            </w:r>
            <w:r>
              <w:rPr>
                <w:rFonts w:ascii="Times New Roman" w:cs="Times New Roman" w:eastAsia="Times New Roman" w:hAnsi="Times New Roman"/>
                <w:sz w:val="23"/>
                <w:szCs w:val="23"/>
                <w:b w:val="1"/>
                <w:bCs w:val="1"/>
                <w:color w:val="auto"/>
                <w:vertAlign w:val="superscript"/>
              </w:rPr>
              <w:t>(a)</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Evergy</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13,050.5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12,460.9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11,535.0</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18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5,178.9</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4,583.5</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4,031.7</w:t>
            </w:r>
          </w:p>
        </w:tc>
      </w:tr>
      <w:tr>
        <w:trPr>
          <w:trHeight w:val="237"/>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3,224.6</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3,016.8</w:t>
            </w:r>
          </w:p>
        </w:tc>
        <w:tc>
          <w:tcPr>
            <w:tcW w:w="2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3,223.4</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2,966.3</w:t>
            </w:r>
          </w:p>
        </w:tc>
      </w:tr>
    </w:tbl>
    <w:p>
      <w:pPr>
        <w:spacing w:after="0" w:line="34"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current maturities.</w:t>
      </w:r>
    </w:p>
    <w:p>
      <w:pPr>
        <w:spacing w:after="0" w:line="10" w:lineRule="exact"/>
        <w:rPr>
          <w:rFonts w:ascii="Times New Roman" w:cs="Times New Roman" w:eastAsia="Times New Roman" w:hAnsi="Times New Roman"/>
          <w:sz w:val="20"/>
          <w:szCs w:val="20"/>
          <w:color w:val="auto"/>
          <w:vertAlign w:val="superscript"/>
        </w:rPr>
      </w:pPr>
    </w:p>
    <w:p>
      <w:pPr>
        <w:ind w:left="180" w:right="220" w:hanging="172"/>
        <w:spacing w:after="0"/>
        <w:tabs>
          <w:tab w:leader="none" w:pos="167"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Book value as of June 30, 2025, and December 31, 2024, includes $78.9 million and $81.7 million, respectively, of fair value adjustments recorded in connection with purchase accounting for the merger that created Evergy, which are not part of future principal payments and will amortize over the remaining life of the associated debt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Recurring Fair Value Measurements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include balances of financial assets and liabilities measured at fair value on a recurring basis.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7"/>
              </w:rPr>
              <w:t>NAV</w:t>
            </w:r>
          </w:p>
        </w:tc>
      </w:tr>
      <w:tr>
        <w:trPr>
          <w:trHeight w:val="208"/>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Evergy Kansas Central</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4460" w:type="dxa"/>
            <w:vAlign w:val="bottom"/>
          </w:tcPr>
          <w:p>
            <w:pPr>
              <w:ind w:left="140"/>
              <w:spacing w:after="0" w:line="222"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Domestic equity funds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150.9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International equity funds</w:t>
            </w:r>
          </w:p>
        </w:tc>
        <w:tc>
          <w:tcPr>
            <w:tcW w:w="20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94.0</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94.0</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Core bond fund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66.1</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66.1</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High-yield bond fund</w:t>
            </w:r>
          </w:p>
        </w:tc>
        <w:tc>
          <w:tcPr>
            <w:tcW w:w="20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33.9</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33.9</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Emerging markets bond fund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22.0</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22.0</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Alternative investments fund</w:t>
            </w:r>
          </w:p>
        </w:tc>
        <w:tc>
          <w:tcPr>
            <w:tcW w:w="20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47.5</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Real estate securities fund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16.6</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3"/>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equivalents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431.5</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359.0</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r>
      <w:tr>
        <w:trPr>
          <w:trHeight w:val="193"/>
        </w:trPr>
        <w:tc>
          <w:tcPr>
            <w:tcW w:w="4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Rabbi trust</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Fixed income funds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13.3</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13.3</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funds</w:t>
            </w:r>
          </w:p>
        </w:tc>
        <w:tc>
          <w:tcPr>
            <w:tcW w:w="20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7.8</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Combination debt/equity/other fund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equivalents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rabbi trust</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23.1</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23.1</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46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Power</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32.4</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35.0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0.4</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(7.6)</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derivative assets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32.7</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(28.6)</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25.9</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35.0</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0.4</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487.3</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(28.6)</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408.0</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35.0</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0.4</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w:t>
            </w:r>
          </w:p>
        </w:tc>
      </w:tr>
      <w:tr>
        <w:trPr>
          <w:trHeight w:val="19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4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37.9</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39.2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2.3</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(7.6)</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38.3</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(21.9)</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18.7</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39.2</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2.3</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38.3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39.2</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2.3</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Evergy Metro</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4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securities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389.6</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389.6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 securities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Treasury</w:t>
            </w:r>
          </w:p>
        </w:tc>
        <w:tc>
          <w:tcPr>
            <w:tcW w:w="20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55.3</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55.3</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U.S. Agency</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State and local obligations</w:t>
            </w:r>
          </w:p>
        </w:tc>
        <w:tc>
          <w:tcPr>
            <w:tcW w:w="20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2.1</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Corporate bonds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48.3</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48.3</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equivalents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498.3</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447.8</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50.5</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46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(c)</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securities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 securities</w:t>
            </w:r>
          </w:p>
        </w:tc>
        <w:tc>
          <w:tcPr>
            <w:tcW w:w="20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14.6</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11.3</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self-insured health plan trust</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19.8</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11.3</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46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Power</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2.8</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derivative assets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2.8</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518.1</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456.3</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61.8</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2.8</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4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4.2</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4.2</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7"/>
              </w:rPr>
              <w:t>NAV</w:t>
            </w:r>
          </w:p>
        </w:tc>
      </w:tr>
      <w:tr>
        <w:trPr>
          <w:trHeight w:val="208"/>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Evergy</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Rabbi trusts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9"/>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Core bond fund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rabbi trusts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7.9</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46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4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0.4</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derivative assets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0.4</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7.9</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0.4</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4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1.0</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4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Evergy</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8"/>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44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929.8</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806.8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50.5</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r>
      <w:tr>
        <w:trPr>
          <w:trHeight w:val="216"/>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Rabbi trusts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4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(c)</w:t>
            </w:r>
          </w:p>
        </w:tc>
        <w:tc>
          <w:tcPr>
            <w:tcW w:w="20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19.8</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11.3</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4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20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32.4</w:t>
            </w:r>
          </w:p>
        </w:tc>
        <w:tc>
          <w:tcPr>
            <w:tcW w:w="2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(24.2)</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18.0</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35.0</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assets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32.7</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(31.8)</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25.9</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35.0</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3.6</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1,013.3</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(31.8)</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872.2</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96.8</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3.6</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r>
      <w:tr>
        <w:trPr>
          <w:trHeight w:val="19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4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20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39.9</w:t>
            </w:r>
          </w:p>
        </w:tc>
        <w:tc>
          <w:tcPr>
            <w:tcW w:w="2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10.7</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39.2</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7.5</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40.3</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(25.1)</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18.7</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39.2</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7.5</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39.2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24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NAV</w:t>
            </w:r>
          </w:p>
        </w:tc>
      </w:tr>
      <w:tr>
        <w:trPr>
          <w:trHeight w:val="208"/>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Evergy Kansas Central</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(millions)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4040" w:type="dxa"/>
            <w:vAlign w:val="bottom"/>
          </w:tcPr>
          <w:p>
            <w:pPr>
              <w:ind w:left="140"/>
              <w:spacing w:after="0" w:line="222"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Domestic equity funds</w:t>
            </w:r>
          </w:p>
        </w:tc>
        <w:tc>
          <w:tcPr>
            <w:tcW w:w="13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142.9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134.0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International equity funds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81.6</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81.6</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Core bond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66.7</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66.7</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High-yield bond fund</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33.7</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33.7</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Emerging markets bond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20.6</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20.6</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Alternative investments fund</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45.6</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 estate securities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16.3</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13"/>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Cash equivalents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407.9</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337.1</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Rabbi trust</w:t>
            </w: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Fixed income funds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14.6</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14.6</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funds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6.9</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6.9</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Combination debt/equity/other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Cash equivalents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rabbi trust</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23.4</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23.4</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35.1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11.7</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40.5</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(17.7)</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18.9</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derivative assets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36.4</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(37.7)</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30.6</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40.6</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467.7</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(37.7)</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391.1</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40.6</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w:t>
            </w:r>
          </w:p>
        </w:tc>
      </w:tr>
      <w:tr>
        <w:trPr>
          <w:trHeight w:val="19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43.5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44.2</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(17.7)</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19.9</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45.8</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24.4</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44.3</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45.8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44.3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Evergy Metro</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 securities</w:t>
            </w:r>
          </w:p>
        </w:tc>
        <w:tc>
          <w:tcPr>
            <w:tcW w:w="13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368.8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368.8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Debt securities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Treasury</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55.3</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55.3</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State and local obligations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Corporate bonds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42.7</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42.7</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equivalents</w:t>
            </w:r>
          </w:p>
        </w:tc>
        <w:tc>
          <w:tcPr>
            <w:tcW w:w="9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471.9</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427.1</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44.8</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04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(c)</w:t>
            </w: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 securities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Debt securities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14.3</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11.1</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self-insured health plan trust</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18.9</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7.8</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11.1</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8.1</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10.1</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derivative assets</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8.1</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10.1</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498.9</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434.9</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55.9</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10.1</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9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22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NAV</w:t>
            </w:r>
          </w:p>
        </w:tc>
      </w:tr>
      <w:tr>
        <w:trPr>
          <w:trHeight w:val="208"/>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Evergy</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(millions)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Rabbi trusts</w:t>
            </w: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Core bond fund</w:t>
            </w:r>
          </w:p>
        </w:tc>
        <w:tc>
          <w:tcPr>
            <w:tcW w:w="13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rabbi trusts</w:t>
            </w:r>
          </w:p>
        </w:tc>
        <w:tc>
          <w:tcPr>
            <w:tcW w:w="9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8.0</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8.0</w:t>
            </w: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04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0"/>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Power</w:t>
            </w:r>
          </w:p>
        </w:tc>
        <w:tc>
          <w:tcPr>
            <w:tcW w:w="9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derivative assets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9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10.5</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8.0</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0.7</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0.7</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0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9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Evergy</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13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879.8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764.2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44.8</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Rabbi trusts</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31.4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31.4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(c)</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18.9</w:t>
            </w:r>
          </w:p>
        </w:tc>
        <w:tc>
          <w:tcPr>
            <w:tcW w:w="22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7.8</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11.1</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04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45.7</w:t>
            </w:r>
          </w:p>
        </w:tc>
        <w:tc>
          <w:tcPr>
            <w:tcW w:w="2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(22.7)</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11.7</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40.5</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16.2</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18.9</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derivative assets</w:t>
            </w:r>
          </w:p>
        </w:tc>
        <w:tc>
          <w:tcPr>
            <w:tcW w:w="9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47.0</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30.6</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40.6</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16.2</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977.1</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(40.4)</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834.0</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96.5</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16.2</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43.5</w:t>
            </w:r>
          </w:p>
        </w:tc>
        <w:tc>
          <w:tcPr>
            <w:tcW w:w="2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44.2</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7.0</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19.9</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9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45.8</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(29.9)</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24.4</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44.3</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7.0</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9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45.8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44.3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58"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With the exception of investments measured at NAV, fair value is based on quoted market prices of the investments held by the trust and/or valuation models.</w:t>
      </w:r>
    </w:p>
    <w:p>
      <w:pPr>
        <w:ind w:left="180" w:right="20" w:hanging="172"/>
        <w:spacing w:after="0" w:line="249" w:lineRule="auto"/>
        <w:tabs>
          <w:tab w:leader="none" w:pos="168"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Derivative instruments classified as Level 1 consist of exchange-traded derivative instruments with fair value based on quoted market prices. Derivative instruments classified as Level 2 consist of non-exchange traded derivative instruments with observable forward curves and option contracts priced with models using observable inputs. Derivative instruments classified as Level 3 consist of non-exchange traded derivative instruments for which observable market data is not available to corroborate the valuation inputs and TCRs valued at the most recent auction price in the SPP Integrated Marketplace.</w:t>
      </w:r>
    </w:p>
    <w:p>
      <w:pPr>
        <w:spacing w:after="0" w:line="3" w:lineRule="exact"/>
        <w:rPr>
          <w:rFonts w:ascii="Times New Roman" w:cs="Times New Roman" w:eastAsia="Times New Roman" w:hAnsi="Times New Roman"/>
          <w:sz w:val="20"/>
          <w:szCs w:val="20"/>
          <w:color w:val="auto"/>
          <w:vertAlign w:val="superscript"/>
        </w:rPr>
      </w:pPr>
    </w:p>
    <w:p>
      <w:pPr>
        <w:ind w:left="180" w:right="420" w:hanging="172"/>
        <w:spacing w:after="0" w:line="225" w:lineRule="auto"/>
        <w:tabs>
          <w:tab w:leader="none" w:pos="175"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color w:val="auto"/>
        </w:rPr>
        <w:t>Certain Evergy and Evergy Kansas Central investments included in the table above are measured at NAV as they do not have readily determinable fair values. In certain situations, these investments may have redemption restrictions. The following table provides additional information on these Evergy and Evergy Kansas Central investments.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0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2460" w:type="dxa"/>
            <w:vAlign w:val="bottom"/>
            <w:tcBorders>
              <w:top w:val="single" w:sz="8" w:color="auto"/>
              <w:bottom w:val="single" w:sz="8" w:color="auto"/>
            </w:tcBorders>
            <w:gridSpan w:val="3"/>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80" w:type="dxa"/>
            <w:vAlign w:val="bottom"/>
            <w:tcBorders>
              <w:top w:val="single" w:sz="8" w:color="auto"/>
              <w:bottom w:val="single" w:sz="8" w:color="auto"/>
            </w:tcBorders>
          </w:tcPr>
          <w:p>
            <w:pPr>
              <w:spacing w:after="0"/>
              <w:rPr>
                <w:sz w:val="22"/>
                <w:szCs w:val="22"/>
                <w:color w:val="auto"/>
              </w:rPr>
            </w:pPr>
          </w:p>
        </w:tc>
        <w:tc>
          <w:tcPr>
            <w:tcW w:w="2340" w:type="dxa"/>
            <w:vAlign w:val="bottom"/>
            <w:tcBorders>
              <w:top w:val="single" w:sz="8" w:color="auto"/>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20" w:type="dxa"/>
            <w:vAlign w:val="bottom"/>
            <w:tcBorders>
              <w:top w:val="single" w:sz="8" w:color="auto"/>
              <w:bottom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14"/>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60" w:type="dxa"/>
            <w:vAlign w:val="bottom"/>
          </w:tcPr>
          <w:p>
            <w:pPr>
              <w:spacing w:after="0"/>
              <w:rPr>
                <w:sz w:val="18"/>
                <w:szCs w:val="18"/>
                <w:color w:val="auto"/>
              </w:rPr>
            </w:pPr>
          </w:p>
        </w:tc>
        <w:tc>
          <w:tcPr>
            <w:tcW w:w="136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380" w:type="dxa"/>
            <w:vAlign w:val="bottom"/>
          </w:tcPr>
          <w:p>
            <w:pPr>
              <w:spacing w:after="0"/>
              <w:rPr>
                <w:sz w:val="18"/>
                <w:szCs w:val="18"/>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40" w:type="dxa"/>
            <w:vAlign w:val="bottom"/>
          </w:tcPr>
          <w:p>
            <w:pPr>
              <w:spacing w:after="0"/>
              <w:rPr>
                <w:sz w:val="18"/>
                <w:szCs w:val="18"/>
                <w:color w:val="auto"/>
              </w:rPr>
            </w:pP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Length of</w:t>
            </w:r>
          </w:p>
        </w:tc>
      </w:tr>
      <w:tr>
        <w:trPr>
          <w:trHeight w:val="238"/>
        </w:trPr>
        <w:tc>
          <w:tcPr>
            <w:tcW w:w="3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Frequency</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r>
      <w:tr>
        <w:trPr>
          <w:trHeight w:val="218"/>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Domestic equity funds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r>
      <w:tr>
        <w:trPr>
          <w:trHeight w:val="230"/>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Alternative investments fund</w:t>
            </w:r>
            <w:r>
              <w:rPr>
                <w:rFonts w:ascii="Times New Roman" w:cs="Times New Roman" w:eastAsia="Times New Roman" w:hAnsi="Times New Roman"/>
                <w:sz w:val="10"/>
                <w:szCs w:val="10"/>
                <w:color w:val="auto"/>
              </w:rPr>
              <w:t>(b)</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47.5</w:t>
            </w:r>
          </w:p>
        </w:tc>
        <w:tc>
          <w:tcPr>
            <w:tcW w:w="2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45.6</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Quarterly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 days</w:t>
            </w:r>
          </w:p>
        </w:tc>
      </w:tr>
      <w:tr>
        <w:trPr>
          <w:trHeight w:val="229"/>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 securities fund</w:t>
            </w:r>
            <w:r>
              <w:rPr>
                <w:rFonts w:ascii="Times New Roman" w:cs="Times New Roman" w:eastAsia="Times New Roman" w:hAnsi="Times New Roman"/>
                <w:sz w:val="10"/>
                <w:szCs w:val="10"/>
                <w:color w:val="auto"/>
              </w:rPr>
              <w:t>(b)</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Quarterly</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 days</w:t>
            </w:r>
          </w:p>
        </w:tc>
      </w:tr>
      <w:tr>
        <w:trPr>
          <w:trHeight w:val="23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Evergy investments at NAV</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70.8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5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bl>
    <w:p>
      <w:pPr>
        <w:spacing w:after="0" w:line="67" w:lineRule="exact"/>
        <w:rPr>
          <w:sz w:val="20"/>
          <w:szCs w:val="20"/>
          <w:color w:val="auto"/>
        </w:rPr>
      </w:pPr>
    </w:p>
    <w:p>
      <w:pPr>
        <w:ind w:left="180" w:right="540" w:hanging="172"/>
        <w:spacing w:after="0" w:line="230" w:lineRule="auto"/>
        <w:tabs>
          <w:tab w:leader="none" w:pos="175"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investment is in four long-term private equity funds that do not permit early withdrawal. Investments in these funds cannot be distributed until the underlying investments have been liquidated, which may take years from the date of initial liquidation. All funds have begun to make distributions.</w:t>
      </w:r>
    </w:p>
    <w:p>
      <w:pPr>
        <w:spacing w:after="0" w:line="1" w:lineRule="exact"/>
        <w:rPr>
          <w:rFonts w:ascii="Times New Roman" w:cs="Times New Roman" w:eastAsia="Times New Roman" w:hAnsi="Times New Roman"/>
          <w:sz w:val="21"/>
          <w:szCs w:val="21"/>
          <w:color w:val="auto"/>
          <w:vertAlign w:val="superscript"/>
        </w:rPr>
      </w:pPr>
    </w:p>
    <w:p>
      <w:pPr>
        <w:ind w:left="160" w:hanging="152"/>
        <w:spacing w:after="0" w:line="211" w:lineRule="auto"/>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There is a holdback on final redemptions.</w:t>
      </w:r>
    </w:p>
    <w:p>
      <w:pPr>
        <w:spacing w:after="0" w:line="19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0"/>
          <w:szCs w:val="20"/>
          <w:color w:val="auto"/>
        </w:rPr>
        <w:t>The Evergy Companies hold equity and debt investments classified as securities in various trusts including for the purposes of funding the decommissioning of Wolf Creek and for the benefit of certain retired executive officers of Evergy Kansas Central. The Evergy Companies record net realized and unrealized gains and losses on the nuclear decommissioning trusts in regulatory liabilities on their consolidated balance sheets and record net realized and unrealized gains and losses on the Evergy Companies' rabbi trusts in the consolidated statements of income and comprehensive income.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net unrealized gains (losses) for the Evergy Companies' nuclear decommissioning trusts and rabbi trusts.</w:t>
      </w:r>
    </w:p>
    <w:p>
      <w:pPr>
        <w:spacing w:after="0" w:line="149"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512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920" w:type="dxa"/>
            <w:vAlign w:val="bottom"/>
            <w:tcBorders>
              <w:top w:val="single" w:sz="8" w:color="auto"/>
            </w:tcBorders>
          </w:tcPr>
          <w:p>
            <w:pPr>
              <w:spacing w:after="0"/>
              <w:rPr>
                <w:sz w:val="18"/>
                <w:szCs w:val="18"/>
                <w:color w:val="auto"/>
              </w:rPr>
            </w:pPr>
          </w:p>
        </w:tc>
      </w:tr>
      <w:tr>
        <w:trPr>
          <w:trHeight w:val="229"/>
        </w:trPr>
        <w:tc>
          <w:tcPr>
            <w:tcW w:w="5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Pr>
          <w:p>
            <w:pPr>
              <w:spacing w:after="0"/>
              <w:rPr>
                <w:sz w:val="19"/>
                <w:szCs w:val="19"/>
                <w:color w:val="auto"/>
              </w:rPr>
            </w:pPr>
          </w:p>
        </w:tc>
      </w:tr>
      <w:tr>
        <w:trPr>
          <w:trHeight w:val="238"/>
        </w:trPr>
        <w:tc>
          <w:tcPr>
            <w:tcW w:w="5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color w:val="auto"/>
              </w:rPr>
              <w:t>(millions)</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equity securities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64.8</w:t>
            </w:r>
          </w:p>
        </w:tc>
        <w:tc>
          <w:tcPr>
            <w:tcW w:w="104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22.0</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45.5</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debt securities</w:t>
            </w:r>
          </w:p>
        </w:tc>
        <w:tc>
          <w:tcPr>
            <w:tcW w:w="9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tcPr>
          <w:p>
            <w:pPr>
              <w:spacing w:after="0"/>
              <w:rPr>
                <w:sz w:val="19"/>
                <w:szCs w:val="19"/>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4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Rabbi trusts - equity securities</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67.3</w:t>
            </w:r>
          </w:p>
        </w:tc>
        <w:tc>
          <w:tcPr>
            <w:tcW w:w="10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21.5</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50.2</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equity securities</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10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12.0</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26.2</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Rabbi trust - equity securities</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c>
          <w:tcPr>
            <w:tcW w:w="10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12.0</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28.1</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equity securities</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w:t>
            </w:r>
          </w:p>
        </w:tc>
        <w:tc>
          <w:tcPr>
            <w:tcW w:w="10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19.3</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debt securities</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5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40.6</w:t>
            </w:r>
          </w:p>
        </w:tc>
        <w:tc>
          <w:tcPr>
            <w:tcW w:w="10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9.6</w:t>
            </w:r>
          </w:p>
        </w:tc>
        <w:tc>
          <w:tcPr>
            <w:tcW w:w="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21.9</w:t>
            </w:r>
          </w:p>
        </w:tc>
        <w:tc>
          <w:tcPr>
            <w:tcW w:w="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COMMITMENTS AND CONTINGENCIES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Matters</w:t>
      </w:r>
    </w:p>
    <w:p>
      <w:pPr>
        <w:spacing w:after="0" w:line="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Set forth below are descriptions of contingencies related to environmental matters that may impact the Evergy Companies' operations or their financial results. Management's assessment of these contingencies, which are based on federal and state statutes and regulations, and regulatory agency and judicial interpretations and actions, has evolved over time. These laws, regulations, interpretations and actions can also change, restrict or otherwise impact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20"/>
          <w:szCs w:val="20"/>
          <w:color w:val="auto"/>
        </w:rPr>
        <w:t>the Evergy Companies' operations or financial results. The failure to comply with these laws, regulations, interpretations and actions could result in the assessment of administrative, civil and criminal penalties and the imposition of remedial requirements. The Evergy Companies believe that all their operations are in substantial compliance with current federal, state and local environmental standards.</w:t>
      </w:r>
    </w:p>
    <w:p>
      <w:pPr>
        <w:spacing w:after="0" w:line="18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9"/>
          <w:szCs w:val="19"/>
          <w:color w:val="auto"/>
        </w:rPr>
        <w:t>There are a variety of final and proposed laws and regulations that could have a material adverse effect on the Evergy Companies' operations and consolidated financial results. Due in part to the complex nature of environmental laws and regulations, the Evergy Companies are unable to assess the impact of potential changes that may develop with respect to the environmental contingencies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Ozone Interstate Transport State Implementation Plans (ITSIP)</w:t>
      </w:r>
    </w:p>
    <w:p>
      <w:pPr>
        <w:spacing w:after="0" w:line="2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In 2015, the Environmental Protection Agency (EPA) lowered the Ozone National Ambient Air Quality Standards (NAAQS) from 75 ppb to 70 ppb. States were required to submit ITSIPs in 2018 to comply with the "Good Neighbor Provision" of the Clean Air Act (CAA) as it applies to the revised NAAQS. The EPA did not act on these ITSIP submissions by the deadline established in the CAA and entered consent decrees establishing deadlines for the EPA to take final action on various ITSIPs. In February 2022, the EPA published a proposed rule to disapprove the ITSIPs submitted by nineteen states including Missouri and Oklahoma. In April 2022, the EPA published an approval of the Kansas ITSIP in the Federal Register. The Missouri Department of Natural Resources (MDNR) submitted a supplemental ITSIP to the EPA in November 2022. In February 2023, the EPA published a final rule disapproving the ITSIPs submitted by nineteen states, including the final disapproval of the Missouri and Oklahoma ITSIPs. In April 2023, the Attorneys General of Missouri and Oklahoma filed Petitions for Review in the U.S. Court of Appeals for the Eighth Circuit (Eighth Circuit) and the U.S. Court of Appeals for the Tenth Circuit (Tenth Circuit), respectively, challenging the EPA's disapproval. In May 2023, the Eighth Circuit granted a stay of the EPA's disapproval of the Missouri ITSIP. Similarly, in July 2023, the Tenth Circuit granted a stay of the EPA's disapproval of the Oklahoma ITSIP. In August 2024, the EPA published in the Federal Register a proposed rule to disapprove the supplemental ITSIP that Missouri submitted in November 2022. In January 2024, the EPA proposed to disapprove the previously-approved ITSIP for Kansas and ITSIPs submitted by four other states. To date, the EPA has not taken final action in this rulemaking. Disapproval of ITSIPs provides the EPA with authority to implement an interstate transport federal implementation plan (ITFIP) to replace them. As described below, the EPA's ITFIP has been stayed and may be withdrawn. In the event that the ITSIPs for Missouri, Oklahoma and Kansas were disapproved and the EPA's ITFIP took effect, it could have a material impact on the Evergy Companies'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Ozone Interstate Transport Federal Implementation Plans</w:t>
      </w:r>
    </w:p>
    <w:p>
      <w:pPr>
        <w:spacing w:after="0" w:line="3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In April 2022, the EPA published in the Federal Register the proposed ITFIP to resolve outstanding "Good Neighbor" obligations with respect to the 2015 Ozone NAAQS for twenty-six states including Missouri and Oklahoma. This ITFIP would establish a revised Cross-State Air Pollution Rule (CSAPR) ozone season nitrogen oxide (NOx) emissions trading program for EGUs beginning in 2023 and would limit ozone season NOx emissions from certain industrial stationary sources beginning in 2026. The proposed rule would also establish a new daily backstop NOx emissions rate limit for applicable coal-fired units larger than 100 MW, as well as unit-specific NOx emission rate limits for certain industrial emission units and would feature "dynamic" adjustments of emission budgets for EGUs beginning with ozone season 2025. The proposed ITFIP included reductions to the state ozone season NOx budgets for Missouri and Oklahoma beginning in 2023 with additional reductions in future years. The Evergy Companies provided formal comments as part of the rulemaking process. In March 2023, the EPA issued the final ITFIPs for twenty-three states, including Missouri and Oklahoma, which included reduced ozone season NOx budgets for EGUs in Missouri, Oklahoma and other states, and included other features and requirements that were in the proposed version of the rule. Because the EPA's authority to impose an ITFIP for a state is triggered by the state's failure to submit an ITSIP addressing NAAQS by the statutory deadline or disapproval of an ITSIP, the EPA lacks authority under the CAA to impose an ITFIP on a state for which an ITSIP disapproval has been stayed by the courts. Accordingly, the EPA issued interim final rules staying the effectiveness of the ITFIP in both Missouri and Oklahoma while the stays issued by the Eighth and Tenth Circuits in the ITSIP disapproval cases remain in place. During this time, both states will continue to operate under the existing CSAPR program. While Kansas was not originally included in the ITFIP, in January 2024, the EPA issued a proposal to include Kansas in the ITFIP. In June 2024, the U.S. Supreme Court issued an order granting emergency motions for stay filed by state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and industry petitioners of the final ITFIP pending further review of the ITFIP by the U.S. Court of Appeals for the D.C. Circuit (D.C. Circuit). In March 2025, the EPA announced plans to end the Good Neighbor Rule for the 2015 Ozone NAAQS. In April 2025, the D.C. Circuit granted an EPA request to hold all challenges to the ITFIP in indefinite abeyance. If the ITFIP ultimately takes effect as promulgated for Missouri, Kansas and Oklahoma following the pending litigation or the EPA is unable to end the program as announced, the impact on the Evergy Companies' operations and the cost to comply could be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Particulate Matter National Ambient Air Quality Standards</w:t>
      </w:r>
    </w:p>
    <w:p>
      <w:pPr>
        <w:spacing w:after="0" w:line="32"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9"/>
          <w:szCs w:val="19"/>
          <w:color w:val="auto"/>
        </w:rPr>
        <w:t>In March 2024, the EPA published in the Federal Register the final rule which strengthens the primary annual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(particulate matter less than 2.5 microns in diameter) NAAQS by lowering the primary annual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NAAQS from 12.0 µg/m3 (micrograms per cubic meter) to 9.0 µg/m3. The final rule took effect in May 2024. In August 2024, the EPA released the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ambient monitor design values for calendar years 2021 through 2023. These design values are to be used by each state governor for recommending to the EPA attainment designations for their states. In February 2025, the Kansas Governor sent recommendations to the EPA to designate the entire state of Kansas as either attainment or attainment/unclassifiable for the 2024 annual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NAAQS. In March 2025, the EPA announced it plans to reconsider the 2024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NAAQS. As a result of the EPA's plans to reconsider this NAAQS, the Missouri Governor delayed submitting area designations to the EPA. While the EPA is required to issue final designations for all states, including Kansas and Missouri, by February 2026, the issuance of final designations is in question based on the EPA's plans to reconsider this NAAQS. Due to the uncertainty of the attainment status of portions of the service territory and potential reconsideration of the NAAQS, the Evergy Companies are unable to accurately assess the impacts on their operations or consolidated financial results, but the cost to comply with lower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NAAQS could be material.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Regional Haze Rule</w:t>
      </w:r>
    </w:p>
    <w:p>
      <w:pPr>
        <w:spacing w:after="0" w:line="3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In 1999, the EPA finalized the Regional Haze Rule which aims to restore national parks and wilderness areas to pristine conditions. The rule requires states in coordination with the EPA, the National Park Service, the U.S. Fish and Wildlife Service, the U.S. Forest Service, and other interested parties to develop and implement air quality protection plans to reduce the pollution that causes visibility impairment. There are 156 "Class I" areas across the U.S. that must be restored to pristine conditions by the year 2064. There are no Class I areas in Kansas, whereas Missouri has two: the Hercules-Glades Wilderness Area and the Mingo Wilderness Area. States must submit revisions to their Regional Haze Rule state implementation plans (SIPs) every ten years and the first round was due in 2007. For the second ten-year implementation period, the EPA issued a final rule revision in 2017 that allowed states to submit their SIP revisions by July 2021.</w:t>
      </w:r>
    </w:p>
    <w:p>
      <w:pPr>
        <w:spacing w:after="0" w:line="19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The Missouri SIP revision does not require any additional reductions from the Evergy Companies' generating units in the state. MDNR submitted the Missouri SIP revision to the EPA in August 2022, however, they failed to do so by the EPA's revised submittal deadline in August 2022. As a result, in August 2022, the EPA published "finding of failure" with respect to Missouri and fourteen other states for failing to submit their Regional Haze SIP revisions by the applicable deadline. This finding of failure established a two-year deadline for the EPA to issue a Regional Haze federal implementation plan (FIP) for each state unless the state submits and the EPA approves a revised SIP that meets all applicable requirements before the EPA issues the FIP. In July 2024, the EPA published in the Federal Register a proposal to partially approve and partially disapprove Missouri's Regional Haze SIP revision.</w:t>
      </w:r>
    </w:p>
    <w:p>
      <w:pPr>
        <w:spacing w:after="0" w:line="17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The Kansas SIP revision did not include any additional emission reductions by electric utilities based on the significant reductions that were achieved during the first implementation period. The Kansas Department of Health and Environment (KDHE) submitted the Kansas SIP revision in July 2021. In August 2024, the EPA issued the final disapproval of the Kansas SIP revision for failing to conduct a four-factor analysis for at least two emission sources in Kansas. If a Kansas generating unit of the Evergy Companies is selected for analysis, the possibility exists that the state or the EPA, through a revised SIP or a FIP, could determine that additional operational or physical modifications are required on the generating unit to further reduce emissions.</w:t>
      </w:r>
    </w:p>
    <w:p>
      <w:pPr>
        <w:spacing w:after="0" w:line="206"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In March 2025, the EPA announced plans to restructure the Regional Haze Program. Due to uncertainty regarding when or if a Kansas or Missouri revised SIP or FIP is finalized, the overall costs of implementing the rules could be material to the Evergy Companies.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Greenhouse Gases</w:t>
      </w:r>
    </w:p>
    <w:p>
      <w:pPr>
        <w:spacing w:after="0" w:line="3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auto"/>
        </w:rPr>
        <w:t>Burning coal and other fossil fuels releases carbon dioxide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and other gases referred to as greenhouse gases (GHG). Various regulations under the CAA limit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xml:space="preserve"> and other GHG emissions, and in addition, other measures are being imposed or offered by individual states, municipalities and regional agreements with the goal of reducing GHG emissions. In April 2024, the EPA finalized the GHG regulations and GHG guidelines that apply to new and existing fossil fuel fired EGUs. The final GHG regulation establishes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xml:space="preserve"> limitations on emissions from new and reconstructed stationary combustion turbines. The GHG guidelines set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9"/>
          <w:szCs w:val="19"/>
          <w:color w:val="auto"/>
        </w:rPr>
        <w:t xml:space="preserve"> emission limitations for existing coal, oil and gas-fired steam generating units. For new and reconstructed stationary combustion turbines, the emission limitations were developed by applying the Best System of Emission Reduction (BSER) to three distinct subcategories (low load, intermediate load and base load) taking into consideration the annual capacity factor of the stationary combustion turbine. For intermediate and base load stationary combustion turbines, BSER is assumed to be the utilization of highly efficient combustion turbine technology. Base load stationary combustion turbines are also required to consider the emissions reduction associated with the application of carbon capture and sequestration (CCS) beginning in 2032. For existing coal-fired EGUs, the emission limitations were established by applying the BSER to two subcategories (medium and long-term). For medium-term existing coal-fired units, which are units retiring between 2032 and 2038, the BSER established emission limitation is based on co-firing natural gas beginning in 2030. For units operating in 2039 and after, BSER is the application of CCS starting in 2032. In July 2024, the D.C. Circuit denied motions of stay filed by various states, industry and trade organizations; however, the D.C. Circuit has ordered expedited review of the challenges to the final regulations and guidelines. In December 2024, a three-judge panel of the D.C. Circuit heard oral arguments on challenges to the merits of the rule. In March 2025, the EPA announced it plans to reconsider the GHG regulation and guidelines. While the EPA reconsiders the GHG regulation and guidelines, the D.C. Circuit granted an unopposed motion to hold the case challenging the merits of the rule in abeyance. In June 2025, the EPA proposed to repeal both the 2015 GHG emission standards for new fossil-fuel fired EGUs and the April 2024 GHG emission standards for new and existing fossil-fuel fired EGUs. As an alternative proposal, in June 2025, the EPA proposed to repeal the most burdensome requirements of the 2024 rule including the elimination of CCS as BSER.</w:t>
      </w:r>
    </w:p>
    <w:p>
      <w:pPr>
        <w:spacing w:after="0" w:line="190"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9"/>
          <w:szCs w:val="19"/>
          <w:color w:val="auto"/>
        </w:rPr>
        <w:t>Due to uncertainty regarding which of these proposed rules will be finalized and the ongoing judicial review, the Evergy Companies are unable to accurately assess the impacts on their operations or consolidated financial results, but the cost to comply could be material.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of Coal Combustion Residuals (CCRs)</w:t>
      </w:r>
    </w:p>
    <w:p>
      <w:pPr>
        <w:spacing w:after="0" w:line="3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In the course of operating their coal generation plants, the Evergy Companies produce CCRs, including fly ash, gypsum and bottom ash. The EPA published a rule to regulate CCRs in April 2015 that requires additional CCR handling, processing and storage equipment and closure of certain ash disposal units. In January 2022, the EPA published proposed determinations for facilities that filed closure extensions for unlined or clay-lined CCR units. These proposed determinations include various interpretations of the CCR regulations and compliance expectations that may impact all owners of CCR units. These interpretations could require modified compliance plans such as different methods of CCR unit closure. Additionally, more stringent remediation requirements for units that are in corrective action or forced to go into corrective action are possible. The cost to comply with these proposed determinations by the EPA could be material.</w:t>
      </w:r>
    </w:p>
    <w:p>
      <w:pPr>
        <w:spacing w:after="0" w:line="17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In April 2024, the EPA finalized an expansion to the CCR regulations focused on legacy surface impoundments and historic placements of CCR. This regulation expands applicability of the 2015 CCR regulation to inactive landfills and beneficial use sites not previously regulated. Litigation could impact the timing or cost to comply. In March 2025, the EPA announced its plans to update regulations of CCRs, and in July 2025, issued a rulemaking extending deadlines for compliance with various aspects of the CCR legacy rule. The EPA has indicated a second rulemaking modifying CCR requirements should be anticipated later in 2025, however specific details of any planned revisions have not been provided.</w:t>
      </w:r>
    </w:p>
    <w:p>
      <w:pPr>
        <w:spacing w:after="0" w:line="175"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0"/>
          <w:szCs w:val="20"/>
          <w:color w:val="auto"/>
        </w:rPr>
        <w:t>The Evergy Companies have recorded asset retirement obligations (AROs) for their current estimates for the closure of ash disposal ponds, landfills and other historical placements of CCR. The revision of these AROs may be required in the future due to information collected in the April 2024 CCR regulation's Facility Evaluation Reports (FERs), changes in existing CCR regulations, the results of groundwater monitoring of CCR units, changes in interpretation of existing CCR regulations or changes in the timing or cost to close ash disposal ponds and landfills. The revision of AROs for regulated operations has no income statement impact due to the deferral of the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740"/>
        <w:spacing w:after="0" w:line="283" w:lineRule="auto"/>
        <w:rPr>
          <w:sz w:val="20"/>
          <w:szCs w:val="20"/>
          <w:color w:val="auto"/>
        </w:rPr>
      </w:pPr>
      <w:r>
        <w:rPr>
          <w:rFonts w:ascii="Times New Roman" w:cs="Times New Roman" w:eastAsia="Times New Roman" w:hAnsi="Times New Roman"/>
          <w:sz w:val="20"/>
          <w:szCs w:val="20"/>
          <w:color w:val="auto"/>
        </w:rPr>
        <w:t>adjustments through a regulatory asset. If revisions to these AROs are necessary, the impact on the Evergy Companies' operations or consolidated financial results could be material.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Montrose Station CCRs</w:t>
      </w:r>
    </w:p>
    <w:p>
      <w:pPr>
        <w:spacing w:after="0" w:line="3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In 2025, three lawsuits, including one seeking class certification, were filed in the Circuit Court of Henry County, Missouri against Evergy Metro and two other defendants alleging unspecified damages resulting from the defendants' alleged unlawful and negligent spreading of CCRs associated with the Montrose Station coal ash landfill. Montrose Station was a coal-fired generating facility which was operated by Evergy Metro until its closure in 2018. The cases are at preliminary stages and Evergy and Evergy Metro are unable to assess the outcome or reasonably estimate any possible damages with respect to the claims. However, Evergy and Evergy Metro believe the claims are without merit and intend to vigorously defend themselves.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Nuclear Antitrust Class Action</w:t>
      </w:r>
    </w:p>
    <w:p>
      <w:pPr>
        <w:spacing w:after="0" w:line="3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In July 2025, a class action complaint was filed in the U.S. District Court for the District of Maryland alleging violations of the Sherman Antitrust Act in establishing wages for employees at nuclear facilities since 2003. The complaint names 28 defendants, including all 26 owner operators of nuclear facilities in the United States, or affiliated entities, including Wolf Creek Nuclear Operating Corporation, which owns and operates Wolf Creek, a nuclear facility in Kansas. Evergy indirectly owns 94% of Wolf Creek, with Evergy Kansas Central and Evergy Metro each owning 47% of the nuclear facility. This case is at a preliminary stage and the Evergy Companies are unable to assess the outcome or reasonably estimate any possible damages with respect to the claims.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RELATED PARTY TRANSACTIONS AND RELATIONSHIPS</w:t>
      </w:r>
    </w:p>
    <w:p>
      <w:pPr>
        <w:spacing w:after="0" w:line="11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In the normal course of business, Evergy Kansas Central, Evergy Metro and Evergy Missouri West engage in related party transactions with one another. In addition, Evergy Kansas Central, Evergy Metro and Evergy Missouri West plan to engage in the construction of jointly-owned generation facilities. See Note 1 for a discussion of future planned investments. A summary of these related party transactions and the amounts associated with them is provided below.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Jointly-Owned Plants and Shared Services</w:t>
      </w:r>
    </w:p>
    <w:p>
      <w:pPr>
        <w:spacing w:after="0" w:line="3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9"/>
          <w:szCs w:val="19"/>
          <w:color w:val="auto"/>
        </w:rPr>
        <w:t>Employees of Evergy Kansas Central and Evergy Metro manage Evergy Missouri West's business and operate its facilities at cost, including Evergy Missouri West's 18% ownership interest in Evergy Metro's Iatan Nos. 1 and 2. Employees of Evergy Kansas Central manage Jeffrey Energy Center (JEC) and operate its facilities at cost, including Evergy Missouri West's 8% ownership interest in JEC. Employees of Evergy Metro manage La Cygne Station and operate its facilities at cost, including Evergy Kansas Central's 50% interest in La Cygne Station.</w:t>
      </w:r>
    </w:p>
    <w:p>
      <w:pPr>
        <w:spacing w:after="0" w:line="1"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20"/>
          <w:szCs w:val="20"/>
          <w:color w:val="auto"/>
        </w:rPr>
        <w:t>Employees of Evergy Metro and Evergy Kansas Central also provide one another with shared service support, including costs related to human resources, information technology, accounting and legal services.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operating expenses and capital costs billed for jointly-owned plants and shared services are detailed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920" w:type="dxa"/>
            <w:vAlign w:val="bottom"/>
            <w:tcBorders>
              <w:top w:val="single" w:sz="8" w:color="auto"/>
            </w:tcBorders>
          </w:tcPr>
          <w:p>
            <w:pPr>
              <w:spacing w:after="0"/>
              <w:rPr>
                <w:sz w:val="18"/>
                <w:szCs w:val="18"/>
                <w:color w:val="auto"/>
              </w:rPr>
            </w:pPr>
          </w:p>
        </w:tc>
      </w:tr>
      <w:tr>
        <w:trPr>
          <w:trHeight w:val="230"/>
        </w:trPr>
        <w:tc>
          <w:tcPr>
            <w:tcW w:w="47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4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Pr>
          <w:p>
            <w:pPr>
              <w:spacing w:after="0"/>
              <w:rPr>
                <w:sz w:val="19"/>
                <w:szCs w:val="19"/>
                <w:color w:val="auto"/>
              </w:rPr>
            </w:pPr>
          </w:p>
        </w:tc>
      </w:tr>
      <w:tr>
        <w:trPr>
          <w:trHeight w:val="238"/>
        </w:trPr>
        <w:tc>
          <w:tcPr>
            <w:tcW w:w="47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7"/>
        </w:trPr>
        <w:tc>
          <w:tcPr>
            <w:tcW w:w="4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color w:val="auto"/>
              </w:rPr>
              <w:t>(millions)</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Kansas Central billings to Evergy Missouri West</w:t>
            </w:r>
          </w:p>
        </w:tc>
        <w:tc>
          <w:tcPr>
            <w:tcW w:w="15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61.9</w:t>
            </w:r>
          </w:p>
        </w:tc>
        <w:tc>
          <w:tcPr>
            <w:tcW w:w="10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69.6</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Metro billings to Evergy Missouri West</w:t>
            </w:r>
          </w:p>
        </w:tc>
        <w:tc>
          <w:tcPr>
            <w:tcW w:w="150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29.4</w:t>
            </w:r>
          </w:p>
        </w:tc>
        <w:tc>
          <w:tcPr>
            <w:tcW w:w="1020" w:type="dxa"/>
            <w:vAlign w:val="bottom"/>
          </w:tcPr>
          <w:p>
            <w:pPr>
              <w:spacing w:after="0"/>
              <w:rPr>
                <w:sz w:val="19"/>
                <w:szCs w:val="19"/>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31.3</w:t>
            </w:r>
          </w:p>
        </w:tc>
        <w:tc>
          <w:tcPr>
            <w:tcW w:w="480" w:type="dxa"/>
            <w:vAlign w:val="bottom"/>
          </w:tcPr>
          <w:p>
            <w:pPr>
              <w:spacing w:after="0"/>
              <w:rPr>
                <w:sz w:val="19"/>
                <w:szCs w:val="19"/>
                <w:color w:val="auto"/>
              </w:rPr>
            </w:pPr>
          </w:p>
        </w:tc>
        <w:tc>
          <w:tcPr>
            <w:tcW w:w="10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55.2</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Kansas Central billings to Evergy Metro</w:t>
            </w:r>
          </w:p>
        </w:tc>
        <w:tc>
          <w:tcPr>
            <w:tcW w:w="15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12.3</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26.5</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37"/>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Evergy Metro billings to Evergy Kansas Central</w:t>
            </w:r>
          </w:p>
        </w:tc>
        <w:tc>
          <w:tcPr>
            <w:tcW w:w="15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35.2</w:t>
            </w: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32.8</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68.1</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Party Net Receivables and Payables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 Kansas Central's and Evergy Metro's related party net receivables and payables.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5480" w:type="dxa"/>
            <w:vAlign w:val="bottom"/>
            <w:tcBorders>
              <w:top w:val="single" w:sz="8" w:color="auto"/>
            </w:tcBorders>
          </w:tcPr>
          <w:p>
            <w:pPr>
              <w:spacing w:after="0"/>
              <w:rPr>
                <w:sz w:val="21"/>
                <w:szCs w:val="21"/>
                <w:color w:val="auto"/>
              </w:rPr>
            </w:pPr>
          </w:p>
        </w:tc>
        <w:tc>
          <w:tcPr>
            <w:tcW w:w="3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48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3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60" w:type="dxa"/>
            <w:vAlign w:val="bottom"/>
          </w:tcPr>
          <w:p>
            <w:pPr>
              <w:spacing w:after="0"/>
              <w:rPr>
                <w:sz w:val="19"/>
                <w:szCs w:val="19"/>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payable to Evergy</w:t>
            </w:r>
          </w:p>
        </w:tc>
        <w:tc>
          <w:tcPr>
            <w:tcW w:w="34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(13.3)</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payable to Evergy Metro</w:t>
            </w:r>
          </w:p>
        </w:tc>
        <w:tc>
          <w:tcPr>
            <w:tcW w:w="34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(17.8)</w:t>
            </w:r>
          </w:p>
        </w:tc>
        <w:tc>
          <w:tcPr>
            <w:tcW w:w="360" w:type="dxa"/>
            <w:vAlign w:val="bottom"/>
          </w:tcPr>
          <w:p>
            <w:pPr>
              <w:spacing w:after="0"/>
              <w:rPr>
                <w:sz w:val="19"/>
                <w:szCs w:val="19"/>
                <w:color w:val="auto"/>
              </w:rPr>
            </w:pPr>
          </w:p>
        </w:tc>
        <w:tc>
          <w:tcPr>
            <w:tcW w:w="136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receivable from Evergy Missouri West</w:t>
            </w:r>
          </w:p>
        </w:tc>
        <w:tc>
          <w:tcPr>
            <w:tcW w:w="344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65.0</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23.0</w:t>
            </w:r>
          </w:p>
        </w:tc>
      </w:tr>
      <w:tr>
        <w:trPr>
          <w:trHeight w:val="256"/>
        </w:trPr>
        <w:tc>
          <w:tcPr>
            <w:tcW w:w="548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3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receivable from Evergy</w:t>
            </w:r>
          </w:p>
        </w:tc>
        <w:tc>
          <w:tcPr>
            <w:tcW w:w="34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16.4</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receivable from Evergy Kansas Central</w:t>
            </w:r>
          </w:p>
        </w:tc>
        <w:tc>
          <w:tcPr>
            <w:tcW w:w="344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17.8</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22.9</w:t>
            </w:r>
          </w:p>
        </w:tc>
      </w:tr>
      <w:tr>
        <w:trPr>
          <w:trHeight w:val="237"/>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receivable from Evergy Missouri West</w:t>
            </w:r>
          </w:p>
        </w:tc>
        <w:tc>
          <w:tcPr>
            <w:tcW w:w="34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79.8</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rPr>
              <w:t>86.2</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Money Pool</w:t>
      </w:r>
    </w:p>
    <w:p>
      <w:pPr>
        <w:spacing w:after="0" w:line="26"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0"/>
          <w:szCs w:val="20"/>
          <w:color w:val="auto"/>
        </w:rPr>
        <w:t>Evergy Kansas Central, Evergy Metro and Evergy Missouri West are authorized to participate in the Evergy, Inc. money pool, which is an internal financing arrangement in which funds may be lent on a short-term basis between Evergy Kansas Central, Evergy Metro, Evergy Missouri West and Evergy, Inc. Evergy, Inc. can lend but not borrow under the money pool.</w:t>
      </w:r>
    </w:p>
    <w:p>
      <w:pPr>
        <w:spacing w:after="0" w:line="66"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As of June 30, 2025 and December 31, 2024, Evergy Kansas Central and Evergy Metro had no outstanding receivables or payables under the money pool.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Allocation Agreement</w:t>
      </w:r>
    </w:p>
    <w:p>
      <w:pPr>
        <w:spacing w:after="0" w:line="32"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The following table summarizes Evergy Kansas Central's and Evergy Metro's income taxes receivable from (payable to) Evergy.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720" w:type="dxa"/>
            <w:vAlign w:val="bottom"/>
            <w:tcBorders>
              <w:top w:val="single" w:sz="8" w:color="auto"/>
            </w:tcBorders>
          </w:tcPr>
          <w:p>
            <w:pPr>
              <w:spacing w:after="0"/>
              <w:rPr>
                <w:sz w:val="21"/>
                <w:szCs w:val="21"/>
                <w:color w:val="auto"/>
              </w:rPr>
            </w:pPr>
          </w:p>
        </w:tc>
        <w:tc>
          <w:tcPr>
            <w:tcW w:w="3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7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3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40" w:type="dxa"/>
            <w:vAlign w:val="bottom"/>
          </w:tcPr>
          <w:p>
            <w:pPr>
              <w:spacing w:after="0"/>
              <w:rPr>
                <w:sz w:val="19"/>
                <w:szCs w:val="19"/>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receivable from (payable to) Evergy</w:t>
            </w:r>
          </w:p>
        </w:tc>
        <w:tc>
          <w:tcPr>
            <w:tcW w:w="320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56"/>
        </w:trPr>
        <w:tc>
          <w:tcPr>
            <w:tcW w:w="572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3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taxes payable to Evergy</w:t>
            </w:r>
          </w:p>
        </w:tc>
        <w:tc>
          <w:tcPr>
            <w:tcW w:w="320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(13.4)</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Effective Income Tax Rates</w:t>
      </w:r>
    </w:p>
    <w:p>
      <w:pPr>
        <w:spacing w:after="0" w:line="26"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20"/>
          <w:szCs w:val="20"/>
          <w:color w:val="auto"/>
        </w:rPr>
        <w:t>Effective income tax rates reflected in the financial statements and the reasons for their differences from the statutory federal rates are detailed in the following tables.</w:t>
      </w:r>
    </w:p>
    <w:p>
      <w:pPr>
        <w:spacing w:after="0" w:line="1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Evergy</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4860" w:type="dxa"/>
            <w:vAlign w:val="bottom"/>
            <w:tcBorders>
              <w:top w:val="single" w:sz="8" w:color="auto"/>
            </w:tcBorders>
          </w:tcPr>
          <w:p>
            <w:pPr>
              <w:spacing w:after="0"/>
              <w:rPr>
                <w:sz w:val="16"/>
                <w:szCs w:val="16"/>
                <w:color w:val="auto"/>
              </w:rPr>
            </w:pPr>
          </w:p>
        </w:tc>
        <w:tc>
          <w:tcPr>
            <w:tcW w:w="3600" w:type="dxa"/>
            <w:vAlign w:val="bottom"/>
            <w:tcBorders>
              <w:top w:val="single" w:sz="8" w:color="auto"/>
            </w:tcBorders>
            <w:gridSpan w:val="2"/>
          </w:tcPr>
          <w:p>
            <w:pPr>
              <w:jc w:val="center"/>
              <w:ind w:lef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0" w:type="dxa"/>
            <w:vAlign w:val="bottom"/>
            <w:tcBorders>
              <w:top w:val="single" w:sz="8" w:color="auto"/>
            </w:tcBorders>
          </w:tcPr>
          <w:p>
            <w:pPr>
              <w:jc w:val="center"/>
              <w:ind w:left="6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Year to Date</w:t>
            </w:r>
          </w:p>
        </w:tc>
        <w:tc>
          <w:tcPr>
            <w:tcW w:w="920" w:type="dxa"/>
            <w:vAlign w:val="bottom"/>
            <w:tcBorders>
              <w:top w:val="single" w:sz="8" w:color="auto"/>
            </w:tcBorders>
          </w:tcPr>
          <w:p>
            <w:pPr>
              <w:spacing w:after="0"/>
              <w:rPr>
                <w:sz w:val="16"/>
                <w:szCs w:val="16"/>
                <w:color w:val="auto"/>
              </w:rPr>
            </w:pPr>
          </w:p>
        </w:tc>
      </w:tr>
      <w:tr>
        <w:trPr>
          <w:trHeight w:val="230"/>
        </w:trPr>
        <w:tc>
          <w:tcPr>
            <w:tcW w:w="4860" w:type="dxa"/>
            <w:vAlign w:val="bottom"/>
          </w:tcPr>
          <w:p>
            <w:pPr>
              <w:spacing w:after="0"/>
              <w:rPr>
                <w:sz w:val="19"/>
                <w:szCs w:val="19"/>
                <w:color w:val="auto"/>
              </w:rPr>
            </w:pPr>
          </w:p>
        </w:tc>
        <w:tc>
          <w:tcPr>
            <w:tcW w:w="22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20" w:type="dxa"/>
            <w:vAlign w:val="bottom"/>
          </w:tcPr>
          <w:p>
            <w:pPr>
              <w:spacing w:after="0"/>
              <w:rPr>
                <w:sz w:val="19"/>
                <w:szCs w:val="19"/>
                <w:color w:val="auto"/>
              </w:rPr>
            </w:pPr>
          </w:p>
        </w:tc>
        <w:tc>
          <w:tcPr>
            <w:tcW w:w="18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7"/>
              </w:rPr>
              <w:t>June 30</w:t>
            </w:r>
          </w:p>
        </w:tc>
        <w:tc>
          <w:tcPr>
            <w:tcW w:w="920" w:type="dxa"/>
            <w:vAlign w:val="bottom"/>
          </w:tcPr>
          <w:p>
            <w:pPr>
              <w:spacing w:after="0"/>
              <w:rPr>
                <w:sz w:val="19"/>
                <w:szCs w:val="19"/>
                <w:color w:val="auto"/>
              </w:rPr>
            </w:pPr>
          </w:p>
        </w:tc>
      </w:tr>
      <w:tr>
        <w:trPr>
          <w:trHeight w:val="238"/>
        </w:trPr>
        <w:tc>
          <w:tcPr>
            <w:tcW w:w="48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income tax</w:t>
            </w:r>
          </w:p>
        </w:tc>
        <w:tc>
          <w:tcPr>
            <w:tcW w:w="22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21.0 %</w:t>
            </w:r>
          </w:p>
        </w:tc>
        <w:tc>
          <w:tcPr>
            <w:tcW w:w="13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21.0 %</w:t>
            </w:r>
          </w:p>
        </w:tc>
        <w:tc>
          <w:tcPr>
            <w:tcW w:w="18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21.0 %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COLI policies</w:t>
            </w:r>
          </w:p>
        </w:tc>
        <w:tc>
          <w:tcPr>
            <w:tcW w:w="22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(1.2)</w:t>
            </w:r>
          </w:p>
        </w:tc>
        <w:tc>
          <w:tcPr>
            <w:tcW w:w="18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22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(1.8)</w:t>
            </w:r>
          </w:p>
        </w:tc>
        <w:tc>
          <w:tcPr>
            <w:tcW w:w="13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0.5</w:t>
            </w:r>
          </w:p>
        </w:tc>
        <w:tc>
          <w:tcPr>
            <w:tcW w:w="18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Flow through depreciation for plant-related differences</w:t>
            </w:r>
          </w:p>
        </w:tc>
        <w:tc>
          <w:tcPr>
            <w:tcW w:w="22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(5.3)</w:t>
            </w: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(8.7)</w:t>
            </w:r>
          </w:p>
        </w:tc>
        <w:tc>
          <w:tcPr>
            <w:tcW w:w="18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(5.2)</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credits</w:t>
            </w:r>
          </w:p>
        </w:tc>
        <w:tc>
          <w:tcPr>
            <w:tcW w:w="22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(6.7)</w:t>
            </w:r>
          </w:p>
        </w:tc>
        <w:tc>
          <w:tcPr>
            <w:tcW w:w="13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(6.8)</w:t>
            </w:r>
          </w:p>
        </w:tc>
        <w:tc>
          <w:tcPr>
            <w:tcW w:w="18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(6.6)</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2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(0.3)</w:t>
            </w: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(0.3)</w:t>
            </w:r>
          </w:p>
        </w:tc>
        <w:tc>
          <w:tcPr>
            <w:tcW w:w="18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(0.3)</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AFUDC equity</w:t>
            </w:r>
          </w:p>
        </w:tc>
        <w:tc>
          <w:tcPr>
            <w:tcW w:w="22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(0.3)</w:t>
            </w:r>
          </w:p>
        </w:tc>
        <w:tc>
          <w:tcPr>
            <w:tcW w:w="13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(0.4)</w:t>
            </w:r>
          </w:p>
        </w:tc>
        <w:tc>
          <w:tcPr>
            <w:tcW w:w="18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(0.3)</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federal investment tax credits</w:t>
            </w:r>
          </w:p>
        </w:tc>
        <w:tc>
          <w:tcPr>
            <w:tcW w:w="22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(0.5)</w:t>
            </w: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(0.6)</w:t>
            </w:r>
          </w:p>
        </w:tc>
        <w:tc>
          <w:tcPr>
            <w:tcW w:w="18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(0.5)</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22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0.2</w:t>
            </w:r>
          </w:p>
        </w:tc>
        <w:tc>
          <w:tcPr>
            <w:tcW w:w="13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0.3</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Officer compensation limitation</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0.2</w:t>
            </w: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(0.3)</w:t>
            </w:r>
          </w:p>
        </w:tc>
        <w:tc>
          <w:tcPr>
            <w:tcW w:w="18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0.2</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4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0.2</w:t>
            </w:r>
          </w:p>
        </w:tc>
        <w:tc>
          <w:tcPr>
            <w:tcW w:w="13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0.2</w:t>
            </w:r>
          </w:p>
        </w:tc>
        <w:tc>
          <w:tcPr>
            <w:tcW w:w="180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0.2</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5.5 %</w:t>
            </w: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3.4 %</w:t>
            </w:r>
          </w:p>
        </w:tc>
        <w:tc>
          <w:tcPr>
            <w:tcW w:w="18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6.1 %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466"/>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76"/>
        </w:trPr>
        <w:tc>
          <w:tcPr>
            <w:tcW w:w="4860" w:type="dxa"/>
            <w:vAlign w:val="bottom"/>
          </w:tcPr>
          <w:p>
            <w:pPr>
              <w:spacing w:after="0"/>
              <w:rPr>
                <w:sz w:val="15"/>
                <w:szCs w:val="15"/>
                <w:color w:val="auto"/>
              </w:rPr>
            </w:pPr>
          </w:p>
        </w:tc>
        <w:tc>
          <w:tcPr>
            <w:tcW w:w="36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0" w:type="dxa"/>
            <w:vAlign w:val="bottom"/>
          </w:tcPr>
          <w:p>
            <w:pPr>
              <w:jc w:val="center"/>
              <w:ind w:left="630"/>
              <w:spacing w:after="0" w:line="176" w:lineRule="exact"/>
              <w:rPr>
                <w:sz w:val="20"/>
                <w:szCs w:val="20"/>
                <w:color w:val="auto"/>
              </w:rPr>
            </w:pPr>
            <w:r>
              <w:rPr>
                <w:rFonts w:ascii="Times New Roman" w:cs="Times New Roman" w:eastAsia="Times New Roman" w:hAnsi="Times New Roman"/>
                <w:sz w:val="18"/>
                <w:szCs w:val="18"/>
                <w:b w:val="1"/>
                <w:bCs w:val="1"/>
                <w:color w:val="auto"/>
                <w:w w:val="97"/>
              </w:rPr>
              <w:t>Year to Date</w:t>
            </w:r>
          </w:p>
        </w:tc>
        <w:tc>
          <w:tcPr>
            <w:tcW w:w="920" w:type="dxa"/>
            <w:vAlign w:val="bottom"/>
          </w:tcPr>
          <w:p>
            <w:pPr>
              <w:spacing w:after="0"/>
              <w:rPr>
                <w:sz w:val="15"/>
                <w:szCs w:val="15"/>
                <w:color w:val="auto"/>
              </w:rPr>
            </w:pPr>
          </w:p>
        </w:tc>
      </w:tr>
      <w:tr>
        <w:trPr>
          <w:trHeight w:val="234"/>
        </w:trPr>
        <w:tc>
          <w:tcPr>
            <w:tcW w:w="4860" w:type="dxa"/>
            <w:vAlign w:val="bottom"/>
          </w:tcPr>
          <w:p>
            <w:pPr>
              <w:spacing w:after="0"/>
              <w:rPr>
                <w:sz w:val="20"/>
                <w:szCs w:val="20"/>
                <w:color w:val="auto"/>
              </w:rPr>
            </w:pPr>
          </w:p>
        </w:tc>
        <w:tc>
          <w:tcPr>
            <w:tcW w:w="228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20" w:type="dxa"/>
            <w:vAlign w:val="bottom"/>
          </w:tcPr>
          <w:p>
            <w:pPr>
              <w:spacing w:after="0"/>
              <w:rPr>
                <w:sz w:val="20"/>
                <w:szCs w:val="20"/>
                <w:color w:val="auto"/>
              </w:rPr>
            </w:pPr>
          </w:p>
        </w:tc>
        <w:tc>
          <w:tcPr>
            <w:tcW w:w="180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Pr>
          <w:p>
            <w:pPr>
              <w:spacing w:after="0"/>
              <w:rPr>
                <w:sz w:val="20"/>
                <w:szCs w:val="20"/>
                <w:color w:val="auto"/>
              </w:rPr>
            </w:pPr>
          </w:p>
        </w:tc>
      </w:tr>
      <w:tr>
        <w:trPr>
          <w:trHeight w:val="238"/>
        </w:trPr>
        <w:tc>
          <w:tcPr>
            <w:tcW w:w="48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w:t>
            </w:r>
          </w:p>
        </w:tc>
        <w:tc>
          <w:tcPr>
            <w:tcW w:w="22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21.0 %</w:t>
            </w:r>
          </w:p>
        </w:tc>
        <w:tc>
          <w:tcPr>
            <w:tcW w:w="13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21.0 %</w:t>
            </w:r>
          </w:p>
        </w:tc>
        <w:tc>
          <w:tcPr>
            <w:tcW w:w="18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21.0 %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COLI policies</w:t>
            </w:r>
          </w:p>
        </w:tc>
        <w:tc>
          <w:tcPr>
            <w:tcW w:w="22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(1.8)</w:t>
            </w: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(1.9)</w:t>
            </w:r>
          </w:p>
        </w:tc>
        <w:tc>
          <w:tcPr>
            <w:tcW w:w="18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(1.8)</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w:t>
            </w:r>
          </w:p>
        </w:tc>
        <w:tc>
          <w:tcPr>
            <w:tcW w:w="22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(0.7)</w:t>
            </w:r>
          </w:p>
        </w:tc>
        <w:tc>
          <w:tcPr>
            <w:tcW w:w="13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0.6</w:t>
            </w:r>
          </w:p>
        </w:tc>
        <w:tc>
          <w:tcPr>
            <w:tcW w:w="18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(0.5)</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Flow through depreciation for plant-related differences</w:t>
            </w:r>
          </w:p>
        </w:tc>
        <w:tc>
          <w:tcPr>
            <w:tcW w:w="22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(3.3)</w:t>
            </w: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(5.8)</w:t>
            </w:r>
          </w:p>
        </w:tc>
        <w:tc>
          <w:tcPr>
            <w:tcW w:w="18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(3.3)</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credits</w:t>
            </w:r>
          </w:p>
        </w:tc>
        <w:tc>
          <w:tcPr>
            <w:tcW w:w="22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(10.2)</w:t>
            </w:r>
          </w:p>
        </w:tc>
        <w:tc>
          <w:tcPr>
            <w:tcW w:w="13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(10.5)</w:t>
            </w:r>
          </w:p>
        </w:tc>
        <w:tc>
          <w:tcPr>
            <w:tcW w:w="18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(10.2)</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(0.4)</w:t>
            </w: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(0.4)</w:t>
            </w:r>
          </w:p>
        </w:tc>
        <w:tc>
          <w:tcPr>
            <w:tcW w:w="18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(0.4)</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AFUDC equity</w:t>
            </w:r>
          </w:p>
        </w:tc>
        <w:tc>
          <w:tcPr>
            <w:tcW w:w="22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(0.4)</w:t>
            </w:r>
          </w:p>
        </w:tc>
        <w:tc>
          <w:tcPr>
            <w:tcW w:w="13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(0.5)</w:t>
            </w:r>
          </w:p>
        </w:tc>
        <w:tc>
          <w:tcPr>
            <w:tcW w:w="18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(0.3)</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federal investment tax credits</w:t>
            </w:r>
          </w:p>
        </w:tc>
        <w:tc>
          <w:tcPr>
            <w:tcW w:w="22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(0.3)</w:t>
            </w: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(0.4)</w:t>
            </w:r>
          </w:p>
        </w:tc>
        <w:tc>
          <w:tcPr>
            <w:tcW w:w="18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(0.3)</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22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0.3</w:t>
            </w:r>
          </w:p>
        </w:tc>
        <w:tc>
          <w:tcPr>
            <w:tcW w:w="13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0.1</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0.3</w:t>
            </w: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0.2</w:t>
            </w:r>
          </w:p>
        </w:tc>
        <w:tc>
          <w:tcPr>
            <w:tcW w:w="18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0.2</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28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4.6 %</w:t>
            </w:r>
          </w:p>
        </w:tc>
        <w:tc>
          <w:tcPr>
            <w:tcW w:w="13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2.3 %</w:t>
            </w:r>
          </w:p>
        </w:tc>
        <w:tc>
          <w:tcPr>
            <w:tcW w:w="180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4.5 %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Evergy Metro</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880" w:type="dxa"/>
            <w:vAlign w:val="bottom"/>
            <w:tcBorders>
              <w:top w:val="single" w:sz="8" w:color="auto"/>
            </w:tcBorders>
          </w:tcPr>
          <w:p>
            <w:pPr>
              <w:spacing w:after="0"/>
              <w:rPr>
                <w:sz w:val="15"/>
                <w:szCs w:val="15"/>
                <w:color w:val="auto"/>
              </w:rPr>
            </w:pPr>
          </w:p>
        </w:tc>
        <w:tc>
          <w:tcPr>
            <w:tcW w:w="3580" w:type="dxa"/>
            <w:vAlign w:val="bottom"/>
            <w:tcBorders>
              <w:top w:val="single" w:sz="8" w:color="auto"/>
            </w:tcBorders>
            <w:gridSpan w:val="2"/>
          </w:tcPr>
          <w:p>
            <w:pPr>
              <w:jc w:val="right"/>
              <w:ind w:right="850"/>
              <w:spacing w:after="0" w:line="18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8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Year to Date</w:t>
            </w:r>
          </w:p>
        </w:tc>
        <w:tc>
          <w:tcPr>
            <w:tcW w:w="920" w:type="dxa"/>
            <w:vAlign w:val="bottom"/>
            <w:tcBorders>
              <w:top w:val="single" w:sz="8" w:color="auto"/>
            </w:tcBorders>
          </w:tcPr>
          <w:p>
            <w:pPr>
              <w:spacing w:after="0"/>
              <w:rPr>
                <w:sz w:val="15"/>
                <w:szCs w:val="15"/>
                <w:color w:val="auto"/>
              </w:rPr>
            </w:pPr>
          </w:p>
        </w:tc>
      </w:tr>
      <w:tr>
        <w:trPr>
          <w:trHeight w:val="234"/>
        </w:trPr>
        <w:tc>
          <w:tcPr>
            <w:tcW w:w="4880" w:type="dxa"/>
            <w:vAlign w:val="bottom"/>
          </w:tcPr>
          <w:p>
            <w:pPr>
              <w:spacing w:after="0"/>
              <w:rPr>
                <w:sz w:val="20"/>
                <w:szCs w:val="20"/>
                <w:color w:val="auto"/>
              </w:rPr>
            </w:pPr>
          </w:p>
        </w:tc>
        <w:tc>
          <w:tcPr>
            <w:tcW w:w="2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20" w:type="dxa"/>
            <w:vAlign w:val="bottom"/>
          </w:tcPr>
          <w:p>
            <w:pPr>
              <w:spacing w:after="0"/>
              <w:rPr>
                <w:sz w:val="20"/>
                <w:szCs w:val="20"/>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Pr>
          <w:p>
            <w:pPr>
              <w:spacing w:after="0"/>
              <w:rPr>
                <w:sz w:val="20"/>
                <w:szCs w:val="20"/>
                <w:color w:val="auto"/>
              </w:rPr>
            </w:pPr>
          </w:p>
        </w:tc>
      </w:tr>
      <w:tr>
        <w:trPr>
          <w:trHeight w:val="238"/>
        </w:trPr>
        <w:tc>
          <w:tcPr>
            <w:tcW w:w="48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w:t>
            </w:r>
          </w:p>
        </w:tc>
        <w:tc>
          <w:tcPr>
            <w:tcW w:w="22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21.0 %</w:t>
            </w:r>
          </w:p>
        </w:tc>
        <w:tc>
          <w:tcPr>
            <w:tcW w:w="13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21.0 %</w:t>
            </w:r>
          </w:p>
        </w:tc>
        <w:tc>
          <w:tcPr>
            <w:tcW w:w="18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21.0 %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COLI policies</w:t>
            </w:r>
          </w:p>
        </w:tc>
        <w:tc>
          <w:tcPr>
            <w:tcW w:w="2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(0.1)</w:t>
            </w:r>
          </w:p>
        </w:tc>
        <w:tc>
          <w:tcPr>
            <w:tcW w:w="18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(0.1)</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w:t>
            </w:r>
          </w:p>
        </w:tc>
        <w:tc>
          <w:tcPr>
            <w:tcW w:w="22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(1.9)</w:t>
            </w:r>
          </w:p>
        </w:tc>
        <w:tc>
          <w:tcPr>
            <w:tcW w:w="13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0.6</w:t>
            </w:r>
          </w:p>
        </w:tc>
        <w:tc>
          <w:tcPr>
            <w:tcW w:w="18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Flow through depreciation for plant-related differences</w:t>
            </w:r>
          </w:p>
        </w:tc>
        <w:tc>
          <w:tcPr>
            <w:tcW w:w="2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(5.2)</w:t>
            </w: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(7.8)</w:t>
            </w:r>
          </w:p>
        </w:tc>
        <w:tc>
          <w:tcPr>
            <w:tcW w:w="18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(4.9)</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credits</w:t>
            </w:r>
          </w:p>
        </w:tc>
        <w:tc>
          <w:tcPr>
            <w:tcW w:w="22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(0.7)</w:t>
            </w:r>
          </w:p>
        </w:tc>
        <w:tc>
          <w:tcPr>
            <w:tcW w:w="18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AFUDC equity</w:t>
            </w:r>
          </w:p>
        </w:tc>
        <w:tc>
          <w:tcPr>
            <w:tcW w:w="2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(0.2)</w:t>
            </w:r>
          </w:p>
        </w:tc>
        <w:tc>
          <w:tcPr>
            <w:tcW w:w="18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(0.2)</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federal investment tax credits</w:t>
            </w:r>
          </w:p>
        </w:tc>
        <w:tc>
          <w:tcPr>
            <w:tcW w:w="22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(0.8)</w:t>
            </w:r>
          </w:p>
        </w:tc>
        <w:tc>
          <w:tcPr>
            <w:tcW w:w="13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(0.8)</w:t>
            </w:r>
          </w:p>
        </w:tc>
        <w:tc>
          <w:tcPr>
            <w:tcW w:w="18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(0.8)</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22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0.6</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4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 compensation limitation</w:t>
            </w:r>
          </w:p>
        </w:tc>
        <w:tc>
          <w:tcPr>
            <w:tcW w:w="22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0.5</w:t>
            </w:r>
          </w:p>
        </w:tc>
        <w:tc>
          <w:tcPr>
            <w:tcW w:w="13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(0.4)</w:t>
            </w:r>
          </w:p>
        </w:tc>
        <w:tc>
          <w:tcPr>
            <w:tcW w:w="180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0.5</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12.4 %</w:t>
            </w: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11.6 %</w:t>
            </w:r>
          </w:p>
        </w:tc>
        <w:tc>
          <w:tcPr>
            <w:tcW w:w="18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13.4 %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13.1 %</w:t>
            </w:r>
          </w:p>
        </w:tc>
      </w:tr>
    </w:tbl>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SEGMENT INFORMATION</w:t>
      </w:r>
    </w:p>
    <w:p>
      <w:pPr>
        <w:spacing w:after="0" w:line="11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Evergy's chief operating decision maker is Evergy's President and Chief Executive Officer. The chief operating decision maker assesses Evergy's performance based on consolidated net income attributable to Evergy, Inc. (i.e., Evergy operates in a single reportable segment) and uses consolidated net income attributable to Evergy, Inc. to make resource allocation decisions and to compare actual results to budget. The measures of segment assets and expenditures for additions to long-lived assets are reported as total assets on the consolidated balance sheet and additions to property, plant and equipment on the consolidated statement of cash flows, respectively. See Note 1 for additional information regarding the operations of Evergy. This segment information is detailed in the following table.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gridSpan w:val="3"/>
          </w:tcPr>
          <w:p>
            <w:pPr>
              <w:jc w:val="right"/>
              <w:ind w:right="491"/>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Year to Date</w:t>
            </w:r>
          </w:p>
        </w:tc>
        <w:tc>
          <w:tcPr>
            <w:tcW w:w="840" w:type="dxa"/>
            <w:vAlign w:val="bottom"/>
            <w:tcBorders>
              <w:top w:val="single" w:sz="8" w:color="auto"/>
            </w:tcBorders>
          </w:tcPr>
          <w:p>
            <w:pPr>
              <w:spacing w:after="0"/>
              <w:rPr>
                <w:sz w:val="17"/>
                <w:szCs w:val="17"/>
                <w:color w:val="auto"/>
              </w:rPr>
            </w:pPr>
          </w:p>
        </w:tc>
      </w:tr>
      <w:tr>
        <w:trPr>
          <w:trHeight w:val="234"/>
        </w:trPr>
        <w:tc>
          <w:tcPr>
            <w:tcW w:w="5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Pr>
          <w:p>
            <w:pPr>
              <w:spacing w:after="0"/>
              <w:rPr>
                <w:sz w:val="20"/>
                <w:szCs w:val="20"/>
                <w:color w:val="auto"/>
              </w:rPr>
            </w:pPr>
          </w:p>
        </w:tc>
      </w:tr>
      <w:tr>
        <w:trPr>
          <w:trHeight w:val="238"/>
        </w:trPr>
        <w:tc>
          <w:tcPr>
            <w:tcW w:w="55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7"/>
        </w:trPr>
        <w:tc>
          <w:tcPr>
            <w:tcW w:w="5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1,437.0</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1,447.5</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2,811.5</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2,778.5</w:t>
            </w:r>
          </w:p>
        </w:tc>
      </w:tr>
      <w:tr>
        <w:trPr>
          <w:trHeight w:val="230"/>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3"/>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and purchased power</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330.4</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359.0</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685.7</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46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114.9</w:t>
            </w:r>
          </w:p>
        </w:tc>
        <w:tc>
          <w:tcPr>
            <w:tcW w:w="42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211.3</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r>
      <w:tr>
        <w:trPr>
          <w:trHeight w:val="23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Operations and customer</w:t>
            </w:r>
          </w:p>
        </w:tc>
        <w:tc>
          <w:tcPr>
            <w:tcW w:w="46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164.6</w:t>
            </w:r>
          </w:p>
        </w:tc>
        <w:tc>
          <w:tcPr>
            <w:tcW w:w="42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163.3</w:t>
            </w:r>
          </w:p>
        </w:tc>
        <w:tc>
          <w:tcPr>
            <w:tcW w:w="46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311.7</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r>
      <w:tr>
        <w:trPr>
          <w:trHeight w:val="229"/>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Support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40.4</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37.1</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73.4</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30"/>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segment items, including benefit costs</w:t>
            </w:r>
            <w:r>
              <w:rPr>
                <w:rFonts w:ascii="Times New Roman" w:cs="Times New Roman" w:eastAsia="Times New Roman" w:hAnsi="Times New Roman"/>
                <w:sz w:val="10"/>
                <w:szCs w:val="10"/>
                <w:color w:val="auto"/>
              </w:rPr>
              <w:t>(a)</w:t>
            </w:r>
          </w:p>
        </w:tc>
        <w:tc>
          <w:tcPr>
            <w:tcW w:w="46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50.1</w:t>
            </w:r>
          </w:p>
        </w:tc>
        <w:tc>
          <w:tcPr>
            <w:tcW w:w="42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37.3</w:t>
            </w:r>
          </w:p>
        </w:tc>
        <w:tc>
          <w:tcPr>
            <w:tcW w:w="46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102.0</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3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288.4</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280.1</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576.5</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46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104.4</w:t>
            </w:r>
          </w:p>
        </w:tc>
        <w:tc>
          <w:tcPr>
            <w:tcW w:w="42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112.6</w:t>
            </w:r>
          </w:p>
        </w:tc>
        <w:tc>
          <w:tcPr>
            <w:tcW w:w="46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215.5</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r>
      <w:tr>
        <w:trPr>
          <w:trHeight w:val="22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153.8</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143.6</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306.3</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7.4</w:t>
            </w:r>
          </w:p>
        </w:tc>
        <w:tc>
          <w:tcPr>
            <w:tcW w:w="46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19.6</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Plus: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3"/>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5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Equity in earnings of equity method investees, net of income taxes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2.0</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4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171.3</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207.0</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296.3</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r>
    </w:tbl>
    <w:p>
      <w:pPr>
        <w:ind w:left="20" w:right="240" w:firstLine="6"/>
        <w:spacing w:after="0" w:line="246" w:lineRule="auto"/>
        <w:tabs>
          <w:tab w:leader="none" w:pos="163"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segment items include benefits expense associated with Operations, Customer and Support employees, regulatory amortization expense, expense associated with energy efficiency programs and bad debt expense, among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33"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The following combined Management's Discussion and Analysis of Financial Condition and Results of Operations (MD&amp;A) should be read in conjunction with the consolidated financial statements and accompanying notes in this combined Quarterly Report on Form 10-Q and the Evergy Companies' combined 2024 Form 10-K. None of the registrants make any representation as to information related solely to Evergy, Evergy Kansas Central or Evergy Metro other than itself.</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EVERGY,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EXECUTIVE SUMMARY</w:t>
      </w:r>
    </w:p>
    <w:p>
      <w:pPr>
        <w:spacing w:after="0" w:line="220"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46" w:lineRule="exact"/>
        <w:rPr>
          <w:sz w:val="20"/>
          <w:szCs w:val="20"/>
          <w:color w:val="auto"/>
        </w:rPr>
      </w:pPr>
    </w:p>
    <w:p>
      <w:pPr>
        <w:ind w:left="660" w:right="100" w:hanging="328"/>
        <w:spacing w:after="0" w:line="283" w:lineRule="auto"/>
        <w:tabs>
          <w:tab w:leader="none" w:pos="6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Kansas Central is an integrated, regulated electric utility that provides electricity to customers in the state of Kansas. Evergy Kansas Central has one active wholly-owned subsidiary with significant operations, Evergy Kansas South.</w:t>
      </w:r>
    </w:p>
    <w:p>
      <w:pPr>
        <w:spacing w:after="0" w:line="5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Metro is an integrated, regulated electric utility that provides electricity to customers in the states of Missouri and Kansas.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Missouri West is an integrated, regulated electric utility that provides electricity to customers in the state of Missouri.</w:t>
      </w:r>
    </w:p>
    <w:p>
      <w:pPr>
        <w:spacing w:after="0" w:line="121" w:lineRule="exact"/>
        <w:rPr>
          <w:rFonts w:ascii="Times New Roman" w:cs="Times New Roman" w:eastAsia="Times New Roman" w:hAnsi="Times New Roman"/>
          <w:sz w:val="20"/>
          <w:szCs w:val="20"/>
          <w:color w:val="auto"/>
        </w:rPr>
      </w:pPr>
    </w:p>
    <w:p>
      <w:pPr>
        <w:ind w:left="660" w:hanging="328"/>
        <w:spacing w:after="0" w:line="261" w:lineRule="auto"/>
        <w:tabs>
          <w:tab w:leader="none" w:pos="6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Transmission Company owns 13.5% of Transource with the remaining 86.5% owned by AEP Transmission Holding Company, LLC, a subsidiary of AEP. Transource is focused on the development of competitive electric transmission projects. Evergy Transmission Company accounts for its investment in Transource under the equity method.</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Evergy Kansas Central also owns a 50% interest in Prairie Wind, which is a joint venture between Evergy Kansas Central and subsidiaries of AEP and Berkshire Hathaway Energy Company. Prairie Wind owns a 108-mile, 345 kV double-circuit transmission line that provides transmission service in the SPP. Evergy Kansas Central accounts for its investment in Prairie Wind under the equity method.</w:t>
      </w:r>
    </w:p>
    <w:p>
      <w:pPr>
        <w:spacing w:after="0" w:line="168"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0"/>
          <w:szCs w:val="20"/>
          <w:color w:val="auto"/>
        </w:rPr>
        <w:t>Evergy Kansas Central, Evergy Kansas South, Evergy Metro and Evergy Missouri West conduct business in their respective service territories using the name Evergy. Collectively, the Evergy Companies have approximately 15,800 MWs of owned generating capacity and renewable power purchase agreements and engage in the generation, transmission, distribution and sale of electricity to approximately 1.7 million customers in the states of Kansas and Missouri. The Evergy Companies assess financial performance and allocate resources on a consolidated basis (i.e., operate in one segment).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Central's 2025 Rate Case Proceeding</w:t>
      </w:r>
    </w:p>
    <w:p>
      <w:pPr>
        <w:spacing w:after="0" w:line="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In January 2025, Evergy Kansas Central filed an application with the KCC to request an increase to its retail revenues of approximately $196 million. Evergy Kansas Central's request reflected a return on equity of 10.5% (with a capital structure composed of 52% equity) and increases related to the recovery of infrastructure investments made to improve reliability and enhance customer service and the update of expenses to current levels of spend.</w:t>
      </w:r>
    </w:p>
    <w:p>
      <w:pPr>
        <w:spacing w:after="0" w:line="17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In July 2025, Evergy Kansas Central, the KCC staff and other intervenors in the case reached a unanimous settlement agreement to settle all outstanding issues in the case. The unanimous settlement provides for an increase to retail revenues of $128.0 million after rebasing property tax expense and not including costs recoverable through KCC-approved riders for Evergy Kansas Central. The unanimous settlement agreement is subject to the approval of the KCC. If approved, new rates are expected to be effective on September 29, 2025. See Note 4 to the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Federal Tax Reform</w:t>
      </w:r>
    </w:p>
    <w:p>
      <w:pPr>
        <w:spacing w:after="0" w:line="3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In July 2025, the One Big Beautiful Bill Act (OBBBA) was signed into law by President Trump. The OBBBA contains a wide variety of tax reforms affecting businesses, including changes to clean energy production tax credits which could impact the Evergy Companies' long-term generation resource planning. The OBBBA was signed into law after the close of the second quarter and therefore, the impacts of this legislation are not included in the Evergy Companies' operating results for the three months ended or year to date June 30, 2025. The Evergy Companies are evaluating the impact of the legislation on their operations and consolidated financial results but do not anticipate a material impact.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Missouri Legislation</w:t>
      </w:r>
    </w:p>
    <w:p>
      <w:pPr>
        <w:spacing w:after="0" w:line="3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In April 2025, Missouri SB 4 was signed into law by the Governor of Missouri. Most notably, SB 4 establishes new mechanisms for Missouri electric utilities to recover the costs associated with the construction of new natural gas-fired generating units. The utilities will be able to include certain costs of CWIP in rate base. The inclusion of CWIP will be in lieu of AFUDC applicable to the construction of the new natural gas-fired generating units. The MPSC will determine the amount of CWIP that may be included in rate base. Additionally, amounts collected arising from the inclusion of CWIP in rate base are subject to refund under certain circumstances. These provisions are scheduled to expire at the end of 2035.</w:t>
      </w:r>
    </w:p>
    <w:p>
      <w:pPr>
        <w:spacing w:after="0" w:line="1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Additionally, the law extends Missouri's existing PISA provisions to include certain natural gas-fired generating units as qualifying electric plant and extends the sunset date of these provisions through the end of 2035. These provisions allow electric utilities to defer to a regulatory asset for recovery in a subsequent general rate case 85% of depreciation expense and the associated return on investment for qualifying electric plant rate base additions for assets placed in-service between general rate cases.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Kansas Legislation</w:t>
      </w:r>
    </w:p>
    <w:p>
      <w:pPr>
        <w:spacing w:after="0" w:line="26"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19"/>
          <w:szCs w:val="19"/>
          <w:color w:val="auto"/>
        </w:rPr>
        <w:t>In April 2025, Kansas House Bill (HB) 2107 was signed into law by the Governor of Kansas. Most notably, HB 2107 establishes a two-year statute of limitations for wildfire-related claims against a Kansas electric public utility and a $5.0 million limit for punitive damages awarded under a fire claim. The law also requires the plaintiff to establish the burden of proof for fire claims by a preponderance of evidence.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Natural Gas Plant Investments</w:t>
      </w:r>
    </w:p>
    <w:p>
      <w:pPr>
        <w:spacing w:after="0" w:line="32" w:lineRule="exact"/>
        <w:rPr>
          <w:sz w:val="20"/>
          <w:szCs w:val="20"/>
          <w:color w:val="auto"/>
        </w:rPr>
      </w:pPr>
    </w:p>
    <w:p>
      <w:pPr>
        <w:ind w:right="420"/>
        <w:spacing w:after="0" w:line="248" w:lineRule="auto"/>
        <w:rPr>
          <w:sz w:val="20"/>
          <w:szCs w:val="20"/>
          <w:color w:val="auto"/>
        </w:rPr>
      </w:pPr>
      <w:r>
        <w:rPr>
          <w:rFonts w:ascii="Times New Roman" w:cs="Times New Roman" w:eastAsia="Times New Roman" w:hAnsi="Times New Roman"/>
          <w:sz w:val="20"/>
          <w:szCs w:val="20"/>
          <w:color w:val="auto"/>
        </w:rPr>
        <w:t>The Evergy Companies use a triennial IRP, a detailed analysis that estimates factors that influence the future supply and demand for electricity, to inform the manner in which they supply electricity. The most recent IRPs incorporate the latest SPP resource adequacy requirements and anticipated load growth. Based on these and other factors, the IRP indicated the addition of new supply side resources, including combined and simple cycle natural gas plants, would be needed.</w:t>
      </w:r>
    </w:p>
    <w:p>
      <w:pPr>
        <w:spacing w:after="0" w:line="19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9"/>
          <w:szCs w:val="19"/>
          <w:color w:val="auto"/>
        </w:rPr>
        <w:t>In October 2024, Evergy announced its plan to construct two combined-cycle natural gas plants located in Kansas. Evergy Kansas Central and Evergy Missouri West will jointly-own each plant and expect each plant to have an initial generating capacity of approximately 705 MW. The first plant is expected to begin operations by summer of 2029 and the second plant is expected to begin operations by summer of 2030.</w:t>
      </w:r>
    </w:p>
    <w:p>
      <w:pPr>
        <w:spacing w:after="0" w:line="16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Additionally, Evergy Missouri West plans to construct a 440 MW simple-cycle natural gas plant located in Missouri. The plant is expected to begin operations in 2030.</w:t>
      </w:r>
    </w:p>
    <w:p>
      <w:pPr>
        <w:spacing w:after="0" w:line="17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In 2024, Evergy Kansas Central and Evergy Missouri West requested predetermination from the KCC and a CCN from the MPSC, respectively, for their planned natural gas investments. In July 2025, the KCC approved a non-unanimous partial settlement agreement regarding Evergy Kansas Central's investments in its planned natural gas plants. In July 2025, the MPSC approved a non-unanimous stipulation and agreement regarding Evergy Missouri West's investments in its planned natural gas plants. See "Applications for Predetermination" and "Requests for Certificate of Convenience and Necessity" in Note 4 to the consolidated financial statements for information regarding Evergy Kansas Central's and Evergy Missouri West's applications for predetermination and CCN for their investments in these natural gas plants.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Renewable Plant Investments</w:t>
      </w:r>
    </w:p>
    <w:p>
      <w:pPr>
        <w:spacing w:after="0" w:line="3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Evergy Kansas Central intends to construct and own an approximately 159 MW solar generation facility to be located in Kansas and called Kansas Sky. The solar generation facility is expected to begin operations by summer of 2027. The construction of Kansas Sky is subject to the granting by the KCC of predetermination with reasonably acceptable terms and other closing conditions. In July 2025, the KCC approved a unanimous partial settlement agreement for the Kansas Sky solar investment. See "Applications for Predetermination" in Note 4 to the consolidated financial statements for additional information regarding Evergy Kansas Central's application for predetermination for its investment in this renewable generating plant.</w:t>
      </w:r>
    </w:p>
    <w:p>
      <w:pPr>
        <w:spacing w:after="0" w:line="1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 2024, Evergy Missouri West entered into agreements to own two solar generation facilities currently under development. The first facility, to be called Sunflower Sky, is a solar generation facility to be located in Kansas with an expected generating capacity of approximately 65 MW. The second facility, to be called Foxtrot, is a solar generation facility to be located in Missouri with an expected generating capacity of approximately 100 MW. The solar generation facilities are expected to begin operations by summer of 2027. In July 2025, the MPSC approved a unanimous stipulation and agreement regarding Evergy Missouri West's planned investments in the solar generation facilities. See "Requests for Certificate of Convenience and Necessity" in Note 4 to the consolidated financial statements for information regarding Evergy Missouri West's application for a CCN for its investment in these renewable generating plants.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Proceedings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4 to the consolidated financial statements for information regarding other regulatory proceedings.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Wolf Creek Refueling Outage</w:t>
      </w:r>
    </w:p>
    <w:p>
      <w:pPr>
        <w:spacing w:after="0" w:line="26"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20"/>
          <w:szCs w:val="20"/>
          <w:color w:val="auto"/>
        </w:rPr>
        <w:t>Wolf Creek's most recent refueling outage began in March 2024 and the unit returned to service in May 2024. Wolf Creek's next refueling outage is planned to begin in the fourth quarter of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Overview</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Evergy's net income and diluted EPS.</w:t>
      </w:r>
    </w:p>
    <w:p>
      <w:pPr>
        <w:spacing w:after="0" w:line="12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3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Year to Date</w:t>
            </w: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30"/>
        </w:trPr>
        <w:tc>
          <w:tcPr>
            <w:tcW w:w="3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June 30</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8"/>
        </w:trPr>
        <w:tc>
          <w:tcPr>
            <w:tcW w:w="3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7"/>
        </w:trPr>
        <w:tc>
          <w:tcPr>
            <w:tcW w:w="3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60" w:type="dxa"/>
            <w:vAlign w:val="bottom"/>
            <w:gridSpan w:val="4"/>
          </w:tcPr>
          <w:p>
            <w:pPr>
              <w:jc w:val="right"/>
              <w:ind w:right="10"/>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2"/>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c>
          <w:tcPr>
            <w:tcW w:w="4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207.0</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296.3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r>
      <w:tr>
        <w:trPr>
          <w:trHeight w:val="236"/>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7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0.90</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(0.15)</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bl>
    <w:p>
      <w:pPr>
        <w:spacing w:after="0" w:line="2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Net income attributable to Evergy, Inc. decreased for the three months ended June 30, 2025, compared to the same period in 2024, primarily due to lower retail sales in the second quarter of 2025 driven by unfavorable weather, higher operating and maintenance, depreciation and interest expenses and losses from investments in early-stage clean energy and energy solution companies; partially offset by new Evergy Missouri West retail rates effective in January 2025 and income from the sale of a commercial solar generation project.</w:t>
      </w:r>
    </w:p>
    <w:p>
      <w:pPr>
        <w:spacing w:after="0" w:line="186"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Diluted EPS decreased for the three months ended June 30, 2025, compared to the same period in 2024, primarily due to the decrease in net income attributable to Evergy, Inc. discussed above.</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Net income attributable to Evergy, Inc. decreased year to date June 30, 2025, compared to the same period in 2024, primarily due to lower retail sales in 2025 driven by unfavorable weather, higher operating and maintenance, depreciation and interest expenses and losses from investments in early-stage clean energy and energy solution companies; partially offset by new Evergy Missouri West retail rates effective in January 2025, higher transmission revenues and income from the sale of a commercial solar generation project.</w:t>
      </w:r>
    </w:p>
    <w:p>
      <w:pPr>
        <w:spacing w:after="0" w:line="187" w:lineRule="exact"/>
        <w:rPr>
          <w:sz w:val="20"/>
          <w:szCs w:val="20"/>
          <w:color w:val="auto"/>
        </w:rPr>
      </w:pPr>
    </w:p>
    <w:p>
      <w:pPr>
        <w:ind w:right="720"/>
        <w:spacing w:after="0" w:line="255" w:lineRule="auto"/>
        <w:rPr>
          <w:sz w:val="20"/>
          <w:szCs w:val="20"/>
          <w:color w:val="auto"/>
        </w:rPr>
      </w:pPr>
      <w:r>
        <w:rPr>
          <w:rFonts w:ascii="Times New Roman" w:cs="Times New Roman" w:eastAsia="Times New Roman" w:hAnsi="Times New Roman"/>
          <w:sz w:val="20"/>
          <w:szCs w:val="20"/>
          <w:color w:val="auto"/>
        </w:rPr>
        <w:t>Diluted EPS decreased year to date June 30, 2025, compared to the same period in 2024, primarily due to the decrease in net income attributable to Evergy, Inc. discussed above.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additional information regarding the change in net income, refer to the Evergy Results of Operations section within this MD&amp;A.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Measures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Utility Gross Margin (non-GAAP)</w:t>
      </w:r>
    </w:p>
    <w:p>
      <w:pPr>
        <w:spacing w:after="0" w:line="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Utility gross margin (non-GAAP) is a financial measure that is not calculated in accordance with GAAP. Utility gross margin (non-GAAP), as used by the Evergy Companies, is defined as operating revenues less fuel and purchased power costs and amounts billed by the SPP for network transmission costs. Expenses for fuel and purchased power costs, offset by wholesale sales margin, are subject to recovery through cost adjustment mechanisms. As a result, changes in fuel and purchased power costs are offset in operating revenues with minimal impact on net income. In addition, SPP network transmission costs fluctuate primarily due to investments by SPP members for upgrades to the transmission grid within the SPP RTO. As with fuel and purchased power costs, changes in SPP network transmission costs are mostly reflected in the prices charged to customers with minimal impact on net income. The Evergy Companies' definition of utility gross margin (non-GAAP) may differ from similar terms used by other companies.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Utility gross margin (non-GAAP) is intended to aid an investor's overall understanding of results. Management believes that utility gross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margin (non-GAAP) provides a meaningful basis for evaluating the Evergy Companies' operations across periods because utility gross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margin (non-GAAP) excludes the revenue effect of fluctuations in fuel and purchased power costs and SPP network transmission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costs. Utility gross margin (non-GAAP) is used internally to measure performance against budget and in reports for management and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 Board. Utility gross margin (non-GAAP) should be viewed as a supplement to, and not a substitute for, gross margin, which is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most directly comparable financial measure prepared in accordance with GAAP. Gross margin under GAAP is defined as the excess of sales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over cost of goods sold.</w:t>
      </w:r>
    </w:p>
    <w:p>
      <w:pPr>
        <w:spacing w:after="0" w:line="207"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20"/>
          <w:szCs w:val="20"/>
          <w:color w:val="auto"/>
        </w:rPr>
        <w:t>Utility gross margin (non-GAAP) differs from the GAAP definition of gross margin due to the exclusion of operating and maintenance expenses determined to be directly attributable to revenue-producing activities, depreciation and amortization and taxes other than income tax. See the Evergy Companies' Results of Operations for a reconciliation of utility gross margin (non-GAAP) to gross margin, the most comparable GAAP measure.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Earnings (non-GAAP) and Adjusted EPS (non-GAAP)</w:t>
      </w:r>
    </w:p>
    <w:p>
      <w:pPr>
        <w:spacing w:after="0" w:line="32"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Management believes that adjusted earnings (non-GAAP) and adjusted EPS (non-GAAP) are representative measures of Evergy's recurring earnings, assist in the comparability of results and are consistent with how management reviews performance.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Evergy's adjusted earnings (non-GAAP) and adjusted EPS (non-GAAP) for the three months ended and year to date June 30, 2025 were</w:t>
      </w:r>
    </w:p>
    <w:p>
      <w:pPr>
        <w:spacing w:after="0" w:line="22"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20"/>
          <w:szCs w:val="20"/>
          <w:color w:val="auto"/>
        </w:rPr>
        <w:t>$191.1 million or $0.82 per share and $318.9 million or $1.37 per share, respectively. For the three months ended and year to date June 30, 2024, Evergy's adjusted earnings (non-GAAP) and adjusted EPS (non-GAAP) were $207.0 million or $0.90 per share and $331.7 million or $1.44 per share, respectively.</w:t>
      </w:r>
    </w:p>
    <w:p>
      <w:pPr>
        <w:spacing w:after="0" w:line="174" w:lineRule="exact"/>
        <w:rPr>
          <w:sz w:val="20"/>
          <w:szCs w:val="20"/>
          <w:color w:val="auto"/>
        </w:rPr>
      </w:pPr>
    </w:p>
    <w:p>
      <w:pPr>
        <w:ind w:right="660"/>
        <w:spacing w:after="0" w:line="283" w:lineRule="auto"/>
        <w:rPr>
          <w:sz w:val="20"/>
          <w:szCs w:val="20"/>
          <w:color w:val="auto"/>
        </w:rPr>
      </w:pPr>
      <w:r>
        <w:rPr>
          <w:rFonts w:ascii="Times New Roman" w:cs="Times New Roman" w:eastAsia="Times New Roman" w:hAnsi="Times New Roman"/>
          <w:sz w:val="20"/>
          <w:szCs w:val="20"/>
          <w:color w:val="auto"/>
        </w:rPr>
        <w:t>In addition to net income attributable to Evergy, Inc. and diluted EPS, Evergy's management uses adjusted earnings (non-GAAP) and adjusted EPS (non-GAAP) to evaluate earnings and EPS without:</w:t>
      </w:r>
    </w:p>
    <w:p>
      <w:pPr>
        <w:spacing w:after="0" w:line="3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mark-to-market impacts of economic hedges related to Evergy Kansas Central's 8% ownership share of JEC; and</w:t>
      </w:r>
    </w:p>
    <w:p>
      <w:pPr>
        <w:spacing w:after="0" w:line="121" w:lineRule="exact"/>
        <w:rPr>
          <w:rFonts w:ascii="Times New Roman" w:cs="Times New Roman" w:eastAsia="Times New Roman" w:hAnsi="Times New Roman"/>
          <w:sz w:val="20"/>
          <w:szCs w:val="20"/>
          <w:color w:val="auto"/>
        </w:rPr>
      </w:pPr>
    </w:p>
    <w:p>
      <w:pPr>
        <w:ind w:left="660" w:right="760" w:hanging="328"/>
        <w:spacing w:after="0" w:line="283" w:lineRule="auto"/>
        <w:tabs>
          <w:tab w:leader="none" w:pos="657"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unrealized losses and impairment losses from non-regulated investments in early-stage clean energy and energy solution companies.</w:t>
      </w:r>
    </w:p>
    <w:p>
      <w:pPr>
        <w:spacing w:after="0" w:line="14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Adjusted earnings (non-GAAP) and adjusted EPS (non-GAAP) are intended to aid an investor's overall understanding of results. Management believes that adjusted earnings (non-GAAP) provides a meaningful basis for evaluating Evergy's operations across periods because it excludes certain items that management does not believe are indicative of Evergy's ongoing performance or that can create period to period earnings volatility.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Adjusted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 other companies' presentations or more useful than the GAAP information provided elsewhere in this report.</w:t>
      </w:r>
    </w:p>
    <w:p>
      <w:pPr>
        <w:spacing w:after="0" w:line="172"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20"/>
          <w:szCs w:val="20"/>
          <w:color w:val="auto"/>
        </w:rPr>
        <w:t>The following tables provide a reconciliation between net income attributable to Evergy, Inc. and diluted EPS as determined in accordance with GAAP and adjusted earnings (non-GAAP) and adjusted EPS (non-GAAP),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0" w:type="dxa"/>
            <w:vAlign w:val="bottom"/>
          </w:tcPr>
          <w:p>
            <w:pPr>
              <w:spacing w:after="0"/>
              <w:rPr>
                <w:sz w:val="1"/>
                <w:szCs w:val="1"/>
                <w:color w:val="auto"/>
              </w:rPr>
            </w:pPr>
          </w:p>
        </w:tc>
      </w:tr>
      <w:tr>
        <w:trPr>
          <w:trHeight w:val="176"/>
        </w:trPr>
        <w:tc>
          <w:tcPr>
            <w:tcW w:w="6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4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(Loss) per</w:t>
            </w:r>
          </w:p>
        </w:tc>
        <w:tc>
          <w:tcPr>
            <w:tcW w:w="240" w:type="dxa"/>
            <w:vAlign w:val="bottom"/>
          </w:tcPr>
          <w:p>
            <w:pPr>
              <w:spacing w:after="0"/>
              <w:rPr>
                <w:sz w:val="15"/>
                <w:szCs w:val="15"/>
                <w:color w:val="auto"/>
              </w:rPr>
            </w:pPr>
          </w:p>
        </w:tc>
        <w:tc>
          <w:tcPr>
            <w:tcW w:w="102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(Loss) per</w:t>
            </w:r>
          </w:p>
        </w:tc>
        <w:tc>
          <w:tcPr>
            <w:tcW w:w="0" w:type="dxa"/>
            <w:vAlign w:val="bottom"/>
          </w:tcPr>
          <w:p>
            <w:pPr>
              <w:spacing w:after="0"/>
              <w:rPr>
                <w:sz w:val="1"/>
                <w:szCs w:val="1"/>
                <w:color w:val="auto"/>
              </w:rPr>
            </w:pPr>
          </w:p>
        </w:tc>
      </w:tr>
      <w:tr>
        <w:trPr>
          <w:trHeight w:val="175"/>
        </w:trPr>
        <w:tc>
          <w:tcPr>
            <w:tcW w:w="6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0" w:type="dxa"/>
            <w:vAlign w:val="bottom"/>
          </w:tcPr>
          <w:p>
            <w:pPr>
              <w:spacing w:after="0"/>
              <w:rPr>
                <w:sz w:val="1"/>
                <w:szCs w:val="1"/>
                <w:color w:val="auto"/>
              </w:rPr>
            </w:pPr>
          </w:p>
        </w:tc>
      </w:tr>
      <w:tr>
        <w:trPr>
          <w:trHeight w:val="243"/>
        </w:trPr>
        <w:tc>
          <w:tcPr>
            <w:tcW w:w="64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0.74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207.0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reconciling items: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4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Losses from investments in early-stage clean energy and energy solution companies,</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pre-tax</w:t>
            </w:r>
            <w:r>
              <w:rPr>
                <w:rFonts w:ascii="Times New Roman" w:cs="Times New Roman" w:eastAsia="Times New Roman" w:hAnsi="Times New Roman"/>
                <w:sz w:val="23"/>
                <w:szCs w:val="23"/>
                <w:color w:val="auto"/>
                <w:vertAlign w:val="superscript"/>
              </w:rPr>
              <w:t>(b)</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Income tax benefit</w:t>
            </w:r>
            <w:r>
              <w:rPr>
                <w:rFonts w:ascii="Times New Roman" w:cs="Times New Roman" w:eastAsia="Times New Roman" w:hAnsi="Times New Roman"/>
                <w:sz w:val="23"/>
                <w:szCs w:val="23"/>
                <w:color w:val="auto"/>
                <w:vertAlign w:val="superscript"/>
              </w:rPr>
              <w:t>(c)</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earnings (non-GAAP)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0.82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207.0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331"/>
        </w:trPr>
        <w:tc>
          <w:tcPr>
            <w:tcW w:w="6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0" w:type="dxa"/>
            <w:vAlign w:val="bottom"/>
          </w:tcPr>
          <w:p>
            <w:pPr>
              <w:spacing w:after="0"/>
              <w:rPr>
                <w:sz w:val="1"/>
                <w:szCs w:val="1"/>
                <w:color w:val="auto"/>
              </w:rPr>
            </w:pPr>
          </w:p>
        </w:tc>
      </w:tr>
      <w:tr>
        <w:trPr>
          <w:trHeight w:val="184"/>
        </w:trPr>
        <w:tc>
          <w:tcPr>
            <w:tcW w:w="6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40" w:type="dxa"/>
            <w:vAlign w:val="bottom"/>
          </w:tcPr>
          <w:p>
            <w:pPr>
              <w:spacing w:after="0"/>
              <w:rPr>
                <w:sz w:val="16"/>
                <w:szCs w:val="16"/>
                <w:color w:val="auto"/>
              </w:rPr>
            </w:pPr>
          </w:p>
        </w:tc>
        <w:tc>
          <w:tcPr>
            <w:tcW w:w="102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b w:val="1"/>
                <w:bCs w:val="1"/>
                <w:color w:val="auto"/>
              </w:rPr>
              <w:t>(Loss) per</w:t>
            </w:r>
          </w:p>
        </w:tc>
        <w:tc>
          <w:tcPr>
            <w:tcW w:w="240" w:type="dxa"/>
            <w:vAlign w:val="bottom"/>
          </w:tcPr>
          <w:p>
            <w:pPr>
              <w:spacing w:after="0"/>
              <w:rPr>
                <w:sz w:val="16"/>
                <w:szCs w:val="16"/>
                <w:color w:val="auto"/>
              </w:rPr>
            </w:pPr>
          </w:p>
        </w:tc>
        <w:tc>
          <w:tcPr>
            <w:tcW w:w="102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80" w:type="dxa"/>
            <w:vAlign w:val="bottom"/>
          </w:tcPr>
          <w:p>
            <w:pPr>
              <w:spacing w:after="0"/>
              <w:rPr>
                <w:sz w:val="16"/>
                <w:szCs w:val="16"/>
                <w:color w:val="auto"/>
              </w:rPr>
            </w:pPr>
          </w:p>
        </w:tc>
        <w:tc>
          <w:tcPr>
            <w:tcW w:w="94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rPr>
              <w:t>(Loss) per</w:t>
            </w:r>
          </w:p>
        </w:tc>
        <w:tc>
          <w:tcPr>
            <w:tcW w:w="0" w:type="dxa"/>
            <w:vAlign w:val="bottom"/>
          </w:tcPr>
          <w:p>
            <w:pPr>
              <w:spacing w:after="0"/>
              <w:rPr>
                <w:sz w:val="1"/>
                <w:szCs w:val="1"/>
                <w:color w:val="auto"/>
              </w:rPr>
            </w:pPr>
          </w:p>
        </w:tc>
      </w:tr>
      <w:tr>
        <w:trPr>
          <w:trHeight w:val="176"/>
        </w:trPr>
        <w:tc>
          <w:tcPr>
            <w:tcW w:w="6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June 30</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329.7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reconciling items: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Mark-to-market impact of JEC economic hedges, pre-tax</w:t>
            </w:r>
            <w:r>
              <w:rPr>
                <w:rFonts w:ascii="Times New Roman" w:cs="Times New Roman" w:eastAsia="Times New Roman" w:hAnsi="Times New Roman"/>
                <w:sz w:val="23"/>
                <w:szCs w:val="23"/>
                <w:color w:val="auto"/>
                <w:vertAlign w:val="superscript"/>
              </w:rPr>
              <w:t>(a)</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81"/>
        </w:trPr>
        <w:tc>
          <w:tcPr>
            <w:tcW w:w="648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Losses from investments in early-stage clean energy and energy solution companies,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480" w:type="dxa"/>
            <w:vAlign w:val="bottom"/>
          </w:tcPr>
          <w:p>
            <w:pPr>
              <w:ind w:left="360"/>
              <w:spacing w:after="0" w:line="237" w:lineRule="exact"/>
              <w:rPr>
                <w:sz w:val="20"/>
                <w:szCs w:val="20"/>
                <w:color w:val="auto"/>
              </w:rPr>
            </w:pPr>
            <w:r>
              <w:rPr>
                <w:rFonts w:ascii="Times New Roman" w:cs="Times New Roman" w:eastAsia="Times New Roman" w:hAnsi="Times New Roman"/>
                <w:sz w:val="18"/>
                <w:szCs w:val="18"/>
                <w:color w:val="auto"/>
              </w:rPr>
              <w:t>pre-tax</w:t>
            </w:r>
            <w:r>
              <w:rPr>
                <w:rFonts w:ascii="Times New Roman" w:cs="Times New Roman" w:eastAsia="Times New Roman" w:hAnsi="Times New Roman"/>
                <w:sz w:val="23"/>
                <w:szCs w:val="23"/>
                <w:color w:val="auto"/>
                <w:vertAlign w:val="superscript"/>
              </w:rPr>
              <w:t>(b)</w:t>
            </w: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Income tax benefit</w:t>
            </w:r>
            <w:r>
              <w:rPr>
                <w:rFonts w:ascii="Times New Roman" w:cs="Times New Roman" w:eastAsia="Times New Roman" w:hAnsi="Times New Roman"/>
                <w:sz w:val="23"/>
                <w:szCs w:val="23"/>
                <w:color w:val="auto"/>
                <w:vertAlign w:val="superscript"/>
              </w:rPr>
              <w:t>(c)</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earnings (non-GAAP)</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318.9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331.7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80" w:right="160" w:hanging="172"/>
        <w:spacing w:after="0" w:line="225" w:lineRule="auto"/>
        <w:tabs>
          <w:tab w:leader="none" w:pos="175"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mark-to-market gains or losses related to forward contracts for natural gas and electricity entered into as economic hedges against fuel price volatility related to Evergy Kansas Central's 8% ownership share of JEC that are included in operating revenues on the consolidated statements of comprehensive income.</w:t>
      </w:r>
    </w:p>
    <w:p>
      <w:pPr>
        <w:ind w:left="180" w:right="700" w:hanging="172"/>
        <w:spacing w:after="0" w:line="231" w:lineRule="auto"/>
        <w:tabs>
          <w:tab w:leader="none" w:pos="168"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unrealized losses and impairment losses from non-regulated investments in early-stage clean energy and energy solution companies that are included in investment earnings (loss) on the consolidated statements of comprehensive income. Evergy has initiated a process to dispose of these investments.</w:t>
      </w:r>
    </w:p>
    <w:p>
      <w:pPr>
        <w:ind w:left="160" w:hanging="152"/>
        <w:spacing w:after="0" w:line="200" w:lineRule="auto"/>
        <w:tabs>
          <w:tab w:leader="none" w:pos="16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an income tax effect calculated at a statutory rate of approximately 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ENVIRONMENTAL MATTERS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11 to the consolidated financial statements for information regarding environmental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RELATED PARTY TRANSACTIONS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12 to the consolidated financial statements for information regarding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EVERGY 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Evergy's comparative results of operations.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8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29"/>
        </w:trPr>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June 30</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8"/>
        </w:trPr>
        <w:tc>
          <w:tcPr>
            <w:tcW w:w="4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0"/>
        </w:trPr>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1,437.0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1,447.5</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2,811.5</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2,778.5</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2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330.4</w:t>
            </w: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c>
          <w:tcPr>
            <w:tcW w:w="3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359.0</w:t>
            </w:r>
          </w:p>
        </w:tc>
        <w:tc>
          <w:tcPr>
            <w:tcW w:w="38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685.7</w:t>
            </w:r>
          </w:p>
        </w:tc>
        <w:tc>
          <w:tcPr>
            <w:tcW w:w="2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114.9</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211.3</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38.6</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2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255.1</w:t>
            </w:r>
          </w:p>
        </w:tc>
        <w:tc>
          <w:tcPr>
            <w:tcW w:w="2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17.4</w:t>
            </w:r>
          </w:p>
        </w:tc>
        <w:tc>
          <w:tcPr>
            <w:tcW w:w="3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237.7</w:t>
            </w:r>
          </w:p>
        </w:tc>
        <w:tc>
          <w:tcPr>
            <w:tcW w:w="38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487.1</w:t>
            </w:r>
          </w:p>
        </w:tc>
        <w:tc>
          <w:tcPr>
            <w:tcW w:w="2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17.9</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w:t>
            </w: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288.4</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280.1</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576.5</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20.3</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r>
      <w:tr>
        <w:trPr>
          <w:trHeight w:val="229"/>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104.4</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112.6</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215.5</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r>
      <w:tr>
        <w:trPr>
          <w:trHeight w:val="223"/>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343.8</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358.1</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635.4</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17.1</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w:t>
            </w: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153.8</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143.6</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306.3</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29.5</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w:t>
            </w:r>
          </w:p>
        </w:tc>
        <w:tc>
          <w:tcPr>
            <w:tcW w:w="38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184"/>
        </w:trPr>
        <w:tc>
          <w:tcPr>
            <w:tcW w:w="43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Equity in earnings of equity method investees, net of</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34"/>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174.4</w:t>
            </w: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c>
          <w:tcPr>
            <w:tcW w:w="3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210.1</w:t>
            </w:r>
          </w:p>
        </w:tc>
        <w:tc>
          <w:tcPr>
            <w:tcW w:w="38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302.5</w:t>
            </w:r>
          </w:p>
        </w:tc>
        <w:tc>
          <w:tcPr>
            <w:tcW w:w="2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171.3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207.0</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296.3</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(33.4)</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ind w:left="1"/>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Gross Margin (GAAP) and Utility Gross Margin (non-GAAP)</w:t>
      </w:r>
    </w:p>
    <w:p>
      <w:pPr>
        <w:spacing w:after="0" w:line="32" w:lineRule="exact"/>
        <w:rPr>
          <w:sz w:val="20"/>
          <w:szCs w:val="20"/>
          <w:color w:val="auto"/>
        </w:rPr>
      </w:pPr>
    </w:p>
    <w:p>
      <w:pPr>
        <w:ind w:left="1" w:right="220"/>
        <w:spacing w:after="0" w:line="253" w:lineRule="auto"/>
        <w:rPr>
          <w:sz w:val="20"/>
          <w:szCs w:val="20"/>
          <w:color w:val="auto"/>
        </w:rPr>
      </w:pPr>
      <w:r>
        <w:rPr>
          <w:rFonts w:ascii="Times New Roman" w:cs="Times New Roman" w:eastAsia="Times New Roman" w:hAnsi="Times New Roman"/>
          <w:sz w:val="20"/>
          <w:szCs w:val="20"/>
          <w:color w:val="auto"/>
        </w:rPr>
        <w:t>The following tables summarize Evergy's gross margin (GAAP) and MWhs sold and reconcile Evergy's gross margin (GAAP) to Evergy's utility gross margin (non-GAAP). See "Executive Summary - Non-GAAP Measures", above for additional information regarding gross margin (GAAP) and utility gross margin (non-GAAP).</w:t>
      </w:r>
    </w:p>
    <w:p>
      <w:pPr>
        <w:spacing w:after="0" w:line="97" w:lineRule="exact"/>
        <w:rPr>
          <w:sz w:val="20"/>
          <w:szCs w:val="20"/>
          <w:color w:val="auto"/>
        </w:rPr>
      </w:pPr>
    </w:p>
    <w:tbl>
      <w:tblPr>
        <w:tblLayout w:type="fixed"/>
        <w:tblInd w:w="1" w:type="dxa"/>
        <w:tblCellMar>
          <w:top w:w="0" w:type="dxa"/>
          <w:left w:w="0" w:type="dxa"/>
          <w:bottom w:w="0" w:type="dxa"/>
          <w:right w:w="0" w:type="dxa"/>
        </w:tblCellMar>
      </w:tblPr>
      <w:tr>
        <w:trPr>
          <w:trHeight w:val="248"/>
        </w:trPr>
        <w:tc>
          <w:tcPr>
            <w:tcW w:w="5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5"/>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Revenues and Expenses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MWhs Sold</w:t>
            </w:r>
          </w:p>
        </w:tc>
        <w:tc>
          <w:tcPr>
            <w:tcW w:w="840" w:type="dxa"/>
            <w:vAlign w:val="bottom"/>
            <w:tcBorders>
              <w:top w:val="single" w:sz="8" w:color="auto"/>
            </w:tcBorders>
          </w:tcPr>
          <w:p>
            <w:pPr>
              <w:spacing w:after="0"/>
              <w:rPr>
                <w:sz w:val="21"/>
                <w:szCs w:val="21"/>
                <w:color w:val="auto"/>
              </w:rPr>
            </w:pPr>
          </w:p>
        </w:tc>
      </w:tr>
      <w:tr>
        <w:trPr>
          <w:trHeight w:val="238"/>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revenues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6"/>
                <w:szCs w:val="16"/>
                <w:color w:val="auto"/>
                <w:w w:val="98"/>
              </w:rPr>
              <w:t>(millions)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Times New Roman" w:cs="Times New Roman" w:eastAsia="Times New Roman" w:hAnsi="Times New Roman"/>
                <w:sz w:val="16"/>
                <w:szCs w:val="16"/>
                <w:color w:val="auto"/>
              </w:rPr>
              <w:t>(thousands)</w:t>
            </w: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3,548</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467.6</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4,501</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160.5</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2,077</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retail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electric retail</w:t>
            </w: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1,130.7</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10,149</w:t>
            </w: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91.2</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3,976</w:t>
            </w: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634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86.8</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42.4</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1,437.0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14,125</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251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13,874</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and maintenance</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462.1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and maintenance</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136.8</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104.4</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Utility gross margin (non-GAAP)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988.5</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r>
    </w:tbl>
    <w:p>
      <w:pPr>
        <w:ind w:left="161" w:right="140" w:hanging="161"/>
        <w:spacing w:after="0" w:line="210" w:lineRule="auto"/>
        <w:tabs>
          <w:tab w:leader="none" w:pos="156"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$118.3 million and $100.5 million for the three months ended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1"/>
          </w:cols>
          <w:pgMar w:left="319" w:top="118" w:right="399" w:bottom="1440" w:gutter="0" w:footer="0" w:header="0"/>
        </w:sectPr>
      </w:pPr>
    </w:p>
    <w:bookmarkStart w:id="63" w:name="page64"/>
    <w:bookmarkEnd w:id="63"/>
    <w:p>
      <w:pPr>
        <w:ind w:left="1"/>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1" w:type="dxa"/>
        <w:tblCellMar>
          <w:top w:w="0" w:type="dxa"/>
          <w:left w:w="0" w:type="dxa"/>
          <w:bottom w:w="0" w:type="dxa"/>
          <w:right w:w="0" w:type="dxa"/>
        </w:tblCellMar>
      </w:tblPr>
      <w:tr>
        <w:trPr>
          <w:trHeight w:val="248"/>
        </w:trPr>
        <w:tc>
          <w:tcPr>
            <w:tcW w:w="5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5"/>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Revenues and Expenses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MWhs Sold</w:t>
            </w:r>
          </w:p>
        </w:tc>
        <w:tc>
          <w:tcPr>
            <w:tcW w:w="840" w:type="dxa"/>
            <w:vAlign w:val="bottom"/>
            <w:tcBorders>
              <w:top w:val="single" w:sz="8" w:color="auto"/>
            </w:tcBorders>
          </w:tcPr>
          <w:p>
            <w:pPr>
              <w:spacing w:after="0"/>
              <w:rPr>
                <w:sz w:val="21"/>
                <w:szCs w:val="21"/>
                <w:color w:val="auto"/>
              </w:rPr>
            </w:pPr>
          </w:p>
        </w:tc>
      </w:tr>
      <w:tr>
        <w:trPr>
          <w:trHeight w:val="238"/>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June 30</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revenues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6"/>
                <w:szCs w:val="16"/>
                <w:color w:val="auto"/>
                <w:w w:val="98"/>
              </w:rPr>
              <w:t>(millions)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Times New Roman" w:cs="Times New Roman" w:eastAsia="Times New Roman" w:hAnsi="Times New Roman"/>
                <w:sz w:val="16"/>
                <w:szCs w:val="16"/>
                <w:color w:val="auto"/>
              </w:rPr>
              <w:t>(thousands)</w:t>
            </w: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7,603</w:t>
            </w:r>
          </w:p>
        </w:tc>
        <w:tc>
          <w:tcPr>
            <w:tcW w:w="11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37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w:t>
            </w: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904.1</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918.5</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8,926</w:t>
            </w:r>
          </w:p>
        </w:tc>
        <w:tc>
          <w:tcPr>
            <w:tcW w:w="11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8,849</w:t>
            </w: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305.5</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3,955</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w:t>
            </w: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retail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electric retail</w:t>
            </w: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2,232.2</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2,291.4</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20,531</w:t>
            </w: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(107)</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20,638</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139.8</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7,571</w:t>
            </w:r>
          </w:p>
        </w:tc>
        <w:tc>
          <w:tcPr>
            <w:tcW w:w="11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935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177.2</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2,811.5</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28,102</w:t>
            </w:r>
          </w:p>
        </w:tc>
        <w:tc>
          <w:tcPr>
            <w:tcW w:w="11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828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27,274</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49.7</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and maintenance</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856.6</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42.2</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814.4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and maintenance</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265.9</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576.5</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215.5</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Utility gross margin (non-GAAP)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1,914.5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44.1</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1,870.4</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r>
    </w:tbl>
    <w:p>
      <w:pPr>
        <w:ind w:left="161" w:right="140" w:hanging="161"/>
        <w:spacing w:after="0" w:line="210" w:lineRule="auto"/>
        <w:tabs>
          <w:tab w:leader="none" w:pos="156"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$221.2 million and $196.1 million year to date June 30, 2025 and 2024, respectively.</w:t>
      </w:r>
    </w:p>
    <w:p>
      <w:pPr>
        <w:spacing w:after="0" w:line="322" w:lineRule="exact"/>
        <w:rPr>
          <w:sz w:val="20"/>
          <w:szCs w:val="20"/>
          <w:color w:val="auto"/>
        </w:rPr>
      </w:pPr>
    </w:p>
    <w:p>
      <w:pPr>
        <w:ind w:left="1" w:right="80"/>
        <w:spacing w:after="0" w:line="268" w:lineRule="auto"/>
        <w:rPr>
          <w:sz w:val="20"/>
          <w:szCs w:val="20"/>
          <w:color w:val="auto"/>
        </w:rPr>
      </w:pPr>
      <w:r>
        <w:rPr>
          <w:rFonts w:ascii="Times New Roman" w:cs="Times New Roman" w:eastAsia="Times New Roman" w:hAnsi="Times New Roman"/>
          <w:sz w:val="20"/>
          <w:szCs w:val="20"/>
          <w:color w:val="auto"/>
        </w:rPr>
        <w:t>Evergy's gross margin (GAAP) increased $3.5 million for the three months ended June 30, 2025, compared to the same period in 2024 and Evergy's utility gross margin (non-GAAP) increased $3.2 million for the three months ended June 30, 2025, compared to the same period in 2024, both measures were driven by:</w:t>
      </w:r>
    </w:p>
    <w:p>
      <w:pPr>
        <w:spacing w:after="0" w:line="53" w:lineRule="exact"/>
        <w:rPr>
          <w:sz w:val="20"/>
          <w:szCs w:val="20"/>
          <w:color w:val="auto"/>
        </w:rPr>
      </w:pPr>
    </w:p>
    <w:p>
      <w:pPr>
        <w:ind w:left="641" w:hanging="308"/>
        <w:spacing w:after="0"/>
        <w:tabs>
          <w:tab w:leader="none" w:pos="641"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$25.3 million increase from new Evergy Missouri West retail rates effective in January 2025; partially offset by</w:t>
      </w:r>
    </w:p>
    <w:p>
      <w:pPr>
        <w:spacing w:after="0" w:line="121" w:lineRule="exact"/>
        <w:rPr>
          <w:rFonts w:ascii="Times New Roman" w:cs="Times New Roman" w:eastAsia="Times New Roman" w:hAnsi="Times New Roman"/>
          <w:sz w:val="20"/>
          <w:szCs w:val="20"/>
          <w:color w:val="auto"/>
        </w:rPr>
      </w:pPr>
    </w:p>
    <w:p>
      <w:pPr>
        <w:ind w:left="661" w:right="20" w:hanging="328"/>
        <w:spacing w:after="0" w:line="269" w:lineRule="auto"/>
        <w:tabs>
          <w:tab w:leader="none" w:pos="649"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$11.4 million decrease primarily due to lower retail sales driven by unfavorable weather (cooling degree days decreased by 26%), partially offset by higher weather-normalized residential and commercial demand; and</w:t>
      </w:r>
    </w:p>
    <w:p>
      <w:pPr>
        <w:spacing w:after="0" w:line="64"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$10.7 million decrease in revenue from the Kansas property tax rider, which is offset in taxes other than income taxes.</w:t>
      </w:r>
    </w:p>
    <w:p>
      <w:pPr>
        <w:spacing w:after="0" w:line="108" w:lineRule="exact"/>
        <w:rPr>
          <w:sz w:val="20"/>
          <w:szCs w:val="20"/>
          <w:color w:val="auto"/>
        </w:rPr>
      </w:pPr>
    </w:p>
    <w:p>
      <w:pPr>
        <w:ind w:left="1" w:right="40"/>
        <w:spacing w:after="0" w:line="268" w:lineRule="auto"/>
        <w:rPr>
          <w:sz w:val="20"/>
          <w:szCs w:val="20"/>
          <w:color w:val="auto"/>
        </w:rPr>
      </w:pPr>
      <w:r>
        <w:rPr>
          <w:rFonts w:ascii="Times New Roman" w:cs="Times New Roman" w:eastAsia="Times New Roman" w:hAnsi="Times New Roman"/>
          <w:sz w:val="20"/>
          <w:szCs w:val="20"/>
          <w:color w:val="auto"/>
        </w:rPr>
        <w:t>Evergy's gross margin (GAAP) increased $42.2 million year to date June 30, 2025, compared to the same period in 2024 and Evergy's utility gross margin (non-GAAP) increased $44.1 million year to date June 30, 2025, compared to the same period in 2024, both measures were driven by:</w:t>
      </w:r>
    </w:p>
    <w:p>
      <w:pPr>
        <w:spacing w:after="0" w:line="53" w:lineRule="exact"/>
        <w:rPr>
          <w:sz w:val="20"/>
          <w:szCs w:val="20"/>
          <w:color w:val="auto"/>
        </w:rPr>
      </w:pPr>
    </w:p>
    <w:p>
      <w:pPr>
        <w:ind w:left="641" w:hanging="308"/>
        <w:spacing w:after="0"/>
        <w:tabs>
          <w:tab w:leader="none" w:pos="64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$48.8 million increase from new Evergy Missouri West retail rates effective in January 2025; and</w:t>
      </w:r>
    </w:p>
    <w:p>
      <w:pPr>
        <w:spacing w:after="0" w:line="121" w:lineRule="exact"/>
        <w:rPr>
          <w:rFonts w:ascii="Times New Roman" w:cs="Times New Roman" w:eastAsia="Times New Roman" w:hAnsi="Times New Roman"/>
          <w:sz w:val="20"/>
          <w:szCs w:val="20"/>
          <w:color w:val="auto"/>
        </w:rPr>
      </w:pPr>
    </w:p>
    <w:p>
      <w:pPr>
        <w:ind w:left="661" w:right="280" w:hanging="328"/>
        <w:spacing w:after="0" w:line="269" w:lineRule="auto"/>
        <w:tabs>
          <w:tab w:leader="none" w:pos="64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$24.5 million increase in transmission revenue primarily due to updated transmission costs reflected in Evergy Kansas Central's FERC TFR effective in January 2025; partially offset by</w:t>
      </w:r>
    </w:p>
    <w:p>
      <w:pPr>
        <w:spacing w:after="0" w:line="64"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$15.6 million decrease in revenue from the Kansas property tax rider, which is offset in taxes other than income taxes; and</w:t>
      </w:r>
    </w:p>
    <w:p>
      <w:pPr>
        <w:spacing w:after="0" w:line="121" w:lineRule="exact"/>
        <w:rPr>
          <w:rFonts w:ascii="Times New Roman" w:cs="Times New Roman" w:eastAsia="Times New Roman" w:hAnsi="Times New Roman"/>
          <w:sz w:val="20"/>
          <w:szCs w:val="20"/>
          <w:color w:val="auto"/>
        </w:rPr>
      </w:pPr>
    </w:p>
    <w:p>
      <w:pPr>
        <w:ind w:left="661" w:right="180" w:hanging="328"/>
        <w:spacing w:after="0" w:line="269" w:lineRule="auto"/>
        <w:tabs>
          <w:tab w:leader="none" w:pos="64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$13.6 million decrease primarily due to lower retail sales driven by unfavorable weather (cooling degree days decreased by 25%, partially offset by a 20% increase in heating degree days) and lower weather-normalized residential and industrial demand.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1"/>
          </w:cols>
          <w:pgMar w:left="319" w:top="118" w:right="3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and Maintenance</w:t>
      </w:r>
    </w:p>
    <w:p>
      <w:pPr>
        <w:spacing w:after="0" w:line="3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Evergy's operating and maintenance expense increased $17.4 million for the three months ended June 30, 2025, compared to the same period in 2024, primarily driven by:</w:t>
      </w:r>
    </w:p>
    <w:p>
      <w:pPr>
        <w:spacing w:after="0" w:line="80"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$9.3 million increase in general and administrative labor and employee benefits expense; and</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$1.7 million increase in credit loss expense primarily at Evergy Missouri West.</w:t>
      </w:r>
    </w:p>
    <w:p>
      <w:pPr>
        <w:spacing w:after="0" w:line="121"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20"/>
          <w:szCs w:val="20"/>
          <w:color w:val="auto"/>
        </w:rPr>
        <w:t>Evergy's operating and maintenance expense increased $17.9 million year to date June 30, 2025, compared to the same period in 2024, primarily driven by:</w:t>
      </w:r>
    </w:p>
    <w:p>
      <w:pPr>
        <w:spacing w:after="0" w:line="38"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$11.4 million increase in general and administrative labor and employee benefits expense; and</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$3.1 million increase in credit loss expense primarily at Evergy Missouri West.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Depreciation and Amortization</w:t>
      </w:r>
    </w:p>
    <w:p>
      <w:pPr>
        <w:spacing w:after="0" w:line="32" w:lineRule="exact"/>
        <w:rPr>
          <w:sz w:val="20"/>
          <w:szCs w:val="20"/>
          <w:color w:val="auto"/>
        </w:rPr>
      </w:pPr>
    </w:p>
    <w:p>
      <w:pPr>
        <w:ind w:right="560"/>
        <w:spacing w:after="0" w:line="267" w:lineRule="auto"/>
        <w:rPr>
          <w:sz w:val="20"/>
          <w:szCs w:val="20"/>
          <w:color w:val="auto"/>
        </w:rPr>
      </w:pPr>
      <w:r>
        <w:rPr>
          <w:rFonts w:ascii="Times New Roman" w:cs="Times New Roman" w:eastAsia="Times New Roman" w:hAnsi="Times New Roman"/>
          <w:sz w:val="20"/>
          <w:szCs w:val="20"/>
          <w:color w:val="auto"/>
        </w:rPr>
        <w:t>Evergy's depreciation and amortization increased $8.3 million for the three months ended June 30, 2025 and $20.3 million year to date June 30, 2025, compared to the same periods in 2024, primarily due to capital additions.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Taxes Other than Income Tax</w:t>
      </w:r>
    </w:p>
    <w:p>
      <w:pPr>
        <w:spacing w:after="0" w:line="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Evergy's taxes other than income tax decreased $8.2 million for the three months ended June 30, 2025 and $11.2 million year to date June 30, 2025, compared to the same periods in 2024, primarily driven by amortization of a refund to customers for the Kansas property tax rider, which is offset in utility gross margin; partially offset by higher assessed property tax values.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Income (Expense), Net</w:t>
      </w:r>
    </w:p>
    <w:p>
      <w:pPr>
        <w:spacing w:after="0" w:line="2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Evergy's other income, net for the three months ended June 30, 2024, became other expense, net for the three months ended June 30, 2025, as a result of an $8.4 million increase in net other expense items, primarily driven by:</w:t>
      </w:r>
    </w:p>
    <w:p>
      <w:pPr>
        <w:spacing w:after="0" w:line="60" w:lineRule="exact"/>
        <w:rPr>
          <w:sz w:val="20"/>
          <w:szCs w:val="20"/>
          <w:color w:val="auto"/>
        </w:rPr>
      </w:pPr>
    </w:p>
    <w:p>
      <w:pPr>
        <w:ind w:left="660" w:right="420" w:hanging="328"/>
        <w:spacing w:after="0" w:line="283"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$25.4 million of unrealized losses and impairment losses from non-regulated investments in early-stage clean energy and energy solution companies; partially offset by</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$11.6 million of income related to the sale of a commercial solar generation project completed in the second quarter of 2025; and</w:t>
      </w:r>
    </w:p>
    <w:p>
      <w:pPr>
        <w:spacing w:after="0" w:line="121" w:lineRule="exact"/>
        <w:rPr>
          <w:rFonts w:ascii="Times New Roman" w:cs="Times New Roman" w:eastAsia="Times New Roman" w:hAnsi="Times New Roman"/>
          <w:sz w:val="20"/>
          <w:szCs w:val="20"/>
          <w:color w:val="auto"/>
        </w:rPr>
      </w:pPr>
    </w:p>
    <w:p>
      <w:pPr>
        <w:ind w:left="660" w:right="160" w:hanging="328"/>
        <w:spacing w:after="0" w:line="283"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$2.9 million decrease primarily due to recording higher Evergy Kansas Central corporate-owned life insurance (COLI) benefits in the second quarter of 2025.</w:t>
      </w:r>
    </w:p>
    <w:p>
      <w:pPr>
        <w:spacing w:after="0" w:line="38"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20"/>
          <w:szCs w:val="20"/>
          <w:color w:val="auto"/>
        </w:rPr>
        <w:t>Evergy's other income, net year to date June 30, 2024, became other expense, net year to date June 30, 2025, as a result of a $15.7 million increase in net other expense items, primarily driven by:</w:t>
      </w:r>
    </w:p>
    <w:p>
      <w:pPr>
        <w:spacing w:after="0" w:line="38" w:lineRule="exact"/>
        <w:rPr>
          <w:sz w:val="20"/>
          <w:szCs w:val="20"/>
          <w:color w:val="auto"/>
        </w:rPr>
      </w:pPr>
    </w:p>
    <w:p>
      <w:pPr>
        <w:ind w:left="660" w:right="420" w:hanging="328"/>
        <w:spacing w:after="0" w:line="283"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$29.0 million of unrealized losses and impairment losses from non-regulated investments in early-stage clean energy and energy solution companies; partially offset by</w:t>
      </w:r>
    </w:p>
    <w:p>
      <w:pPr>
        <w:spacing w:after="0" w:line="5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$11.6 million of income related to the sale of a commercial solar generation project completed in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Expense</w:t>
      </w:r>
    </w:p>
    <w:p>
      <w:pPr>
        <w:spacing w:after="0" w:line="3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Evergy's interest expense increased $10.2 million for the three months ended June 30, 2025, compared to the same period in 2024, primarily driven by:</w:t>
      </w:r>
    </w:p>
    <w:p>
      <w:pPr>
        <w:spacing w:after="0" w:line="80"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$18.6 million increase due to issuances of long-term debt; partially offset by</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$4.9 million decrease due to the repayment of long-term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Evergy's interest expense increased $29.5 million year to date June 30, 2025, compared to the same period in 2024, primarily driven by:</w:t>
      </w:r>
    </w:p>
    <w:p>
      <w:pPr>
        <w:spacing w:after="0" w:line="121"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$39.0 million increase due to issuances of long-term debt; and</w:t>
      </w:r>
    </w:p>
    <w:p>
      <w:pPr>
        <w:spacing w:after="0" w:line="107" w:lineRule="exact"/>
        <w:rPr>
          <w:rFonts w:ascii="Times New Roman" w:cs="Times New Roman" w:eastAsia="Times New Roman" w:hAnsi="Times New Roman"/>
          <w:sz w:val="20"/>
          <w:szCs w:val="20"/>
          <w:color w:val="auto"/>
        </w:rPr>
      </w:pPr>
    </w:p>
    <w:p>
      <w:pPr>
        <w:ind w:left="660" w:right="300" w:hanging="328"/>
        <w:spacing w:after="0" w:line="283"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$4.9 million increase due to lower debt AFUDC primarily driven by lower CWIP balances and lower short-term interest rates in 2025; partially offset by</w:t>
      </w:r>
    </w:p>
    <w:p>
      <w:pPr>
        <w:spacing w:after="0" w:line="5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$9.8 million decrease due to the repayment of long-term debt; and</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660" w:right="420" w:hanging="328"/>
        <w:spacing w:after="0" w:line="283"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$8.8 million decrease due to increases in carrying costs deferred to a regulatory asset in accordance with PISA due to Evergy Kansas Central and Evergy Metro electing into Kansas PISA beginning July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LIQUIDITY AND CAPITAL RESOURCES</w:t>
      </w:r>
    </w:p>
    <w:p>
      <w:pPr>
        <w:spacing w:after="0" w:line="23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Evergy relies primarily upon cash from operations, short-term borrowings, long-term debt and equity and equity-like issuances and its existing cash and cash equivalents to fund its capital requirements. Evergy's capital requirements primarily consist of capital expenditures, payment of contractual obligations and other commitments, and the payment of dividends to shareholders. Evergy expects cash flows to be sufficient to meet existing short-term capital requirements. See the Evergy Companies' combined 2024 Form 10-K for more information on Evergy's sources and uses of cash.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Short-Term Borrowings</w:t>
      </w:r>
    </w:p>
    <w:p>
      <w:pPr>
        <w:spacing w:after="0" w:line="2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As of June 30, 2025, Evergy had $1,074.0 million of available borrowing capacity under its master credit facility. The available borrowing capacity under the master credit facility consisted of $157.8 million for Evergy, Inc., $396.8 million for Evergy Kansas Central, $293.0 million for Evergy Metro and $226.4 million for Evergy Missouri West. The Evergy Companies' borrowing capacity under the master credit facility also supports their issuance of commercial paper. See Note 7 to the consolidated financial statements for more information regarding the master credit facility.</w:t>
      </w:r>
    </w:p>
    <w:p>
      <w:pPr>
        <w:spacing w:after="0" w:line="17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20"/>
          <w:szCs w:val="20"/>
          <w:color w:val="auto"/>
        </w:rPr>
        <w:t>Along with cash flows from operations and receivable sales facilities, Evergy generally uses borrowings under its master credit facility and the issuance of commercial paper to meet its day-to-day cash flow requirements. Evergy may also utilize these short-term borrowings to repay maturing long-term debt until the long-term debt is able to be refinanced.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Significant Debt Issuances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8 to the consolidated financial statements for information regarding significant debt issuances.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Credit Ratings</w:t>
      </w:r>
    </w:p>
    <w:p>
      <w:pPr>
        <w:spacing w:after="0" w:line="32" w:lineRule="exact"/>
        <w:rPr>
          <w:sz w:val="20"/>
          <w:szCs w:val="20"/>
          <w:color w:val="auto"/>
        </w:rPr>
      </w:pPr>
    </w:p>
    <w:p>
      <w:pPr>
        <w:ind w:right="440"/>
        <w:spacing w:after="0" w:line="253" w:lineRule="auto"/>
        <w:rPr>
          <w:sz w:val="20"/>
          <w:szCs w:val="20"/>
          <w:color w:val="auto"/>
        </w:rPr>
      </w:pPr>
      <w:r>
        <w:rPr>
          <w:rFonts w:ascii="Times New Roman" w:cs="Times New Roman" w:eastAsia="Times New Roman" w:hAnsi="Times New Roman"/>
          <w:sz w:val="20"/>
          <w:szCs w:val="20"/>
          <w:color w:val="auto"/>
        </w:rPr>
        <w:t>In April 2025, Moody's Investor Service changed Evergy Missouri West's outlook from Negative to Stable and lowered credit ratings as detailed in the following table.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420" w:type="dxa"/>
            <w:vAlign w:val="bottom"/>
            <w:tcBorders>
              <w:top w:val="single" w:sz="8" w:color="auto"/>
            </w:tcBorders>
          </w:tcPr>
          <w:p>
            <w:pPr>
              <w:spacing w:after="0"/>
              <w:rPr>
                <w:sz w:val="21"/>
                <w:szCs w:val="21"/>
                <w:color w:val="auto"/>
              </w:rPr>
            </w:pPr>
          </w:p>
        </w:tc>
        <w:tc>
          <w:tcPr>
            <w:tcW w:w="5180" w:type="dxa"/>
            <w:vAlign w:val="bottom"/>
            <w:tcBorders>
              <w:top w:val="single" w:sz="8" w:color="auto"/>
            </w:tcBorders>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w w:val="99"/>
              </w:rPr>
              <w:t>Moody's</w:t>
            </w:r>
          </w:p>
        </w:tc>
      </w:tr>
      <w:tr>
        <w:trPr>
          <w:trHeight w:val="240"/>
        </w:trPr>
        <w:tc>
          <w:tcPr>
            <w:tcW w:w="542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tcPr>
          <w:p>
            <w:pPr>
              <w:jc w:val="center"/>
              <w:ind w:left="3230"/>
              <w:spacing w:after="0" w:line="240" w:lineRule="exact"/>
              <w:rPr>
                <w:sz w:val="20"/>
                <w:szCs w:val="20"/>
                <w:color w:val="auto"/>
              </w:rPr>
            </w:pPr>
            <w:r>
              <w:rPr>
                <w:rFonts w:ascii="Times New Roman" w:cs="Times New Roman" w:eastAsia="Times New Roman" w:hAnsi="Times New Roman"/>
                <w:sz w:val="18"/>
                <w:szCs w:val="18"/>
                <w:b w:val="1"/>
                <w:bCs w:val="1"/>
                <w:color w:val="auto"/>
                <w:w w:val="97"/>
              </w:rPr>
              <w:t>Investors Service</w:t>
            </w:r>
            <w:r>
              <w:rPr>
                <w:rFonts w:ascii="Times New Roman" w:cs="Times New Roman" w:eastAsia="Times New Roman" w:hAnsi="Times New Roman"/>
                <w:sz w:val="23"/>
                <w:szCs w:val="23"/>
                <w:b w:val="1"/>
                <w:bCs w:val="1"/>
                <w:color w:val="auto"/>
                <w:w w:val="97"/>
                <w:vertAlign w:val="superscript"/>
              </w:rPr>
              <w:t>(a)</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Missouri West</w:t>
            </w:r>
          </w:p>
        </w:tc>
        <w:tc>
          <w:tcPr>
            <w:tcW w:w="5180" w:type="dxa"/>
            <w:vAlign w:val="bottom"/>
            <w:shd w:val="clear" w:color="auto" w:fill="CCEEFF"/>
          </w:tcPr>
          <w:p>
            <w:pPr>
              <w:spacing w:after="0"/>
              <w:rPr>
                <w:sz w:val="19"/>
                <w:szCs w:val="19"/>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Credit Rating</w:t>
            </w:r>
          </w:p>
        </w:tc>
        <w:tc>
          <w:tcPr>
            <w:tcW w:w="5180" w:type="dxa"/>
            <w:vAlign w:val="bottom"/>
          </w:tcPr>
          <w:p>
            <w:pPr>
              <w:jc w:val="center"/>
              <w:ind w:left="3230"/>
              <w:spacing w:after="0"/>
              <w:rPr>
                <w:sz w:val="20"/>
                <w:szCs w:val="20"/>
                <w:color w:val="auto"/>
              </w:rPr>
            </w:pPr>
            <w:r>
              <w:rPr>
                <w:rFonts w:ascii="Times New Roman" w:cs="Times New Roman" w:eastAsia="Times New Roman" w:hAnsi="Times New Roman"/>
                <w:sz w:val="18"/>
                <w:szCs w:val="18"/>
                <w:color w:val="auto"/>
              </w:rPr>
              <w:t>Baa3</w:t>
            </w: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Secured Debt</w:t>
            </w:r>
          </w:p>
        </w:tc>
        <w:tc>
          <w:tcPr>
            <w:tcW w:w="5180" w:type="dxa"/>
            <w:vAlign w:val="bottom"/>
            <w:shd w:val="clear" w:color="auto" w:fill="CCEEFF"/>
          </w:tcPr>
          <w:p>
            <w:pPr>
              <w:jc w:val="center"/>
              <w:ind w:left="3230"/>
              <w:spacing w:after="0"/>
              <w:rPr>
                <w:sz w:val="20"/>
                <w:szCs w:val="20"/>
                <w:color w:val="auto"/>
              </w:rPr>
            </w:pPr>
            <w:r>
              <w:rPr>
                <w:rFonts w:ascii="Times New Roman" w:cs="Times New Roman" w:eastAsia="Times New Roman" w:hAnsi="Times New Roman"/>
                <w:sz w:val="18"/>
                <w:szCs w:val="18"/>
                <w:color w:val="auto"/>
              </w:rPr>
              <w:t>Baa1</w:t>
            </w:r>
          </w:p>
        </w:tc>
      </w:tr>
      <w:tr>
        <w:trPr>
          <w:trHeight w:val="236"/>
        </w:trPr>
        <w:tc>
          <w:tcPr>
            <w:tcW w:w="5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5180" w:type="dxa"/>
            <w:vAlign w:val="bottom"/>
            <w:tcBorders>
              <w:bottom w:val="single" w:sz="8" w:color="auto"/>
            </w:tcBorders>
          </w:tcPr>
          <w:p>
            <w:pPr>
              <w:jc w:val="center"/>
              <w:ind w:left="3230"/>
              <w:spacing w:after="0"/>
              <w:rPr>
                <w:sz w:val="20"/>
                <w:szCs w:val="20"/>
                <w:color w:val="auto"/>
              </w:rPr>
            </w:pPr>
            <w:r>
              <w:rPr>
                <w:rFonts w:ascii="Times New Roman" w:cs="Times New Roman" w:eastAsia="Times New Roman" w:hAnsi="Times New Roman"/>
                <w:sz w:val="18"/>
                <w:szCs w:val="18"/>
                <w:color w:val="auto"/>
              </w:rPr>
              <w:t>P-3</w:t>
            </w:r>
          </w:p>
        </w:tc>
      </w:tr>
    </w:tbl>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A securities rating is not a recommendation to buy, sell or hold securities and may be subject to revision or withdrawal at any time by the assigning rating agency.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Pensions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6 to the consolidated financial statements for information regarding Evergy's pension and post-retirement plan contributions.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At-the-Market (ATM) Program</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May 2025, Evergy entered into an equity distribution agreement, pursuant to which Evergy may sell, from time to time, up to an aggregate of $1.2 billion of its common stock through an ATM Program, which may utilize an optional forward sales component. As of June 30, 2025, Evergy did not enter into any sales under its ATM Program.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 Covenants</w:t>
      </w:r>
    </w:p>
    <w:p>
      <w:pPr>
        <w:spacing w:after="0" w:line="32" w:lineRule="exact"/>
        <w:rPr>
          <w:sz w:val="20"/>
          <w:szCs w:val="20"/>
          <w:color w:val="auto"/>
        </w:rPr>
      </w:pPr>
    </w:p>
    <w:p>
      <w:pPr>
        <w:ind w:right="440"/>
        <w:spacing w:after="0" w:line="253" w:lineRule="auto"/>
        <w:rPr>
          <w:sz w:val="20"/>
          <w:szCs w:val="20"/>
          <w:color w:val="auto"/>
        </w:rPr>
      </w:pPr>
      <w:r>
        <w:rPr>
          <w:rFonts w:ascii="Times New Roman" w:cs="Times New Roman" w:eastAsia="Times New Roman" w:hAnsi="Times New Roman"/>
          <w:sz w:val="20"/>
          <w:szCs w:val="20"/>
          <w:color w:val="auto"/>
        </w:rPr>
        <w:t>As of June 30, 2025, Evergy was in compliance with all debt covenants under the master credit facility and certain debt instruments that contain restrictions that require the maintenance of certain capitalization and leverage ratios. See Note 7 to the consolidated financial statements for more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Evergy's cash flows from operating, investing and financing activities.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5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June 30</w:t>
            </w:r>
          </w:p>
        </w:tc>
        <w:tc>
          <w:tcPr>
            <w:tcW w:w="3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7"/>
        </w:trPr>
        <w:tc>
          <w:tcPr>
            <w:tcW w:w="57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920" w:type="dxa"/>
            <w:vAlign w:val="bottom"/>
          </w:tcPr>
          <w:p>
            <w:pPr>
              <w:spacing w:after="0"/>
              <w:rPr>
                <w:sz w:val="17"/>
                <w:szCs w:val="17"/>
                <w:color w:val="auto"/>
              </w:rPr>
            </w:pPr>
          </w:p>
        </w:tc>
      </w:tr>
      <w:tr>
        <w:trPr>
          <w:trHeight w:val="23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(1,235.4)</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w:t>
            </w:r>
          </w:p>
        </w:tc>
      </w:tr>
      <w:tr>
        <w:trPr>
          <w:trHeight w:val="237"/>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4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Operating Activities</w:t>
      </w:r>
    </w:p>
    <w:p>
      <w:pPr>
        <w:spacing w:after="0" w:line="3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Evergy's cash flows from operating activities increased $138.7 million year to date June 30, 2025, compared to the same period in 2024, primarily driven by an increase in cash receipts for retail electric sales in 2025 and a decrease in payments made for a Wolf Creek refueling outage in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used in Investing Activities</w:t>
      </w:r>
    </w:p>
    <w:p>
      <w:pPr>
        <w:spacing w:after="0" w:line="26"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20"/>
          <w:szCs w:val="20"/>
          <w:color w:val="auto"/>
        </w:rPr>
        <w:t>Evergy's cash flows used in investing activities decreased $34.7 million year to date June 30, 2025, compared to the same period in 2024, primarily driven by:</w:t>
      </w:r>
    </w:p>
    <w:p>
      <w:pPr>
        <w:spacing w:after="0" w:line="60" w:lineRule="exact"/>
        <w:rPr>
          <w:sz w:val="20"/>
          <w:szCs w:val="20"/>
          <w:color w:val="auto"/>
        </w:rPr>
      </w:pPr>
    </w:p>
    <w:p>
      <w:pPr>
        <w:ind w:left="660" w:right="220" w:hanging="328"/>
        <w:spacing w:after="0" w:line="283"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$76.0 million decrease in additions to property, plant and equipment, primarily due to Evergy Missouri West's purchase of a joint ownership interest in Dogwood Energy Center for approximately $60 million in April 2024; partially offset by</w:t>
      </w:r>
    </w:p>
    <w:p>
      <w:pPr>
        <w:spacing w:after="0" w:line="51"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$38.9 million decrease in proceeds from COLI investments, primarily from Evergy Kansas Central due to a lower number of policy settlements in 2025.</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Financing Activities</w:t>
      </w:r>
    </w:p>
    <w:p>
      <w:pPr>
        <w:spacing w:after="0" w:line="12"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20"/>
          <w:szCs w:val="20"/>
          <w:color w:val="auto"/>
        </w:rPr>
        <w:t>Evergy's cash flows from financing activities decreased $176.1 million year to date June 30, 2025, compared to the same period in 2024, primarily driven by:</w:t>
      </w:r>
    </w:p>
    <w:p>
      <w:pPr>
        <w:spacing w:after="0" w:line="74" w:lineRule="exact"/>
        <w:rPr>
          <w:sz w:val="20"/>
          <w:szCs w:val="20"/>
          <w:color w:val="auto"/>
        </w:rPr>
      </w:pPr>
    </w:p>
    <w:p>
      <w:pPr>
        <w:ind w:left="660" w:right="480" w:hanging="328"/>
        <w:spacing w:after="0" w:line="269"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$327.3 million decrease in proceeds from long-term debt, net due to the issuance of $920.7 million of long-term debt in 2024, compared to the issuance of $593.4 million of long-term debt in 2025; partially offset by</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$197.7 million increase in short-term debt borrowings driven by:</w:t>
      </w:r>
    </w:p>
    <w:p>
      <w:pPr>
        <w:spacing w:after="0" w:line="107" w:lineRule="exact"/>
        <w:rPr>
          <w:rFonts w:ascii="Times New Roman" w:cs="Times New Roman" w:eastAsia="Times New Roman" w:hAnsi="Times New Roman"/>
          <w:sz w:val="20"/>
          <w:szCs w:val="20"/>
          <w:color w:val="auto"/>
        </w:rPr>
      </w:pPr>
    </w:p>
    <w:p>
      <w:pPr>
        <w:ind w:left="1300" w:right="40" w:hanging="320"/>
        <w:spacing w:after="0" w:line="283" w:lineRule="auto"/>
        <w:tabs>
          <w:tab w:leader="none" w:pos="1289"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borrowings of $306.2 million at Evergy Metro, $285.7 million at Evergy Missouri West and $266.1 million at Evergy, Inc. for general corporate purposes; partially offset by</w:t>
      </w:r>
    </w:p>
    <w:p>
      <w:pPr>
        <w:spacing w:after="0" w:line="51" w:lineRule="exact"/>
        <w:rPr>
          <w:rFonts w:ascii="Times New Roman" w:cs="Times New Roman" w:eastAsia="Times New Roman" w:hAnsi="Times New Roman"/>
          <w:sz w:val="20"/>
          <w:szCs w:val="20"/>
          <w:color w:val="auto"/>
        </w:rPr>
      </w:pPr>
    </w:p>
    <w:p>
      <w:pPr>
        <w:ind w:left="1300" w:right="60" w:hanging="320"/>
        <w:spacing w:after="0" w:line="269" w:lineRule="auto"/>
        <w:tabs>
          <w:tab w:leader="none" w:pos="1289"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$660.3 million decrease in short-term borrowings at Evergy Kansas Central, primarily due to the repayment of commercial paper borrowings with proceeds from long-term debt issuances.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EVERGY KANSAS CENTRAL,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NARRATIVE ANALYSIS OF RESULTS OF OPERATIONS</w:t>
      </w:r>
    </w:p>
    <w:p>
      <w:pPr>
        <w:spacing w:after="0" w:line="220"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auto"/>
        </w:rPr>
        <w:t>The below results of operations and related discussion for Evergy Kansas Central is presented in a reduced disclosure format in accordance with General Instruction (H)(2)(a) to Form 10-Q.</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 Kansas Central's comparative results of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June 30</w:t>
            </w:r>
          </w:p>
        </w:tc>
        <w:tc>
          <w:tcPr>
            <w:tcW w:w="2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0"/>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6"/>
                <w:szCs w:val="16"/>
                <w:color w:val="auto"/>
              </w:rPr>
              <w:t>(millions)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1,442.6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22.1</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1,420.5</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244.0</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(18.6)</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211.3</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38.6</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229.2</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286.3</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116.8</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23"/>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355.0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120.4</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equity method investees, net of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234.4</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Kansas Central, Inc.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228.2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ind w:left="1"/>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Evergy Kansas Central Gross Margin (GAAP) and Utility Gross Margin (non-GAAP)</w:t>
      </w:r>
    </w:p>
    <w:p>
      <w:pPr>
        <w:spacing w:after="0" w:line="32" w:lineRule="exact"/>
        <w:rPr>
          <w:sz w:val="20"/>
          <w:szCs w:val="20"/>
          <w:color w:val="auto"/>
        </w:rPr>
      </w:pPr>
    </w:p>
    <w:p>
      <w:pPr>
        <w:ind w:left="1" w:right="180"/>
        <w:spacing w:after="0" w:line="253" w:lineRule="auto"/>
        <w:rPr>
          <w:sz w:val="20"/>
          <w:szCs w:val="20"/>
          <w:color w:val="auto"/>
        </w:rPr>
      </w:pPr>
      <w:r>
        <w:rPr>
          <w:rFonts w:ascii="Times New Roman" w:cs="Times New Roman" w:eastAsia="Times New Roman" w:hAnsi="Times New Roman"/>
          <w:sz w:val="20"/>
          <w:szCs w:val="20"/>
          <w:color w:val="auto"/>
        </w:rPr>
        <w:t>The following table summarizes Evergy Kansas Central's gross margin (GAAP) and MWhs sold and reconciles Evergy Kansas Central's gross margin (GAAP) to Evergy Kansas Central's utility gross margin (non-GAAP). See "Executive Summary - Non-GAAP Measures" for additional information regarding gross margin (GAAP) and utility gross margin (non-GAAP).</w:t>
      </w:r>
    </w:p>
    <w:p>
      <w:pPr>
        <w:spacing w:after="0" w:line="97" w:lineRule="exact"/>
        <w:rPr>
          <w:sz w:val="20"/>
          <w:szCs w:val="20"/>
          <w:color w:val="auto"/>
        </w:rPr>
      </w:pPr>
    </w:p>
    <w:tbl>
      <w:tblPr>
        <w:tblLayout w:type="fixed"/>
        <w:tblInd w:w="1" w:type="dxa"/>
        <w:tblCellMar>
          <w:top w:w="0" w:type="dxa"/>
          <w:left w:w="0" w:type="dxa"/>
          <w:bottom w:w="0" w:type="dxa"/>
          <w:right w:w="0" w:type="dxa"/>
        </w:tblCellMar>
      </w:tblPr>
      <w:tr>
        <w:trPr>
          <w:trHeight w:val="248"/>
        </w:trPr>
        <w:tc>
          <w:tcPr>
            <w:tcW w:w="5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Revenues and Expenses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MWhs Sold</w:t>
            </w:r>
          </w:p>
        </w:tc>
        <w:tc>
          <w:tcPr>
            <w:tcW w:w="840" w:type="dxa"/>
            <w:vAlign w:val="bottom"/>
            <w:tcBorders>
              <w:top w:val="single" w:sz="8" w:color="auto"/>
            </w:tcBorders>
          </w:tcPr>
          <w:p>
            <w:pPr>
              <w:spacing w:after="0"/>
              <w:rPr>
                <w:sz w:val="21"/>
                <w:szCs w:val="21"/>
                <w:color w:val="auto"/>
              </w:rPr>
            </w:pPr>
          </w:p>
        </w:tc>
      </w:tr>
      <w:tr>
        <w:trPr>
          <w:trHeight w:val="238"/>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June 30</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revenues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6"/>
                <w:szCs w:val="16"/>
                <w:color w:val="auto"/>
                <w:w w:val="98"/>
              </w:rPr>
              <w:t>(millions)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Times New Roman" w:cs="Times New Roman" w:eastAsia="Times New Roman" w:hAnsi="Times New Roman"/>
                <w:sz w:val="16"/>
                <w:szCs w:val="16"/>
                <w:color w:val="auto"/>
              </w:rPr>
              <w:t>(thousands)</w:t>
            </w: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3,114</w:t>
            </w:r>
          </w:p>
        </w:tc>
        <w:tc>
          <w:tcPr>
            <w:tcW w:w="11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376.4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3,558</w:t>
            </w:r>
          </w:p>
        </w:tc>
        <w:tc>
          <w:tcPr>
            <w:tcW w:w="11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w:t>
            </w: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2,485</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retail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electric retail</w:t>
            </w: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1,017.2</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9,177</w:t>
            </w: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(126)</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142.8</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4,902</w:t>
            </w:r>
          </w:p>
        </w:tc>
        <w:tc>
          <w:tcPr>
            <w:tcW w:w="11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448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242.8</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31.6</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1,442.6</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14,079</w:t>
            </w:r>
          </w:p>
        </w:tc>
        <w:tc>
          <w:tcPr>
            <w:tcW w:w="11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322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13,757</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maintenance </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470.0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22.3</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maintenance </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114.2</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116.8</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Utility gross margin (non-GAAP)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987.3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985.2</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r>
    </w:tbl>
    <w:p>
      <w:pPr>
        <w:ind w:left="161" w:right="160" w:hanging="161"/>
        <w:spacing w:after="0" w:line="226" w:lineRule="auto"/>
        <w:tabs>
          <w:tab w:leader="none" w:pos="142"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$115.0 million and $101.7 million year to date June 30, 2025 and 2024, respectively.</w:t>
      </w:r>
    </w:p>
    <w:p>
      <w:pPr>
        <w:spacing w:after="0" w:line="189" w:lineRule="exact"/>
        <w:rPr>
          <w:sz w:val="20"/>
          <w:szCs w:val="20"/>
          <w:color w:val="auto"/>
        </w:rPr>
      </w:pPr>
    </w:p>
    <w:p>
      <w:pPr>
        <w:jc w:val="both"/>
        <w:ind w:left="1"/>
        <w:spacing w:after="0" w:line="261" w:lineRule="auto"/>
        <w:rPr>
          <w:sz w:val="20"/>
          <w:szCs w:val="20"/>
          <w:color w:val="auto"/>
        </w:rPr>
      </w:pPr>
      <w:r>
        <w:rPr>
          <w:rFonts w:ascii="Times New Roman" w:cs="Times New Roman" w:eastAsia="Times New Roman" w:hAnsi="Times New Roman"/>
          <w:sz w:val="20"/>
          <w:szCs w:val="20"/>
          <w:color w:val="auto"/>
        </w:rPr>
        <w:t>Evergy Kansas Central's gross margin (GAAP) increased $22.3 million year to date June 30, 2025, compared to the same period in 2024, and Evergy Kansas Central's utility gross margin (non-GAAP) increased $2.1 million year to date June 30, 2025, compared to the same period in 2024, both measures were driven by:</w:t>
      </w:r>
    </w:p>
    <w:p>
      <w:pPr>
        <w:spacing w:after="0" w:line="73" w:lineRule="exact"/>
        <w:rPr>
          <w:sz w:val="20"/>
          <w:szCs w:val="20"/>
          <w:color w:val="auto"/>
        </w:rPr>
      </w:pPr>
    </w:p>
    <w:p>
      <w:pPr>
        <w:ind w:left="661" w:right="200" w:hanging="328"/>
        <w:spacing w:after="0" w:line="269" w:lineRule="auto"/>
        <w:tabs>
          <w:tab w:leader="none" w:pos="649"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$18.5 million increase in transmission revenue primarily due to updated transmission costs reflected in Evergy Kansas Central's FERC TFR effective in January 2025; partially offset by</w:t>
      </w:r>
    </w:p>
    <w:p>
      <w:pPr>
        <w:spacing w:after="0" w:line="64"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$13.3 million decrease in revenue from the Kansas property tax rider, which is offset in taxes other than income taxes; and</w:t>
      </w:r>
    </w:p>
    <w:p>
      <w:pPr>
        <w:spacing w:after="0" w:line="121" w:lineRule="exact"/>
        <w:rPr>
          <w:rFonts w:ascii="Times New Roman" w:cs="Times New Roman" w:eastAsia="Times New Roman" w:hAnsi="Times New Roman"/>
          <w:sz w:val="20"/>
          <w:szCs w:val="20"/>
          <w:color w:val="auto"/>
        </w:rPr>
      </w:pPr>
    </w:p>
    <w:p>
      <w:pPr>
        <w:ind w:left="661" w:right="540" w:hanging="328"/>
        <w:spacing w:after="0" w:line="295" w:lineRule="auto"/>
        <w:tabs>
          <w:tab w:leader="none" w:pos="649"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$3.1 million decrease primarily due to lower retail sales driven by unfavorable weather (cooling degree days decreased 29%, partially offset by a 24% increase in heating degree days) and lower weather-normalized residential and industrial demand.</w:t>
      </w:r>
    </w:p>
    <w:p>
      <w:pPr>
        <w:spacing w:after="0" w:line="43"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Additionally, the increase in Evergy Kansas Central's gross margin (GAAP) was also impacted by:</w:t>
      </w:r>
    </w:p>
    <w:p>
      <w:pPr>
        <w:spacing w:after="0" w:line="108" w:lineRule="exact"/>
        <w:rPr>
          <w:sz w:val="20"/>
          <w:szCs w:val="20"/>
          <w:color w:val="auto"/>
        </w:rPr>
      </w:pPr>
    </w:p>
    <w:p>
      <w:pPr>
        <w:ind w:left="661" w:right="20" w:hanging="328"/>
        <w:spacing w:after="0" w:line="268" w:lineRule="auto"/>
        <w:tabs>
          <w:tab w:leader="none" w:pos="649"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$17.7 million decrease in operating and maintenance expenses which are determined to be directly attributable to revenue producing activities including an $8.2 million decrease in plant operating and maintenance expense at fossil-fuel generating facilities as described further below; and</w:t>
      </w:r>
    </w:p>
    <w:p>
      <w:pPr>
        <w:spacing w:after="0" w:line="53"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$9.1 million decrease in taxes other than income tax as described further below; partially offset by</w:t>
      </w:r>
    </w:p>
    <w:p>
      <w:pPr>
        <w:spacing w:after="0" w:line="121"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$6.6 million increase in depreciation and amortization as described further below.</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1"/>
          </w:cols>
          <w:pgMar w:left="319" w:top="118"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Operating and Maintenance</w:t>
      </w:r>
    </w:p>
    <w:p>
      <w:pPr>
        <w:spacing w:after="0" w:line="3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Evergy Kansas Central's operating and maintenance expense decreased $4.4 million year to date June 30, 2025, compared to the same period in 2024, primarily driven by:</w:t>
      </w:r>
    </w:p>
    <w:p>
      <w:pPr>
        <w:spacing w:after="0" w:line="80" w:lineRule="exact"/>
        <w:rPr>
          <w:sz w:val="20"/>
          <w:szCs w:val="20"/>
          <w:color w:val="auto"/>
        </w:rPr>
      </w:pPr>
    </w:p>
    <w:p>
      <w:pPr>
        <w:ind w:left="660" w:right="80" w:hanging="328"/>
        <w:spacing w:after="0" w:line="269"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$8.2 million decrease in plant operating and maintenance expense at fossil-fuel generating facilities primarily due to a decrease at JEC driven by a major maintenance outage in 2024; partially offset by</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$4.7 million increase in general and administrative labor and employee benefits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Depreciation and Amortization</w:t>
      </w:r>
    </w:p>
    <w:p>
      <w:pPr>
        <w:spacing w:after="0" w:line="26"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20"/>
          <w:szCs w:val="20"/>
          <w:color w:val="auto"/>
        </w:rPr>
        <w:t>Evergy Kansas Central's depreciation and amortization expense increased $6.6 million year to date June 30, 2025, compared to the same period in 2024, primarily due to capital additions.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Taxes Other than Income Tax</w:t>
      </w:r>
    </w:p>
    <w:p>
      <w:pPr>
        <w:spacing w:after="0" w:line="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Evergy Kansas Central's taxes other than income tax decreased $9.1 million year to date June 30, 2025, compared to the same period in 2024, primarily driven by amortization of a refund to customers for the Kansas property tax rider, which is offset in utility gross margin; partially offset by higher assessed property tax values.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Interest Expense</w:t>
      </w:r>
    </w:p>
    <w:p>
      <w:pPr>
        <w:spacing w:after="0" w:line="2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auto"/>
        </w:rPr>
        <w:t>Evergy Kansas Central's interest expense increased $6.4 million year to date June 30, 2025, compared to the same period in 2024, primarily driven by:</w:t>
      </w:r>
    </w:p>
    <w:p>
      <w:pPr>
        <w:spacing w:after="0" w:line="74" w:lineRule="exact"/>
        <w:rPr>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$8.9 million increase due to issuances of long-term debt;</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$5.4 million increase in interest expense on short-term borrowings primarily due to higher short-term debt balances; and</w:t>
      </w:r>
    </w:p>
    <w:p>
      <w:pPr>
        <w:spacing w:after="0" w:line="121" w:lineRule="exact"/>
        <w:rPr>
          <w:rFonts w:ascii="Times New Roman" w:cs="Times New Roman" w:eastAsia="Times New Roman" w:hAnsi="Times New Roman"/>
          <w:sz w:val="20"/>
          <w:szCs w:val="20"/>
          <w:color w:val="auto"/>
        </w:rPr>
      </w:pPr>
    </w:p>
    <w:p>
      <w:pPr>
        <w:ind w:left="660" w:right="300" w:hanging="328"/>
        <w:spacing w:after="0" w:line="269"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$2.5 million increase due to lower debt AFUDC primarily driven by lower CWIP balances and short-term interest rates in 2025; partially offset by</w:t>
      </w:r>
    </w:p>
    <w:p>
      <w:pPr>
        <w:spacing w:after="0" w:line="64" w:lineRule="exact"/>
        <w:rPr>
          <w:rFonts w:ascii="Times New Roman" w:cs="Times New Roman" w:eastAsia="Times New Roman" w:hAnsi="Times New Roman"/>
          <w:sz w:val="20"/>
          <w:szCs w:val="20"/>
          <w:color w:val="auto"/>
        </w:rPr>
      </w:pPr>
    </w:p>
    <w:p>
      <w:pPr>
        <w:ind w:left="660" w:right="540" w:hanging="328"/>
        <w:spacing w:after="0" w:line="269"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$7.0 million decrease due to increases in carrying costs deferred to a regulatory asset in accordance with PISA due to Evergy Kansas Central electing into Kansas PISA beginning July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Income Tax Expense</w:t>
      </w:r>
    </w:p>
    <w:p>
      <w:pPr>
        <w:spacing w:after="0" w:line="32" w:lineRule="exact"/>
        <w:rPr>
          <w:sz w:val="20"/>
          <w:szCs w:val="20"/>
          <w:color w:val="auto"/>
        </w:rPr>
      </w:pPr>
    </w:p>
    <w:p>
      <w:pPr>
        <w:ind w:right="640"/>
        <w:spacing w:after="0" w:line="253" w:lineRule="auto"/>
        <w:rPr>
          <w:sz w:val="20"/>
          <w:szCs w:val="20"/>
          <w:color w:val="auto"/>
        </w:rPr>
      </w:pPr>
      <w:r>
        <w:rPr>
          <w:rFonts w:ascii="Times New Roman" w:cs="Times New Roman" w:eastAsia="Times New Roman" w:hAnsi="Times New Roman"/>
          <w:sz w:val="20"/>
          <w:szCs w:val="20"/>
          <w:color w:val="auto"/>
        </w:rPr>
        <w:t>Evergy Kansas Central's income tax expense increased $5.9 million year to date June 30, 2025, compared to the same period in 2024, primarily driven by:</w:t>
      </w:r>
    </w:p>
    <w:p>
      <w:pPr>
        <w:spacing w:after="0" w:line="80"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$2.4 million increase due to lower recognition of amortization of excess deferred income taxes; and</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 million increase due to lower recognition of wind income tax credits in 2025.</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EVERGY METRO,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NARRATIVE ANALYSIS OF RESULTS OF OPERATIONS</w:t>
      </w:r>
    </w:p>
    <w:p>
      <w:pPr>
        <w:spacing w:after="0" w:line="220"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20"/>
          <w:szCs w:val="20"/>
          <w:color w:val="auto"/>
        </w:rPr>
        <w:t>The below results of operations and related discussion for Evergy Metro is presented in a reduced disclosure format in accordance with General Instruction (H)(2)(a) to Form 10-Q.</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 Metro's comparative results of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June 30</w:t>
            </w:r>
          </w:p>
        </w:tc>
        <w:tc>
          <w:tcPr>
            <w:tcW w:w="2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0"/>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6"/>
                <w:szCs w:val="16"/>
                <w:color w:val="auto"/>
              </w:rPr>
              <w:t>(millions)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898.9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894.9</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282.6</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204.0</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71.2</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2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192.0</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70.5</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29"/>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7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105.7</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ind w:left="1"/>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Evergy Metro Gross Margin (GAAP) and Utility Gross Margin (non-GAAP)</w:t>
      </w:r>
    </w:p>
    <w:p>
      <w:pPr>
        <w:spacing w:after="0" w:line="32" w:lineRule="exact"/>
        <w:rPr>
          <w:sz w:val="20"/>
          <w:szCs w:val="20"/>
          <w:color w:val="auto"/>
        </w:rPr>
      </w:pPr>
    </w:p>
    <w:p>
      <w:pPr>
        <w:jc w:val="both"/>
        <w:ind w:left="1" w:right="60"/>
        <w:spacing w:after="0" w:line="253" w:lineRule="auto"/>
        <w:rPr>
          <w:sz w:val="20"/>
          <w:szCs w:val="20"/>
          <w:color w:val="auto"/>
        </w:rPr>
      </w:pPr>
      <w:r>
        <w:rPr>
          <w:rFonts w:ascii="Times New Roman" w:cs="Times New Roman" w:eastAsia="Times New Roman" w:hAnsi="Times New Roman"/>
          <w:sz w:val="20"/>
          <w:szCs w:val="20"/>
          <w:color w:val="auto"/>
        </w:rPr>
        <w:t>The following table summarizes Evergy Metro's gross margin (GAAP) and MWhs sold and reconciles Evergy Metro's gross margin (GAAP) to Evergy Metro's utility gross margin (non-GAAP). See "Executive Summary - Non-GAAP Measures" for additional information regarding gross margin (GAAP) and utility gross margin (non-GAAP).</w:t>
      </w:r>
    </w:p>
    <w:p>
      <w:pPr>
        <w:spacing w:after="0" w:line="111" w:lineRule="exact"/>
        <w:rPr>
          <w:sz w:val="20"/>
          <w:szCs w:val="20"/>
          <w:color w:val="auto"/>
        </w:rPr>
      </w:pPr>
    </w:p>
    <w:tbl>
      <w:tblPr>
        <w:tblLayout w:type="fixed"/>
        <w:tblInd w:w="1" w:type="dxa"/>
        <w:tblCellMar>
          <w:top w:w="0" w:type="dxa"/>
          <w:left w:w="0" w:type="dxa"/>
          <w:bottom w:w="0" w:type="dxa"/>
          <w:right w:w="0" w:type="dxa"/>
        </w:tblCellMar>
      </w:tblPr>
      <w:tr>
        <w:trPr>
          <w:trHeight w:val="248"/>
        </w:trPr>
        <w:tc>
          <w:tcPr>
            <w:tcW w:w="5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220" w:type="dxa"/>
            <w:vAlign w:val="bottom"/>
            <w:tcBorders>
              <w:top w:val="single" w:sz="8" w:color="auto"/>
            </w:tcBorders>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Revenues and Expenses</w:t>
            </w:r>
          </w:p>
        </w:tc>
        <w:tc>
          <w:tcPr>
            <w:tcW w:w="5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MWhs Sold</w:t>
            </w:r>
          </w:p>
        </w:tc>
        <w:tc>
          <w:tcPr>
            <w:tcW w:w="840" w:type="dxa"/>
            <w:vAlign w:val="bottom"/>
            <w:tcBorders>
              <w:top w:val="single" w:sz="8" w:color="auto"/>
            </w:tcBorders>
          </w:tcPr>
          <w:p>
            <w:pPr>
              <w:spacing w:after="0"/>
              <w:rPr>
                <w:sz w:val="21"/>
                <w:szCs w:val="21"/>
                <w:color w:val="auto"/>
              </w:rPr>
            </w:pPr>
          </w:p>
        </w:tc>
      </w:tr>
      <w:tr>
        <w:trPr>
          <w:trHeight w:val="238"/>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June 30</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9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revenues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6"/>
                <w:szCs w:val="16"/>
                <w:color w:val="auto"/>
                <w:w w:val="98"/>
              </w:rPr>
              <w:t>(millions)</w:t>
            </w: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Times New Roman" w:cs="Times New Roman" w:eastAsia="Times New Roman" w:hAnsi="Times New Roman"/>
                <w:sz w:val="16"/>
                <w:szCs w:val="16"/>
                <w:color w:val="auto"/>
              </w:rPr>
              <w:t>(thousands)</w:t>
            </w: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2,690</w:t>
            </w:r>
          </w:p>
        </w:tc>
        <w:tc>
          <w:tcPr>
            <w:tcW w:w="11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359.4</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3,622</w:t>
            </w:r>
          </w:p>
        </w:tc>
        <w:tc>
          <w:tcPr>
            <w:tcW w:w="11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821</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retail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electric retail</w:t>
            </w: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769.9</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7,154</w:t>
            </w: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revenues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2,410</w:t>
            </w:r>
          </w:p>
        </w:tc>
        <w:tc>
          <w:tcPr>
            <w:tcW w:w="11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219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126.1</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40.1</w:t>
            </w:r>
          </w:p>
        </w:tc>
        <w:tc>
          <w:tcPr>
            <w:tcW w:w="4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898.9</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9,564</w:t>
            </w:r>
          </w:p>
        </w:tc>
        <w:tc>
          <w:tcPr>
            <w:tcW w:w="11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208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(282.1)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maintenance </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(101.7)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(202.4)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234.1</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maintenance </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204.0</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71.2</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2"/>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Utility gross margin (non-GAAP)</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616.3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612.8</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709803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ind w:left="161" w:right="180" w:hanging="161"/>
        <w:spacing w:after="0" w:line="227" w:lineRule="auto"/>
        <w:tabs>
          <w:tab w:leader="none" w:pos="142"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$42.1 million and $33.8 million year to date June 30, 2025 and 2024, respectively.</w:t>
      </w:r>
    </w:p>
    <w:p>
      <w:pPr>
        <w:spacing w:after="0" w:line="172" w:lineRule="exact"/>
        <w:rPr>
          <w:sz w:val="20"/>
          <w:szCs w:val="20"/>
          <w:color w:val="auto"/>
        </w:rPr>
      </w:pPr>
    </w:p>
    <w:p>
      <w:pPr>
        <w:ind w:left="1" w:right="200"/>
        <w:spacing w:after="0" w:line="268" w:lineRule="auto"/>
        <w:rPr>
          <w:sz w:val="20"/>
          <w:szCs w:val="20"/>
          <w:color w:val="auto"/>
        </w:rPr>
      </w:pPr>
      <w:r>
        <w:rPr>
          <w:rFonts w:ascii="Times New Roman" w:cs="Times New Roman" w:eastAsia="Times New Roman" w:hAnsi="Times New Roman"/>
          <w:sz w:val="20"/>
          <w:szCs w:val="20"/>
          <w:color w:val="auto"/>
        </w:rPr>
        <w:t>Evergy Metro's gross margin (GAAP) decreased $1.1 million year to date June 30, 2025, compared to the same period in 2024, and Evergy Metro's utility gross margin (non-GAAP) increased $3.5 million year to date June 30, 2025, compared to the same period in 2024, both measures were driven by:</w:t>
      </w:r>
    </w:p>
    <w:p>
      <w:pPr>
        <w:spacing w:after="0" w:line="53" w:lineRule="exact"/>
        <w:rPr>
          <w:sz w:val="20"/>
          <w:szCs w:val="20"/>
          <w:color w:val="auto"/>
        </w:rPr>
      </w:pPr>
    </w:p>
    <w:p>
      <w:pPr>
        <w:ind w:left="661" w:right="320" w:hanging="328"/>
        <w:spacing w:after="0" w:line="261" w:lineRule="auto"/>
        <w:tabs>
          <w:tab w:leader="none" w:pos="649"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$3.5 million increase primarily due to higher retail sales driven by higher retail pricing, partially offset by unfavorable weather (cooling degree days decreased by 21%, partially offset by a 17% increase in heating degree days) and lower weather-normalized residential and industrial demand.</w:t>
      </w:r>
    </w:p>
    <w:p>
      <w:pPr>
        <w:spacing w:after="0" w:line="73"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Additionally, the decrease in Evergy Metro's gross margin (GAAP) was also impacted by:</w:t>
      </w:r>
    </w:p>
    <w:p>
      <w:pPr>
        <w:spacing w:after="0" w:line="121" w:lineRule="exact"/>
        <w:rPr>
          <w:sz w:val="20"/>
          <w:szCs w:val="20"/>
          <w:color w:val="auto"/>
        </w:rPr>
      </w:pPr>
    </w:p>
    <w:p>
      <w:pPr>
        <w:ind w:left="641" w:hanging="308"/>
        <w:spacing w:after="0"/>
        <w:tabs>
          <w:tab w:leader="none" w:pos="641"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$1.6 million increase in depreciation and amortization; and</w:t>
      </w:r>
    </w:p>
    <w:p>
      <w:pPr>
        <w:spacing w:after="0" w:line="107" w:lineRule="exact"/>
        <w:rPr>
          <w:rFonts w:ascii="Times New Roman" w:cs="Times New Roman" w:eastAsia="Times New Roman" w:hAnsi="Times New Roman"/>
          <w:sz w:val="20"/>
          <w:szCs w:val="20"/>
          <w:color w:val="auto"/>
        </w:rPr>
      </w:pPr>
    </w:p>
    <w:p>
      <w:pPr>
        <w:ind w:left="661" w:right="80" w:hanging="328"/>
        <w:spacing w:after="0" w:line="261" w:lineRule="auto"/>
        <w:tabs>
          <w:tab w:leader="none" w:pos="64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$5.3 million increase in operating and maintenance expenses which are determined to be directly attributable to revenue producing activities primarily driven by a $4.3 million increase in operating and maintenance expense at fossil-fuel generating facilities, as further described below; partially offset by</w:t>
      </w:r>
    </w:p>
    <w:p>
      <w:pPr>
        <w:spacing w:after="0" w:line="73"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$2.3 million decrease in taxes other than income tax.</w:t>
      </w:r>
    </w:p>
    <w:p>
      <w:pPr>
        <w:spacing w:after="0" w:line="212"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Evergy Metro Operating and Maintenance</w:t>
      </w:r>
    </w:p>
    <w:p>
      <w:pPr>
        <w:spacing w:after="0" w:line="32" w:lineRule="exact"/>
        <w:rPr>
          <w:sz w:val="20"/>
          <w:szCs w:val="20"/>
          <w:color w:val="auto"/>
        </w:rPr>
      </w:pPr>
    </w:p>
    <w:p>
      <w:pPr>
        <w:ind w:left="1"/>
        <w:spacing w:after="0" w:line="267" w:lineRule="auto"/>
        <w:rPr>
          <w:sz w:val="20"/>
          <w:szCs w:val="20"/>
          <w:color w:val="auto"/>
        </w:rPr>
      </w:pPr>
      <w:r>
        <w:rPr>
          <w:rFonts w:ascii="Times New Roman" w:cs="Times New Roman" w:eastAsia="Times New Roman" w:hAnsi="Times New Roman"/>
          <w:sz w:val="20"/>
          <w:szCs w:val="20"/>
          <w:color w:val="auto"/>
        </w:rPr>
        <w:t>Evergy Metro's operating and maintenance expense increased $13.6 million year to date June 30, 2025, compared to the same period in 2024, primarily driven by:</w:t>
      </w:r>
    </w:p>
    <w:p>
      <w:pPr>
        <w:spacing w:after="0" w:line="53" w:lineRule="exact"/>
        <w:rPr>
          <w:sz w:val="20"/>
          <w:szCs w:val="20"/>
          <w:color w:val="auto"/>
        </w:rPr>
      </w:pPr>
    </w:p>
    <w:p>
      <w:pPr>
        <w:ind w:left="641" w:hanging="308"/>
        <w:spacing w:after="0"/>
        <w:tabs>
          <w:tab w:leader="none" w:pos="641"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$7.1 million increase in general and administrative labor and employee benefits expense; and</w:t>
      </w:r>
    </w:p>
    <w:p>
      <w:pPr>
        <w:sectPr>
          <w:pgSz w:w="11900" w:h="16838" w:orient="portrait"/>
          <w:cols w:equalWidth="0" w:num="1">
            <w:col w:w="11221"/>
          </w:cols>
          <w:pgMar w:left="319"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1"/>
          </w:cols>
          <w:pgMar w:left="319" w:top="118" w:right="35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660" w:right="640" w:hanging="328"/>
        <w:spacing w:after="0" w:line="283" w:lineRule="auto"/>
        <w:tabs>
          <w:tab w:leader="none" w:pos="64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$4.3 million increase in plant operating and maintenance expense at fossil-fuel generating facilities primarily due to a major maintenance outage at Iatan Station in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Other Income (Expense), Net</w:t>
      </w:r>
    </w:p>
    <w:p>
      <w:pPr>
        <w:spacing w:after="0" w:line="32" w:lineRule="exact"/>
        <w:rPr>
          <w:sz w:val="20"/>
          <w:szCs w:val="20"/>
          <w:color w:val="auto"/>
        </w:rPr>
      </w:pPr>
    </w:p>
    <w:p>
      <w:pPr>
        <w:ind w:right="520"/>
        <w:spacing w:after="0" w:line="253" w:lineRule="auto"/>
        <w:rPr>
          <w:sz w:val="20"/>
          <w:szCs w:val="20"/>
          <w:color w:val="auto"/>
        </w:rPr>
      </w:pPr>
      <w:r>
        <w:rPr>
          <w:rFonts w:ascii="Times New Roman" w:cs="Times New Roman" w:eastAsia="Times New Roman" w:hAnsi="Times New Roman"/>
          <w:sz w:val="20"/>
          <w:szCs w:val="20"/>
          <w:color w:val="auto"/>
        </w:rPr>
        <w:t>Evergy Metro's other expense, net year to date June 30, 2024, became other income, net year to date June 30, 2025, as a result of a $2.5 million increase in net other income items, primarily driven by a $2.0 million decrease in pension non-service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Interest Expense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 Metro's interest expense decreased $5.5 million year to date June 30, 2025, compared to the same period in 2024, primarily driven by:</w:t>
      </w:r>
    </w:p>
    <w:p>
      <w:pPr>
        <w:spacing w:after="0" w:line="104" w:lineRule="exact"/>
        <w:rPr>
          <w:sz w:val="20"/>
          <w:szCs w:val="20"/>
          <w:color w:val="auto"/>
        </w:rPr>
      </w:pPr>
    </w:p>
    <w:p>
      <w:pPr>
        <w:ind w:left="660" w:right="500" w:hanging="328"/>
        <w:spacing w:after="0" w:line="310" w:lineRule="auto"/>
        <w:tabs>
          <w:tab w:leader="none" w:pos="648"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$6.3 million decrease due to increases in carrying costs deferred to a regulatory asset in accordance with PISA due to a higher outstanding balance of qualified PISA additions and Evergy Metro electing into Kansas PISA beginning July 2024; and</w:t>
      </w:r>
    </w:p>
    <w:p>
      <w:pPr>
        <w:spacing w:after="0" w:line="16" w:lineRule="exact"/>
        <w:rPr>
          <w:rFonts w:ascii="Times New Roman" w:cs="Times New Roman" w:eastAsia="Times New Roman" w:hAnsi="Times New Roman"/>
          <w:sz w:val="19"/>
          <w:szCs w:val="19"/>
          <w:color w:val="auto"/>
        </w:rPr>
      </w:pPr>
    </w:p>
    <w:p>
      <w:pPr>
        <w:ind w:left="660" w:right="60" w:hanging="328"/>
        <w:spacing w:after="0" w:line="283" w:lineRule="auto"/>
        <w:tabs>
          <w:tab w:leader="none" w:pos="6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$5.8 million decrease in interest expense on short-term borrowings primarily due to lower weighted-average interest rates; partially offset by</w:t>
      </w:r>
    </w:p>
    <w:p>
      <w:pPr>
        <w:spacing w:after="0" w:line="5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$4.3 million increase due to issuances of long-term debt; and</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$1.9 million increase due to lower debt AFUDC primarily driven by lower CWIP balances and lower short-term interest rates.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20"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20"/>
          <w:szCs w:val="20"/>
          <w:color w:val="auto"/>
        </w:rPr>
        <w:t>In the ordinary course of business, Evergy faces risks that are either non-financial or non-quantifiable. Such risks principally include business, legal, operational and credit risks and are discussed elsewhere in this report as well as in the Evergy Companies' combined 2024 Form 10-K and therefore are not represented here.</w:t>
      </w:r>
    </w:p>
    <w:p>
      <w:pPr>
        <w:spacing w:after="0" w:line="16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Evergy's interim period disclosures about market risk included in quarterly reports on Form 10-Q address material changes, if any, from the most recently filed annual report on Form 10-K. Therefore, these interim period disclosures should be read in conjunction with Part II, Item 7A, Quantitative and Qualitative Disclosures About Market Risk included in the Evergy Companies' combined 2024 Form 10-K. Evergy's exposure to market risk has not changed materially since December 31,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Evergy maintains a set of disclosure controls and procedures designed to provide reasonable assurance that information required to be disclosed by the Securities Exchange Act of 1934, as amended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 regarding required disclosure. Evergy carried out an evaluation of its disclosure controls and procedures (as defined in Rules 13a-15(e) and 15d-15(e) under the Exchange Act). This evaluation was conducted under the supervision, and with the participation, of Evergy's management, including the chief executive officer and chief financial officer, and 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There has been no change in Evergy's internal control over financial reporting (as defined in Rules 13a-15(f) and 15d-15(f) of the Exchange Act) that occurred during the quarterly period ended June 30, 2025, that has materially affected, or is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2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9"/>
          <w:szCs w:val="19"/>
          <w:color w:val="auto"/>
        </w:rPr>
        <w:t>Evergy Kansas Central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w:t>
      </w:r>
    </w:p>
    <w:p>
      <w:pPr>
        <w:spacing w:after="0" w:line="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regarding required disclosure. Evergy Kansas Central carried out an evaluation of its disclosure controls and procedures (as defined in Rules 13a-15(e) and 15d-15(e) under the Exchange Act). This evaluation was conducted under the supervision, and with the participation, of Evergy Kansas Central's management, including the chief executive officer and chief financial officer, and Evergy Kansas Central's disclosure committee. Based upon this evaluation, the chief executive officer and chief financial officer of Evergy Kansas Central have concluded as of the end of the period covered by this report that the disclosure controls and procedures of Evergy Kansas Central were effective at a reasonable assurance level.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3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There has been no change in Evergy Kansas Central's internal control over financial reporting (as defined in Rules 13a-15(f) and 15d-15(f) of the Exchange Act) that occurred during the quarterly period ended June 30, 2025, that has materially affected, or is reasonably likely to materially affect, its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Evergy Metro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 regarding required disclosure. Evergy Metro carried out an evaluation of its disclosure controls and procedures (as defined in Rules 13a-15(e) and 15d-15(e) under the Exchange Act). This evaluation was conducted under the supervision, and with the participation, of Evergy Metro's management, including the chief executive officer and chief financial officer, and Evergy Metro's disclosure committee. Based upon this evaluation, the chief executive officer and chief financial officer of Evergy Metro have concluded as of the end of the period covered by this report that the disclosure controls and procedures of Evergy Metro were effective at a reasonable assurance level.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6" w:lineRule="exact"/>
        <w:rPr>
          <w:sz w:val="20"/>
          <w:szCs w:val="20"/>
          <w:color w:val="auto"/>
        </w:rPr>
      </w:pPr>
    </w:p>
    <w:p>
      <w:pPr>
        <w:ind w:right="440"/>
        <w:spacing w:after="0" w:line="242" w:lineRule="auto"/>
        <w:rPr>
          <w:sz w:val="20"/>
          <w:szCs w:val="20"/>
          <w:color w:val="auto"/>
        </w:rPr>
      </w:pPr>
      <w:r>
        <w:rPr>
          <w:rFonts w:ascii="Times New Roman" w:cs="Times New Roman" w:eastAsia="Times New Roman" w:hAnsi="Times New Roman"/>
          <w:sz w:val="20"/>
          <w:szCs w:val="20"/>
          <w:color w:val="auto"/>
        </w:rPr>
        <w:t>There has been no change in Evergy Metro's internal control over financial reporting (as defined in Rules 13a-15(f) and 15d-15(f) of the Exchange Act) that occurred during the quarterly period ended June 30, 2025, that has materially affected, or is reasonably likely to materially affect, its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Proceedings</w:t>
      </w:r>
    </w:p>
    <w:p>
      <w:pPr>
        <w:spacing w:after="0" w:line="32" w:lineRule="exact"/>
        <w:rPr>
          <w:sz w:val="20"/>
          <w:szCs w:val="20"/>
          <w:color w:val="auto"/>
        </w:rPr>
      </w:pPr>
    </w:p>
    <w:p>
      <w:pPr>
        <w:jc w:val="both"/>
        <w:ind w:right="180"/>
        <w:spacing w:after="0" w:line="253" w:lineRule="auto"/>
        <w:rPr>
          <w:sz w:val="20"/>
          <w:szCs w:val="20"/>
          <w:color w:val="auto"/>
        </w:rPr>
      </w:pPr>
      <w:r>
        <w:rPr>
          <w:rFonts w:ascii="Times New Roman" w:cs="Times New Roman" w:eastAsia="Times New Roman" w:hAnsi="Times New Roman"/>
          <w:sz w:val="20"/>
          <w:szCs w:val="20"/>
          <w:color w:val="auto"/>
        </w:rPr>
        <w:t>The Evergy Companies are parties to various lawsuits and regulatory proceedings in the ordinary course of their respective businesses. For information regarding material lawsuits and proceedings, see Notes 4 and 11 to the consolidated financial statements. Such information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20" w:lineRule="exact"/>
        <w:rPr>
          <w:sz w:val="20"/>
          <w:szCs w:val="20"/>
          <w:color w:val="auto"/>
        </w:rPr>
      </w:pPr>
    </w:p>
    <w:p>
      <w:pPr>
        <w:jc w:val="both"/>
        <w:ind w:right="160"/>
        <w:spacing w:after="0" w:line="283" w:lineRule="auto"/>
        <w:rPr>
          <w:sz w:val="20"/>
          <w:szCs w:val="20"/>
          <w:color w:val="auto"/>
        </w:rPr>
      </w:pPr>
      <w:r>
        <w:rPr>
          <w:rFonts w:ascii="Times New Roman" w:cs="Times New Roman" w:eastAsia="Times New Roman" w:hAnsi="Times New Roman"/>
          <w:sz w:val="20"/>
          <w:szCs w:val="20"/>
          <w:color w:val="auto"/>
        </w:rPr>
        <w:t>Actual results in future periods for the Evergy Companies could differ materially from historical results and the forward-looking statements contained in this report. The business of the Evergy Companies is influenced by many</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factors that are difficult to predict, involve uncertainties that may materially affect actual results and are often beyond their control. Additional risks and uncertainties not presently known or that management currently believes to be immaterial may also adversely affect the Evergy Companies. Factors that might cause or contribute to such differences include, but are not limited to, those discussed in Part I, Item 1A, Risk Factors included in the 2024 Form 10-K for each of Evergy, Evergy Kansas Central and Evergy Metro, as well as Quarterly Reports on Form 10-Q and from time to time in Current Reports on Form 8-K filed by Evergy, Evergy Kansas Central and Evergy Metro. There have been no material changes with regard to those risk factors since the filing of the 2024 Form 10-K for each of Evergy, Evergy Kansas Central and Evergy Metro. This information, as well as the other information included in this report and in the other documents filed with the SEC, should be carefully considered before making an investment in the securities of the Evergy Companies. Risk factors of Evergy Kansas Central and Evergy Metro are also risk factors of Evergy.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w:t>
      </w:r>
    </w:p>
    <w:p>
      <w:pPr>
        <w:spacing w:after="0" w:line="32"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The following table provides information regarding purchases by Evergy of its equity securities that are registered pursuant to Section 12 of the Exchange Act during the three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80" w:type="dxa"/>
            <w:vAlign w:val="bottom"/>
            <w:tcBorders>
              <w:top w:val="single" w:sz="8" w:color="auto"/>
            </w:tcBorders>
          </w:tcPr>
          <w:p>
            <w:pPr>
              <w:spacing w:after="0"/>
              <w:rPr>
                <w:sz w:val="14"/>
                <w:szCs w:val="14"/>
                <w:color w:val="auto"/>
              </w:rPr>
            </w:pPr>
          </w:p>
        </w:tc>
        <w:tc>
          <w:tcPr>
            <w:tcW w:w="22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jc w:val="center"/>
              <w:ind w:left="3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36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94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36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80"/>
        </w:trPr>
        <w:tc>
          <w:tcPr>
            <w:tcW w:w="1780" w:type="dxa"/>
            <w:vAlign w:val="bottom"/>
          </w:tcPr>
          <w:p>
            <w:pPr>
              <w:spacing w:after="0"/>
              <w:rPr>
                <w:sz w:val="15"/>
                <w:szCs w:val="15"/>
                <w:color w:val="auto"/>
              </w:rPr>
            </w:pPr>
          </w:p>
        </w:tc>
        <w:tc>
          <w:tcPr>
            <w:tcW w:w="2280" w:type="dxa"/>
            <w:vAlign w:val="bottom"/>
            <w:vMerge w:val="restart"/>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640" w:type="dxa"/>
            <w:vAlign w:val="bottom"/>
          </w:tcPr>
          <w:p>
            <w:pPr>
              <w:spacing w:after="0"/>
              <w:rPr>
                <w:sz w:val="15"/>
                <w:szCs w:val="15"/>
                <w:color w:val="auto"/>
              </w:rPr>
            </w:pPr>
          </w:p>
        </w:tc>
        <w:tc>
          <w:tcPr>
            <w:tcW w:w="2000" w:type="dxa"/>
            <w:vAlign w:val="bottom"/>
            <w:gridSpan w:val="2"/>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940" w:type="dxa"/>
            <w:vAlign w:val="bottom"/>
          </w:tcPr>
          <w:p>
            <w:pPr>
              <w:jc w:val="center"/>
              <w:ind w:left="330"/>
              <w:spacing w:after="0" w:line="180"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360" w:type="dxa"/>
            <w:vAlign w:val="bottom"/>
          </w:tcPr>
          <w:p>
            <w:pPr>
              <w:spacing w:after="0"/>
              <w:rPr>
                <w:sz w:val="15"/>
                <w:szCs w:val="15"/>
                <w:color w:val="auto"/>
              </w:rPr>
            </w:pPr>
          </w:p>
        </w:tc>
        <w:tc>
          <w:tcPr>
            <w:tcW w:w="22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2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1940" w:type="dxa"/>
            <w:vAlign w:val="bottom"/>
          </w:tcPr>
          <w:p>
            <w:pPr>
              <w:jc w:val="center"/>
              <w:ind w:left="3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360" w:type="dxa"/>
            <w:vAlign w:val="bottom"/>
          </w:tcPr>
          <w:p>
            <w:pPr>
              <w:spacing w:after="0"/>
              <w:rPr>
                <w:sz w:val="16"/>
                <w:szCs w:val="16"/>
                <w:color w:val="auto"/>
              </w:rPr>
            </w:pPr>
          </w:p>
        </w:tc>
        <w:tc>
          <w:tcPr>
            <w:tcW w:w="2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that May Yet Be</w:t>
            </w:r>
          </w:p>
        </w:tc>
        <w:tc>
          <w:tcPr>
            <w:tcW w:w="0" w:type="dxa"/>
            <w:vAlign w:val="bottom"/>
          </w:tcPr>
          <w:p>
            <w:pPr>
              <w:spacing w:after="0"/>
              <w:rPr>
                <w:sz w:val="1"/>
                <w:szCs w:val="1"/>
                <w:color w:val="auto"/>
              </w:rPr>
            </w:pPr>
          </w:p>
        </w:tc>
      </w:tr>
      <w:tr>
        <w:trPr>
          <w:trHeight w:val="176"/>
        </w:trPr>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2280" w:type="dxa"/>
            <w:vAlign w:val="bottom"/>
          </w:tcPr>
          <w:p>
            <w:pPr>
              <w:jc w:val="center"/>
              <w:ind w:left="750"/>
              <w:spacing w:after="0" w:line="176"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640" w:type="dxa"/>
            <w:vAlign w:val="bottom"/>
          </w:tcPr>
          <w:p>
            <w:pPr>
              <w:spacing w:after="0"/>
              <w:rPr>
                <w:sz w:val="15"/>
                <w:szCs w:val="15"/>
                <w:color w:val="auto"/>
              </w:rPr>
            </w:pPr>
          </w:p>
        </w:tc>
        <w:tc>
          <w:tcPr>
            <w:tcW w:w="20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b w:val="1"/>
                <w:bCs w:val="1"/>
                <w:color w:val="auto"/>
              </w:rPr>
              <w:t>Paid per Share</w:t>
            </w:r>
          </w:p>
        </w:tc>
        <w:tc>
          <w:tcPr>
            <w:tcW w:w="194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b w:val="1"/>
                <w:bCs w:val="1"/>
                <w:color w:val="auto"/>
              </w:rPr>
              <w:t>Announced Plans</w:t>
            </w:r>
          </w:p>
        </w:tc>
        <w:tc>
          <w:tcPr>
            <w:tcW w:w="36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 Plans</w:t>
            </w:r>
          </w:p>
        </w:tc>
        <w:tc>
          <w:tcPr>
            <w:tcW w:w="0" w:type="dxa"/>
            <w:vAlign w:val="bottom"/>
          </w:tcPr>
          <w:p>
            <w:pPr>
              <w:spacing w:after="0"/>
              <w:rPr>
                <w:sz w:val="1"/>
                <w:szCs w:val="1"/>
                <w:color w:val="auto"/>
              </w:rPr>
            </w:pPr>
          </w:p>
        </w:tc>
      </w:tr>
      <w:tr>
        <w:trPr>
          <w:trHeight w:val="243"/>
        </w:trPr>
        <w:tc>
          <w:tcPr>
            <w:tcW w:w="1780" w:type="dxa"/>
            <w:vAlign w:val="bottom"/>
            <w:tcBorders>
              <w:bottom w:val="single" w:sz="8" w:color="auto"/>
            </w:tcBorders>
            <w:vMerge w:val="continue"/>
          </w:tcPr>
          <w:p>
            <w:pPr>
              <w:spacing w:after="0"/>
              <w:rPr>
                <w:sz w:val="21"/>
                <w:szCs w:val="21"/>
                <w:color w:val="auto"/>
              </w:rPr>
            </w:pPr>
          </w:p>
        </w:tc>
        <w:tc>
          <w:tcPr>
            <w:tcW w:w="2280" w:type="dxa"/>
            <w:vAlign w:val="bottom"/>
            <w:tcBorders>
              <w:bottom w:val="single" w:sz="8" w:color="auto"/>
            </w:tcBorders>
          </w:tcPr>
          <w:p>
            <w:pPr>
              <w:jc w:val="center"/>
              <w:ind w:left="770"/>
              <w:spacing w:after="0" w:line="243" w:lineRule="exact"/>
              <w:rPr>
                <w:sz w:val="20"/>
                <w:szCs w:val="20"/>
                <w:color w:val="auto"/>
              </w:rPr>
            </w:pPr>
            <w:r>
              <w:rPr>
                <w:rFonts w:ascii="Times New Roman" w:cs="Times New Roman" w:eastAsia="Times New Roman" w:hAnsi="Times New Roman"/>
                <w:sz w:val="18"/>
                <w:szCs w:val="18"/>
                <w:b w:val="1"/>
                <w:bCs w:val="1"/>
                <w:color w:val="auto"/>
                <w:w w:val="95"/>
              </w:rPr>
              <w:t>Purchased</w:t>
            </w:r>
            <w:r>
              <w:rPr>
                <w:rFonts w:ascii="Times New Roman" w:cs="Times New Roman" w:eastAsia="Times New Roman" w:hAnsi="Times New Roman"/>
                <w:sz w:val="23"/>
                <w:szCs w:val="23"/>
                <w:b w:val="1"/>
                <w:bCs w:val="1"/>
                <w:color w:val="auto"/>
                <w:w w:val="95"/>
                <w:vertAlign w:val="superscript"/>
              </w:rPr>
              <w:t>(a)</w:t>
            </w:r>
          </w:p>
        </w:tc>
        <w:tc>
          <w:tcPr>
            <w:tcW w:w="6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(or Unit)</w:t>
            </w:r>
          </w:p>
        </w:tc>
        <w:tc>
          <w:tcPr>
            <w:tcW w:w="194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3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0" w:type="dxa"/>
            <w:vAlign w:val="bottom"/>
          </w:tcPr>
          <w:p>
            <w:pPr>
              <w:spacing w:after="0"/>
              <w:rPr>
                <w:sz w:val="1"/>
                <w:szCs w:val="1"/>
                <w:color w:val="auto"/>
              </w:rPr>
            </w:pPr>
          </w:p>
        </w:tc>
      </w:tr>
      <w:tr>
        <w:trPr>
          <w:trHeight w:val="22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1 - 30</w:t>
            </w:r>
          </w:p>
        </w:tc>
        <w:tc>
          <w:tcPr>
            <w:tcW w:w="22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1 - 31</w:t>
            </w:r>
          </w:p>
        </w:tc>
        <w:tc>
          <w:tcPr>
            <w:tcW w:w="2280" w:type="dxa"/>
            <w:vAlign w:val="bottom"/>
          </w:tcPr>
          <w:p>
            <w:pPr>
              <w:spacing w:after="0"/>
              <w:rPr>
                <w:sz w:val="19"/>
                <w:szCs w:val="19"/>
                <w:color w:val="auto"/>
              </w:rPr>
            </w:pPr>
          </w:p>
        </w:tc>
        <w:tc>
          <w:tcPr>
            <w:tcW w:w="6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451</w:t>
            </w:r>
          </w:p>
        </w:tc>
        <w:tc>
          <w:tcPr>
            <w:tcW w:w="500" w:type="dxa"/>
            <w:vAlign w:val="bottom"/>
          </w:tcPr>
          <w:p>
            <w:pPr>
              <w:spacing w:after="0"/>
              <w:rPr>
                <w:sz w:val="19"/>
                <w:szCs w:val="19"/>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69.25</w:t>
            </w:r>
          </w:p>
        </w:tc>
        <w:tc>
          <w:tcPr>
            <w:tcW w:w="194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1 - 30</w:t>
            </w:r>
          </w:p>
        </w:tc>
        <w:tc>
          <w:tcPr>
            <w:tcW w:w="2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451</w:t>
            </w:r>
          </w:p>
        </w:tc>
        <w:tc>
          <w:tcPr>
            <w:tcW w:w="5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69.25</w:t>
            </w:r>
          </w:p>
        </w:tc>
        <w:tc>
          <w:tcPr>
            <w:tcW w:w="19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60" w:hanging="152"/>
        <w:spacing w:after="0"/>
        <w:tabs>
          <w:tab w:leader="none" w:pos="160"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shares Evergy purchased for withholding taxes related to the vesting of RSUs.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Available Information</w:t>
      </w:r>
    </w:p>
    <w:p>
      <w:pPr>
        <w:spacing w:after="0" w:line="26"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0"/>
          <w:szCs w:val="20"/>
          <w:color w:val="auto"/>
        </w:rPr>
        <w:t>The SEC maintains an internet site that contains reports, proxy and information statements and other information regarding issuers that file electronically with the SEC at http://www.sec.gov.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79"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0"/>
          <w:szCs w:val="20"/>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Securities Trading Plans of Directors and Executive Officers</w:t>
      </w:r>
    </w:p>
    <w:p>
      <w:pPr>
        <w:spacing w:after="0" w:line="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For the three months ended June 30, 2025, no director or officer has adopted, terminated or modified a Rule 10b5-1 plan or non-Rule 10b5-1 trading arrangement required to be disclosed under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7"/>
              </w:rPr>
              <w:t>Table of Contents</w:t>
            </w:r>
          </w:p>
        </w:tc>
        <w:tc>
          <w:tcPr>
            <w:tcW w:w="4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6"/>
        </w:trPr>
        <w:tc>
          <w:tcPr>
            <w:tcW w:w="182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ITEM 6. EXHIBITS</w:t>
            </w: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60" w:type="dxa"/>
            <w:vAlign w:val="bottom"/>
          </w:tcPr>
          <w:p>
            <w:pPr>
              <w:spacing w:after="0"/>
              <w:rPr>
                <w:sz w:val="24"/>
                <w:szCs w:val="2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w w:val="98"/>
              </w:rPr>
              <w:t>Exhibit</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6"/>
            <w:vMerge w:val="restart"/>
          </w:tcPr>
          <w:p>
            <w:pPr>
              <w:ind w:left="100"/>
              <w:spacing w:after="0"/>
              <w:rPr>
                <w:sz w:val="20"/>
                <w:szCs w:val="20"/>
                <w:color w:val="auto"/>
              </w:rPr>
            </w:pPr>
            <w:r>
              <w:rPr>
                <w:rFonts w:ascii="Times New Roman" w:cs="Times New Roman" w:eastAsia="Times New Roman" w:hAnsi="Times New Roman"/>
                <w:sz w:val="20"/>
                <w:szCs w:val="20"/>
                <w:color w:val="auto"/>
              </w:rPr>
              <w:t>Description of Document</w:t>
            </w:r>
          </w:p>
        </w:tc>
        <w:tc>
          <w:tcPr>
            <w:tcW w:w="2120" w:type="dxa"/>
            <w:vAlign w:val="bottom"/>
            <w:gridSpan w:val="3"/>
            <w:vMerge w:val="restart"/>
          </w:tcPr>
          <w:p>
            <w:pPr>
              <w:ind w:left="1080"/>
              <w:spacing w:after="0"/>
              <w:rPr>
                <w:sz w:val="20"/>
                <w:szCs w:val="20"/>
                <w:color w:val="auto"/>
              </w:rPr>
            </w:pPr>
            <w:r>
              <w:rPr>
                <w:rFonts w:ascii="Times New Roman" w:cs="Times New Roman" w:eastAsia="Times New Roman" w:hAnsi="Times New Roman"/>
                <w:sz w:val="20"/>
                <w:szCs w:val="20"/>
                <w:color w:val="auto"/>
              </w:rPr>
              <w:t>Registrant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860" w:type="dxa"/>
            <w:vAlign w:val="bottom"/>
            <w:gridSpan w:val="2"/>
          </w:tcPr>
          <w:p>
            <w:pPr>
              <w:jc w:val="center"/>
              <w:ind w:right="220"/>
              <w:spacing w:after="0" w:line="203" w:lineRule="exact"/>
              <w:rPr>
                <w:sz w:val="20"/>
                <w:szCs w:val="20"/>
                <w:color w:val="auto"/>
              </w:rPr>
            </w:pPr>
            <w:r>
              <w:rPr>
                <w:rFonts w:ascii="Times New Roman" w:cs="Times New Roman" w:eastAsia="Times New Roman" w:hAnsi="Times New Roman"/>
                <w:sz w:val="20"/>
                <w:szCs w:val="20"/>
                <w:color w:val="auto"/>
                <w:w w:val="97"/>
              </w:rPr>
              <w:t>Number</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6"/>
            <w:vMerge w:val="continue"/>
          </w:tcPr>
          <w:p>
            <w:pPr>
              <w:spacing w:after="0"/>
              <w:rPr>
                <w:sz w:val="17"/>
                <w:szCs w:val="17"/>
                <w:color w:val="auto"/>
              </w:rPr>
            </w:pPr>
          </w:p>
        </w:tc>
        <w:tc>
          <w:tcPr>
            <w:tcW w:w="21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David A. Campbell.</w:t>
            </w:r>
          </w:p>
        </w:tc>
        <w:tc>
          <w:tcPr>
            <w:tcW w:w="1780" w:type="dxa"/>
            <w:vAlign w:val="bottom"/>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Rule 13a-14(a)/15d-14(a) Certification of W. Bryan Buckler.</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David A. Campbell.</w:t>
            </w:r>
          </w:p>
        </w:tc>
        <w:tc>
          <w:tcPr>
            <w:tcW w:w="1780" w:type="dxa"/>
            <w:vAlign w:val="bottom"/>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W. Bryan Buckler</w:t>
            </w:r>
          </w:p>
        </w:tc>
        <w:tc>
          <w:tcPr>
            <w:tcW w:w="1920" w:type="dxa"/>
            <w:vAlign w:val="bottom"/>
            <w:gridSpan w:val="2"/>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David A. Campbell.</w:t>
            </w:r>
          </w:p>
        </w:tc>
        <w:tc>
          <w:tcPr>
            <w:tcW w:w="1780" w:type="dxa"/>
            <w:vAlign w:val="bottom"/>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Rule 13a-14(a)/15d-14(a) Certification of W. Bryan Buckler</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32.1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9"/>
              </w:rPr>
              <w:t>Section 1350 Certifications.</w:t>
            </w:r>
          </w:p>
        </w:tc>
        <w:tc>
          <w:tcPr>
            <w:tcW w:w="2520" w:type="dxa"/>
            <w:vAlign w:val="bottom"/>
            <w:tcBorders>
              <w:top w:val="single" w:sz="8" w:color="0000FF"/>
            </w:tcBorders>
            <w:gridSpan w:val="3"/>
          </w:tcPr>
          <w:p>
            <w:pPr>
              <w:spacing w:after="0"/>
              <w:rPr>
                <w:sz w:val="24"/>
                <w:szCs w:val="24"/>
                <w:color w:val="auto"/>
              </w:rPr>
            </w:pPr>
          </w:p>
        </w:tc>
        <w:tc>
          <w:tcPr>
            <w:tcW w:w="1960" w:type="dxa"/>
            <w:vAlign w:val="bottom"/>
            <w:gridSpan w:val="3"/>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32.2</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9"/>
              </w:rPr>
              <w:t>Section 1350 Certifications.</w:t>
            </w:r>
          </w:p>
        </w:tc>
        <w:tc>
          <w:tcPr>
            <w:tcW w:w="4480" w:type="dxa"/>
            <w:vAlign w:val="bottom"/>
            <w:gridSpan w:val="6"/>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32.3</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8"/>
              </w:rPr>
              <w:t>Section 1350 Certifications.</w:t>
            </w:r>
          </w:p>
        </w:tc>
        <w:tc>
          <w:tcPr>
            <w:tcW w:w="4500" w:type="dxa"/>
            <w:vAlign w:val="bottom"/>
            <w:gridSpan w:val="7"/>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378"/>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101.INS</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3"/>
              </w:rPr>
              <w:t>***</w:t>
            </w:r>
          </w:p>
        </w:tc>
        <w:tc>
          <w:tcPr>
            <w:tcW w:w="67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XBRL Instance Document.</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101.SCH</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120" w:type="dxa"/>
            <w:vAlign w:val="bottom"/>
            <w:gridSpan w:val="3"/>
          </w:tcPr>
          <w:p>
            <w:pPr>
              <w:ind w:left="30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101.CAL</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120" w:type="dxa"/>
            <w:vAlign w:val="bottom"/>
            <w:gridSpan w:val="3"/>
          </w:tcPr>
          <w:p>
            <w:pPr>
              <w:ind w:left="30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101.DEF</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120" w:type="dxa"/>
            <w:vAlign w:val="bottom"/>
            <w:gridSpan w:val="3"/>
          </w:tcPr>
          <w:p>
            <w:pPr>
              <w:ind w:left="30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101.LAB</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Extension Labels Linkbase Document.</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120" w:type="dxa"/>
            <w:vAlign w:val="bottom"/>
            <w:gridSpan w:val="3"/>
          </w:tcPr>
          <w:p>
            <w:pPr>
              <w:ind w:left="30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101.PRE</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120" w:type="dxa"/>
            <w:vAlign w:val="bottom"/>
            <w:gridSpan w:val="3"/>
          </w:tcPr>
          <w:p>
            <w:pPr>
              <w:ind w:left="30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120" w:type="dxa"/>
            <w:vAlign w:val="bottom"/>
            <w:gridSpan w:val="3"/>
          </w:tcPr>
          <w:p>
            <w:pPr>
              <w:ind w:left="300"/>
              <w:spacing w:after="0" w:line="215"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bl>
    <w:p>
      <w:pPr>
        <w:ind w:left="8840"/>
        <w:spacing w:after="0"/>
        <w:rPr>
          <w:sz w:val="20"/>
          <w:szCs w:val="20"/>
          <w:color w:val="auto"/>
        </w:rPr>
      </w:pPr>
      <w:r>
        <w:rPr>
          <w:rFonts w:ascii="Times New Roman" w:cs="Times New Roman" w:eastAsia="Times New Roman" w:hAnsi="Times New Roman"/>
          <w:sz w:val="20"/>
          <w:szCs w:val="20"/>
          <w:color w:val="auto"/>
        </w:rPr>
        <w:t>Evergy Metro</w:t>
      </w:r>
    </w:p>
    <w:p>
      <w:pPr>
        <w:spacing w:after="0" w:line="180" w:lineRule="exact"/>
        <w:rPr>
          <w:sz w:val="20"/>
          <w:szCs w:val="20"/>
          <w:color w:val="auto"/>
        </w:rPr>
      </w:pPr>
    </w:p>
    <w:p>
      <w:pPr>
        <w:ind w:right="60" w:firstLine="8"/>
        <w:spacing w:after="0" w:line="261" w:lineRule="auto"/>
        <w:tabs>
          <w:tab w:leader="none" w:pos="14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with the SEC as exhibits to prior SEC filings and are incorporated herein by reference and made a part hereof. The SEC filings and the exhibit number of the documents so filed, and incorporated herein by reference, are stated in parenthesis in the description of such exhibit.</w:t>
      </w:r>
    </w:p>
    <w:p>
      <w:pPr>
        <w:spacing w:after="0" w:line="114" w:lineRule="exact"/>
        <w:rPr>
          <w:sz w:val="20"/>
          <w:szCs w:val="20"/>
          <w:color w:val="auto"/>
        </w:rPr>
      </w:pPr>
    </w:p>
    <w:p>
      <w:pPr>
        <w:jc w:val="both"/>
        <w:ind w:firstLine="8"/>
        <w:spacing w:after="0" w:line="261" w:lineRule="auto"/>
        <w:tabs>
          <w:tab w:leader="none" w:pos="24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and shall not be deemed filed for the purpose of Section 18 of the Exchange Act. Such document shall not be incorporated by reference into any registration statement or other document pursuant to the Exchange Act or the Securities Act of 1933, as amended, unless otherwise indicated in such registration statement or other document.</w:t>
      </w:r>
    </w:p>
    <w:p>
      <w:pPr>
        <w:spacing w:after="0" w:line="100" w:lineRule="exact"/>
        <w:rPr>
          <w:rFonts w:ascii="Times New Roman" w:cs="Times New Roman" w:eastAsia="Times New Roman" w:hAnsi="Times New Roman"/>
          <w:sz w:val="20"/>
          <w:szCs w:val="20"/>
          <w:color w:val="auto"/>
        </w:rPr>
      </w:pPr>
    </w:p>
    <w:p>
      <w:pPr>
        <w:ind w:right="560" w:firstLine="8"/>
        <w:spacing w:after="0" w:line="283" w:lineRule="auto"/>
        <w:tabs>
          <w:tab w:leader="none" w:pos="34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instance document does not appear in the interactive data file because its XBRL tags are embedded within the inline XBRL document.</w:t>
      </w:r>
    </w:p>
    <w:p>
      <w:pPr>
        <w:spacing w:after="0" w:line="79" w:lineRule="exact"/>
        <w:rPr>
          <w:sz w:val="20"/>
          <w:szCs w:val="20"/>
          <w:color w:val="auto"/>
        </w:rPr>
      </w:pPr>
    </w:p>
    <w:p>
      <w:pPr>
        <w:ind w:left="160" w:hanging="152"/>
        <w:spacing w:after="0"/>
        <w:tabs>
          <w:tab w:leader="none" w:pos="1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management contract or compensatory plan or arrangement.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06" w:lineRule="exact"/>
        <w:rPr>
          <w:rFonts w:ascii="Times New Roman" w:cs="Times New Roman" w:eastAsia="Times New Roman" w:hAnsi="Times New Roman"/>
          <w:sz w:val="20"/>
          <w:szCs w:val="20"/>
          <w:color w:val="auto"/>
        </w:rPr>
      </w:pPr>
    </w:p>
    <w:p>
      <w:pPr>
        <w:ind w:left="5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9" w:right="5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Copies of any of the exhibits filed with the SEC in connection with this document may be obtained from Evergy, Evergy Kansas Central or Evergy Metro, as applicable, upon written request.</w:t>
      </w:r>
    </w:p>
    <w:p>
      <w:pPr>
        <w:spacing w:after="0" w:line="79"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The registrants agree to furnish to the SEC upon request any instrument with respect to long-term debt as to which the total amount of securities authorized does not exceed 10% of total assets of such registrant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Evergy, Inc., Evergy Kansas Central, Inc. and Evergy Metro, Inc. have duly caused this report to be signed on their behalf by the undersigned, thereunto duly authorized.</w:t>
      </w:r>
    </w:p>
    <w:p>
      <w:pPr>
        <w:spacing w:after="0" w:line="20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b w:val="1"/>
          <w:bCs w:val="1"/>
          <w:color w:val="auto"/>
        </w:rPr>
        <w:t>EVERGY, INC.</w:t>
      </w:r>
    </w:p>
    <w:p>
      <w:pPr>
        <w:spacing w:after="0" w:line="287" w:lineRule="exact"/>
        <w:rPr>
          <w:sz w:val="20"/>
          <w:szCs w:val="20"/>
          <w:color w:val="auto"/>
        </w:rPr>
      </w:pPr>
    </w:p>
    <w:p>
      <w:pPr>
        <w:ind w:left="20"/>
        <w:spacing w:after="0"/>
        <w:tabs>
          <w:tab w:leader="none" w:pos="880" w:val="left"/>
          <w:tab w:leader="none" w:pos="404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August 6, 2025</w:t>
      </w:r>
      <w:r>
        <w:rPr>
          <w:sz w:val="20"/>
          <w:szCs w:val="20"/>
          <w:color w:val="auto"/>
        </w:rPr>
        <w:tab/>
      </w:r>
      <w:r>
        <w:rPr>
          <w:rFonts w:ascii="Times New Roman" w:cs="Times New Roman" w:eastAsia="Times New Roman" w:hAnsi="Times New Roman"/>
          <w:sz w:val="20"/>
          <w:szCs w:val="20"/>
          <w:u w:val="single" w:color="auto"/>
          <w:color w:val="auto"/>
        </w:rPr>
        <w:t>By: /s/ W. Bryan Buckler</w:t>
      </w:r>
    </w:p>
    <w:p>
      <w:pPr>
        <w:spacing w:after="0" w:line="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(W. Bryan Buckler)</w:t>
      </w:r>
    </w:p>
    <w:p>
      <w:pPr>
        <w:spacing w:after="0" w:line="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34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EVERGY KANSAS CENTRAL, INC.</w:t>
      </w:r>
    </w:p>
    <w:p>
      <w:pPr>
        <w:spacing w:after="0" w:line="287" w:lineRule="exact"/>
        <w:rPr>
          <w:sz w:val="20"/>
          <w:szCs w:val="20"/>
          <w:color w:val="auto"/>
        </w:rPr>
      </w:pPr>
    </w:p>
    <w:p>
      <w:pPr>
        <w:ind w:left="20"/>
        <w:spacing w:after="0"/>
        <w:tabs>
          <w:tab w:leader="none" w:pos="900" w:val="left"/>
          <w:tab w:leader="none" w:pos="406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August 6, 2025</w:t>
      </w:r>
      <w:r>
        <w:rPr>
          <w:sz w:val="20"/>
          <w:szCs w:val="20"/>
          <w:color w:val="auto"/>
        </w:rPr>
        <w:tab/>
      </w:r>
      <w:r>
        <w:rPr>
          <w:rFonts w:ascii="Times New Roman" w:cs="Times New Roman" w:eastAsia="Times New Roman" w:hAnsi="Times New Roman"/>
          <w:sz w:val="20"/>
          <w:szCs w:val="20"/>
          <w:u w:val="single" w:color="auto"/>
          <w:color w:val="auto"/>
        </w:rPr>
        <w:t>By: /s/ W. Bryan Buckler</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(W. Bryan Buckler)</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38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EVERGY METRO, INC.</w:t>
      </w:r>
    </w:p>
    <w:p>
      <w:pPr>
        <w:spacing w:after="0" w:line="287" w:lineRule="exact"/>
        <w:rPr>
          <w:sz w:val="20"/>
          <w:szCs w:val="20"/>
          <w:color w:val="auto"/>
        </w:rPr>
      </w:pPr>
    </w:p>
    <w:p>
      <w:pPr>
        <w:ind w:left="20"/>
        <w:spacing w:after="0"/>
        <w:tabs>
          <w:tab w:leader="none" w:pos="900" w:val="left"/>
          <w:tab w:leader="none" w:pos="406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August 6, 2025</w:t>
      </w:r>
      <w:r>
        <w:rPr>
          <w:sz w:val="20"/>
          <w:szCs w:val="20"/>
          <w:color w:val="auto"/>
        </w:rPr>
        <w:tab/>
      </w:r>
      <w:r>
        <w:rPr>
          <w:rFonts w:ascii="Times New Roman" w:cs="Times New Roman" w:eastAsia="Times New Roman" w:hAnsi="Times New Roman"/>
          <w:sz w:val="20"/>
          <w:szCs w:val="20"/>
          <w:u w:val="single" w:color="auto"/>
          <w:color w:val="auto"/>
        </w:rPr>
        <w:t>By: /s/ W. Bryan Buckler</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(W. Bryan Buckler)</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118" w:right="45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Campbell, certify that:</w:t>
      </w:r>
    </w:p>
    <w:p>
      <w:pPr>
        <w:spacing w:after="0" w:line="252"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Inc.;</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03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04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032"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 w:hanging="644"/>
        <w:spacing w:after="0" w:line="266" w:lineRule="auto"/>
        <w:tabs>
          <w:tab w:leader="none" w:pos="104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60" w:hanging="652"/>
        <w:spacing w:after="0" w:line="282" w:lineRule="auto"/>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740" w:hanging="644"/>
        <w:spacing w:after="0" w:line="312" w:lineRule="auto"/>
        <w:tabs>
          <w:tab w:leader="none" w:pos="1022"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300" w:right="420" w:hanging="644"/>
        <w:spacing w:after="0" w:line="282" w:lineRule="auto"/>
        <w:tabs>
          <w:tab w:leader="none" w:pos="103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August 6, 2025</w:t>
            </w: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David A. Campbell</w:t>
            </w:r>
          </w:p>
        </w:tc>
        <w:tc>
          <w:tcPr>
            <w:tcW w:w="192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3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6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bl>
    <w:p>
      <w:pPr>
        <w:sectPr>
          <w:pgSz w:w="11900" w:h="16838" w:orient="portrait"/>
          <w:cols w:equalWidth="0" w:num="1">
            <w:col w:w="11240"/>
          </w:cols>
          <w:pgMar w:left="320" w:top="89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Bryan Buckler, certify that:</w:t>
      </w:r>
    </w:p>
    <w:p>
      <w:pPr>
        <w:spacing w:after="0" w:line="252"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August 6, 2025</w:t>
            </w: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 Bryan Buckler</w:t>
            </w:r>
          </w:p>
        </w:tc>
      </w:tr>
      <w:tr>
        <w:trPr>
          <w:trHeight w:val="196"/>
        </w:trPr>
        <w:tc>
          <w:tcPr>
            <w:tcW w:w="6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50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 Bryan Buckler</w:t>
            </w:r>
          </w:p>
        </w:tc>
        <w:tc>
          <w:tcPr>
            <w:tcW w:w="2320" w:type="dxa"/>
            <w:vAlign w:val="bottom"/>
          </w:tcPr>
          <w:p>
            <w:pPr>
              <w:spacing w:after="0"/>
              <w:rPr>
                <w:sz w:val="17"/>
                <w:szCs w:val="17"/>
                <w:color w:val="auto"/>
              </w:rPr>
            </w:pPr>
          </w:p>
        </w:tc>
      </w:tr>
      <w:tr>
        <w:trPr>
          <w:trHeight w:val="234"/>
        </w:trPr>
        <w:tc>
          <w:tcPr>
            <w:tcW w:w="6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color w:val="auto"/>
        </w:rPr>
        <w:t>Exhibit 31.3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Metro,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6, 2025</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A. Campbell</w:t>
            </w: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c>
          <w:tcPr>
            <w:tcW w:w="1920" w:type="dxa"/>
            <w:vAlign w:val="bottom"/>
          </w:tcPr>
          <w:p>
            <w:pPr>
              <w:spacing w:after="0"/>
              <w:rPr>
                <w:sz w:val="17"/>
                <w:szCs w:val="17"/>
                <w:color w:val="auto"/>
              </w:rPr>
            </w:pPr>
          </w:p>
        </w:tc>
      </w:tr>
      <w:tr>
        <w:trPr>
          <w:trHeight w:val="234"/>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bl>
    <w:p>
      <w:pPr>
        <w:sectPr>
          <w:pgSz w:w="11900" w:h="16838" w:orient="portrait"/>
          <w:cols w:equalWidth="0" w:num="1">
            <w:col w:w="11240"/>
          </w:cols>
          <w:pgMar w:left="320" w:top="891"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color w:val="auto"/>
        </w:rPr>
        <w:t>Exhibit 31.4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Bryan Buckler, certify that:</w:t>
      </w:r>
    </w:p>
    <w:p>
      <w:pPr>
        <w:spacing w:after="0" w:line="252"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Metro,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August 6, 2025</w:t>
            </w: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 Bryan Buckler</w:t>
            </w: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50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 Bryan Buckler</w:t>
            </w:r>
          </w:p>
        </w:tc>
        <w:tc>
          <w:tcPr>
            <w:tcW w:w="2320" w:type="dxa"/>
            <w:vAlign w:val="bottom"/>
          </w:tcPr>
          <w:p>
            <w:pPr>
              <w:spacing w:after="0"/>
              <w:rPr>
                <w:sz w:val="17"/>
                <w:szCs w:val="17"/>
                <w:color w:val="auto"/>
              </w:rPr>
            </w:pPr>
          </w:p>
        </w:tc>
      </w:tr>
      <w:tr>
        <w:trPr>
          <w:trHeight w:val="234"/>
        </w:trPr>
        <w:tc>
          <w:tcPr>
            <w:tcW w:w="6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color w:val="auto"/>
        </w:rPr>
        <w:t>Exhibit 31.5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Kansas Central,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6, 2025</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A. Campbell</w:t>
            </w: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c>
          <w:tcPr>
            <w:tcW w:w="1920" w:type="dxa"/>
            <w:vAlign w:val="bottom"/>
          </w:tcPr>
          <w:p>
            <w:pPr>
              <w:spacing w:after="0"/>
              <w:rPr>
                <w:sz w:val="17"/>
                <w:szCs w:val="17"/>
                <w:color w:val="auto"/>
              </w:rPr>
            </w:pPr>
          </w:p>
        </w:tc>
      </w:tr>
      <w:tr>
        <w:trPr>
          <w:trHeight w:val="234"/>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bl>
    <w:p>
      <w:pPr>
        <w:sectPr>
          <w:pgSz w:w="11900" w:h="16838" w:orient="portrait"/>
          <w:cols w:equalWidth="0" w:num="1">
            <w:col w:w="11240"/>
          </w:cols>
          <w:pgMar w:left="320" w:top="891"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color w:val="auto"/>
        </w:rPr>
        <w:t>Exhibit 31.6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Bryan Buckler, certify that:</w:t>
      </w:r>
    </w:p>
    <w:p>
      <w:pPr>
        <w:spacing w:after="0" w:line="252"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Kansas Central,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2"/>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571"/>
        <w:spacing w:after="0" w:line="282"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August 6, 2025</w:t>
            </w: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 Bryan Buckler</w:t>
            </w: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50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 Bryan Buckler</w:t>
            </w:r>
          </w:p>
        </w:tc>
        <w:tc>
          <w:tcPr>
            <w:tcW w:w="2320" w:type="dxa"/>
            <w:vAlign w:val="bottom"/>
          </w:tcPr>
          <w:p>
            <w:pPr>
              <w:spacing w:after="0"/>
              <w:rPr>
                <w:sz w:val="17"/>
                <w:szCs w:val="17"/>
                <w:color w:val="auto"/>
              </w:rPr>
            </w:pPr>
          </w:p>
        </w:tc>
      </w:tr>
      <w:tr>
        <w:trPr>
          <w:trHeight w:val="234"/>
        </w:trPr>
        <w:tc>
          <w:tcPr>
            <w:tcW w:w="6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Evergy, Inc. (the "Company") for the quarterly period ended June 30, 2025, as filed with the Securities and Exchange Commission on the date hereof (the "Report"), David A. Campbell, as Chairman, President and Chief Executive Officer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spacing w:after="0" w:line="207" w:lineRule="exact"/>
        <w:rPr>
          <w:sz w:val="20"/>
          <w:szCs w:val="20"/>
          <w:color w:val="auto"/>
        </w:rPr>
      </w:pPr>
    </w:p>
    <w:p>
      <w:pPr>
        <w:ind w:left="820" w:hanging="488"/>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820" w:right="760" w:hanging="488"/>
        <w:spacing w:after="0" w:line="282" w:lineRule="auto"/>
        <w:tabs>
          <w:tab w:leader="none" w:pos="81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David A. Campbell</w:t>
            </w:r>
          </w:p>
        </w:tc>
        <w:tc>
          <w:tcPr>
            <w:tcW w:w="2220" w:type="dxa"/>
            <w:vAlign w:val="bottom"/>
          </w:tcPr>
          <w:p>
            <w:pPr>
              <w:spacing w:after="0"/>
              <w:rPr>
                <w:sz w:val="17"/>
                <w:szCs w:val="17"/>
                <w:color w:val="auto"/>
              </w:rPr>
            </w:pPr>
          </w:p>
        </w:tc>
      </w:tr>
      <w:tr>
        <w:trPr>
          <w:trHeight w:val="196"/>
        </w:trPr>
        <w:tc>
          <w:tcPr>
            <w:tcW w:w="1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6, 2025</w:t>
            </w:r>
          </w:p>
        </w:tc>
      </w:tr>
      <w:tr>
        <w:trPr>
          <w:trHeight w:val="418"/>
        </w:trPr>
        <w:tc>
          <w:tcPr>
            <w:tcW w:w="1460" w:type="dxa"/>
            <w:vAlign w:val="bottom"/>
          </w:tcPr>
          <w:p>
            <w:pPr>
              <w:spacing w:after="0"/>
              <w:rPr>
                <w:sz w:val="24"/>
                <w:szCs w:val="24"/>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W. Bryan Buckler</w:t>
            </w:r>
          </w:p>
        </w:tc>
        <w:tc>
          <w:tcPr>
            <w:tcW w:w="2320" w:type="dxa"/>
            <w:vAlign w:val="bottom"/>
            <w:gridSpan w:val="2"/>
          </w:tcPr>
          <w:p>
            <w:pPr>
              <w:spacing w:after="0"/>
              <w:rPr>
                <w:sz w:val="24"/>
                <w:szCs w:val="24"/>
                <w:color w:val="auto"/>
              </w:rPr>
            </w:pPr>
          </w:p>
        </w:tc>
      </w:tr>
      <w:tr>
        <w:trPr>
          <w:trHeight w:val="196"/>
        </w:trPr>
        <w:tc>
          <w:tcPr>
            <w:tcW w:w="1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W. Bryan Buckler</w:t>
            </w: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6, 2025</w:t>
            </w:r>
          </w:p>
        </w:tc>
      </w:tr>
    </w:tbl>
    <w:p>
      <w:pPr>
        <w:sectPr>
          <w:pgSz w:w="11900" w:h="16838" w:orient="portrait"/>
          <w:cols w:equalWidth="0" w:num="1">
            <w:col w:w="11240"/>
          </w:cols>
          <w:pgMar w:left="320" w:top="891"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Evergy Metro, Inc. (the "Company") for the quarterly period ended June 30, 2025, as filed with the Securities and Exchange Commission on the date hereof (the "Report"), David A. Campbell, as Chairman, President and Chief Executive Officer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spacing w:after="0" w:line="207" w:lineRule="exact"/>
        <w:rPr>
          <w:sz w:val="20"/>
          <w:szCs w:val="20"/>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David A. Campbell</w:t>
            </w:r>
          </w:p>
        </w:tc>
        <w:tc>
          <w:tcPr>
            <w:tcW w:w="2220" w:type="dxa"/>
            <w:vAlign w:val="bottom"/>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6, 2025</w:t>
            </w:r>
          </w:p>
        </w:tc>
      </w:tr>
      <w:tr>
        <w:trPr>
          <w:trHeight w:val="418"/>
        </w:trPr>
        <w:tc>
          <w:tcPr>
            <w:tcW w:w="1500" w:type="dxa"/>
            <w:vAlign w:val="bottom"/>
          </w:tcPr>
          <w:p>
            <w:pPr>
              <w:spacing w:after="0"/>
              <w:rPr>
                <w:sz w:val="24"/>
                <w:szCs w:val="24"/>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W. Bryan Buckler</w:t>
            </w:r>
          </w:p>
        </w:tc>
        <w:tc>
          <w:tcPr>
            <w:tcW w:w="2320" w:type="dxa"/>
            <w:vAlign w:val="bottom"/>
            <w:gridSpan w:val="2"/>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W. Bryan Buckler</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6, 2025</w:t>
            </w:r>
          </w:p>
        </w:tc>
      </w:tr>
    </w:tbl>
    <w:p>
      <w:pPr>
        <w:sectPr>
          <w:pgSz w:w="11900" w:h="16838" w:orient="portrait"/>
          <w:cols w:equalWidth="0" w:num="1">
            <w:col w:w="11240"/>
          </w:cols>
          <w:pgMar w:left="320" w:top="89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color w:val="auto"/>
        </w:rPr>
        <w:t>Exhibit 32.3</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Evergy Kansas Central, Inc. (the "Company") for the quarterly period ended June 30, 2025, as filed with the Securities and Exchange Commission on the date hereof (the "Report"), David A. Campbell, as Chairman, President and Chief Executive Officer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spacing w:after="0" w:line="207" w:lineRule="exact"/>
        <w:rPr>
          <w:sz w:val="20"/>
          <w:szCs w:val="20"/>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David A. Campbell</w:t>
            </w:r>
          </w:p>
        </w:tc>
        <w:tc>
          <w:tcPr>
            <w:tcW w:w="2220" w:type="dxa"/>
            <w:vAlign w:val="bottom"/>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6, 2025</w:t>
            </w:r>
          </w:p>
        </w:tc>
      </w:tr>
      <w:tr>
        <w:trPr>
          <w:trHeight w:val="418"/>
        </w:trPr>
        <w:tc>
          <w:tcPr>
            <w:tcW w:w="1500" w:type="dxa"/>
            <w:vAlign w:val="bottom"/>
          </w:tcPr>
          <w:p>
            <w:pPr>
              <w:spacing w:after="0"/>
              <w:rPr>
                <w:sz w:val="24"/>
                <w:szCs w:val="24"/>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W. Bryan Buckler</w:t>
            </w:r>
          </w:p>
        </w:tc>
        <w:tc>
          <w:tcPr>
            <w:tcW w:w="2320" w:type="dxa"/>
            <w:vAlign w:val="bottom"/>
            <w:gridSpan w:val="2"/>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W. Bryan Buckler</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6, 2025</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lowerLetter"/>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4"/>
    </w:lvl>
    <w:lvl w:ilvl="1">
      <w:lvlJc w:val="left"/>
      <w:lvlText w:val="•"/>
      <w:numFmt w:val="bullet"/>
      <w:start w:val="1"/>
    </w:lvl>
  </w:abstractNum>
  <w:abstractNum w:abstractNumId="6">
    <w:nsid w:val="3A95F874"/>
    <w:multiLevelType w:val="hybridMultilevel"/>
    <w:lvl w:ilvl="0">
      <w:lvlJc w:val="left"/>
      <w:lvlText w:val="(%1)"/>
      <w:numFmt w:val="lowerLetter"/>
      <w:start w:val="1"/>
    </w:lvl>
  </w:abstractNum>
  <w:abstractNum w:abstractNumId="7">
    <w:nsid w:val="8138641"/>
    <w:multiLevelType w:val="hybridMultilevel"/>
    <w:lvl w:ilvl="0">
      <w:lvlJc w:val="left"/>
      <w:lvlText w:val="(%1)"/>
      <w:numFmt w:val="lowerLetter"/>
      <w:start w:val="1"/>
    </w:lvl>
  </w:abstractNum>
  <w:abstractNum w:abstractNumId="8">
    <w:nsid w:val="1E7FF521"/>
    <w:multiLevelType w:val="hybridMultilevel"/>
    <w:lvl w:ilvl="0">
      <w:lvlJc w:val="left"/>
      <w:lvlText w:val="(%1)"/>
      <w:numFmt w:val="lowerLetter"/>
      <w:start w:val="1"/>
    </w:lvl>
  </w:abstractNum>
  <w:abstractNum w:abstractNumId="9">
    <w:nsid w:val="7C3DBD3D"/>
    <w:multiLevelType w:val="hybridMultilevel"/>
    <w:lvl w:ilvl="0">
      <w:lvlJc w:val="left"/>
      <w:lvlText w:val="(%1)"/>
      <w:numFmt w:val="lowerLetter"/>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lowerRoman"/>
      <w:start w:val="1"/>
    </w:lvl>
  </w:abstractNum>
  <w:abstractNum w:abstractNumId="12">
    <w:nsid w:val="22221A70"/>
    <w:multiLevelType w:val="hybridMultilevel"/>
    <w:lvl w:ilvl="0">
      <w:lvlJc w:val="left"/>
      <w:lvlText w:val="(%1)"/>
      <w:numFmt w:val="lowerLetter"/>
      <w:start w:val="1"/>
    </w:lvl>
  </w:abstractNum>
  <w:abstractNum w:abstractNumId="13">
    <w:nsid w:val="4516DDE9"/>
    <w:multiLevelType w:val="hybridMultilevel"/>
    <w:lvl w:ilvl="0">
      <w:lvlJc w:val="left"/>
      <w:lvlText w:val="(%1)"/>
      <w:numFmt w:val="lowerLetter"/>
      <w:start w:val="1"/>
    </w:lvl>
  </w:abstractNum>
  <w:abstractNum w:abstractNumId="14">
    <w:nsid w:val="3006C83E"/>
    <w:multiLevelType w:val="hybridMultilevel"/>
    <w:lvl w:ilvl="0">
      <w:lvlJc w:val="left"/>
      <w:lvlText w:val="(%1)"/>
      <w:numFmt w:val="lowerLetter"/>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lvl w:ilvl="1">
      <w:lvlJc w:val="left"/>
      <w:lvlText w:val="◦"/>
      <w:numFmt w:val="bullet"/>
      <w:start w:val="1"/>
    </w:lvl>
  </w:abstractNum>
  <w:abstractNum w:abstractNumId="26">
    <w:nsid w:val="51EAD36B"/>
    <w:multiLevelType w:val="hybridMultilevel"/>
    <w:lvl w:ilvl="0">
      <w:lvlJc w:val="left"/>
      <w:lvlText w:val="(%1)"/>
      <w:numFmt w:val="lowerLetter"/>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1)"/>
      <w:numFmt w:val="lowerLetter"/>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1)"/>
      <w:numFmt w:val="lowerLetter"/>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decimal"/>
      <w:start w:val="1"/>
    </w:lvl>
    <w:lvl w:ilvl="1">
      <w:lvlJc w:val="left"/>
      <w:lvlText w:val="(%2)"/>
      <w:numFmt w:val="lowerLetter"/>
      <w:start w:val="1"/>
    </w:lvl>
  </w:abstractNum>
  <w:abstractNum w:abstractNumId="44">
    <w:nsid w:val="32FFF902"/>
    <w:multiLevelType w:val="hybridMultilevel"/>
    <w:lvl w:ilvl="0">
      <w:lvlJc w:val="left"/>
      <w:lvlText w:val="%1."/>
      <w:numFmt w:val="decimal"/>
      <w:start w:val="1"/>
    </w:lvl>
    <w:lvl w:ilvl="1">
      <w:lvlJc w:val="left"/>
      <w:lvlText w:val="(%2)"/>
      <w:numFmt w:val="lowerLetter"/>
      <w:start w:val="1"/>
    </w:lvl>
  </w:abstractNum>
  <w:abstractNum w:abstractNumId="45">
    <w:nsid w:val="684A481A"/>
    <w:multiLevelType w:val="hybridMultilevel"/>
    <w:lvl w:ilvl="0">
      <w:lvlJc w:val="left"/>
      <w:lvlText w:val="%1."/>
      <w:numFmt w:val="decimal"/>
      <w:start w:val="1"/>
    </w:lvl>
    <w:lvl w:ilvl="1">
      <w:lvlJc w:val="left"/>
      <w:lvlText w:val="(%2)"/>
      <w:numFmt w:val="lowerLetter"/>
      <w:start w:val="1"/>
    </w:lvl>
  </w:abstractNum>
  <w:abstractNum w:abstractNumId="46">
    <w:nsid w:val="579478FE"/>
    <w:multiLevelType w:val="hybridMultilevel"/>
    <w:lvl w:ilvl="0">
      <w:lvlJc w:val="left"/>
      <w:lvlText w:val="%1."/>
      <w:numFmt w:val="decimal"/>
      <w:start w:val="1"/>
    </w:lvl>
    <w:lvl w:ilvl="1">
      <w:lvlJc w:val="left"/>
      <w:lvlText w:val="(%2)"/>
      <w:numFmt w:val="lowerLetter"/>
      <w:start w:val="1"/>
    </w:lvl>
  </w:abstractNum>
  <w:abstractNum w:abstractNumId="47">
    <w:nsid w:val="749ABB43"/>
    <w:multiLevelType w:val="hybridMultilevel"/>
    <w:lvl w:ilvl="0">
      <w:lvlJc w:val="left"/>
      <w:lvlText w:val="%1."/>
      <w:numFmt w:val="decimal"/>
      <w:start w:val="1"/>
    </w:lvl>
    <w:lvl w:ilvl="1">
      <w:lvlJc w:val="left"/>
      <w:lvlText w:val="(%2)"/>
      <w:numFmt w:val="lowerLetter"/>
      <w:start w:val="1"/>
    </w:lvl>
  </w:abstractNum>
  <w:abstractNum w:abstractNumId="48">
    <w:nsid w:val="3DC240F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9">
    <w:nsid w:val="1BA026FA"/>
    <w:multiLevelType w:val="hybridMultilevel"/>
    <w:lvl w:ilvl="0">
      <w:lvlJc w:val="left"/>
      <w:lvlText w:val="(%1)"/>
      <w:numFmt w:val="decimal"/>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2025-08-07T05:32:25Z</dcterms:created>
  <dcterms:modified xsi:type="dcterms:W3CDTF">2025-08-07T05:32:25Z</dcterms:modified>
</cp:coreProperties>
</file>