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b w:val="1"/>
          <w:bCs w:val="1"/>
          <w:color w:val="auto"/>
        </w:rPr>
        <w:t>__________________________________________________________________________________________</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________________________________________________________________________________________________________________________</w:t>
      </w:r>
    </w:p>
    <w:p>
      <w:pPr>
        <w:spacing w:after="0" w:line="230" w:lineRule="exact"/>
        <w:rPr>
          <w:sz w:val="24"/>
          <w:szCs w:val="24"/>
          <w:color w:val="auto"/>
        </w:rPr>
      </w:pPr>
    </w:p>
    <w:p>
      <w:pPr>
        <w:jc w:val="center"/>
        <w:ind w:right="60"/>
        <w:spacing w:after="0"/>
        <w:rPr>
          <w:sz w:val="20"/>
          <w:szCs w:val="20"/>
          <w:color w:val="auto"/>
        </w:rPr>
      </w:pPr>
      <w:r>
        <w:rPr>
          <w:rFonts w:ascii="Arial" w:cs="Arial" w:eastAsia="Arial" w:hAnsi="Arial"/>
          <w:sz w:val="32"/>
          <w:szCs w:val="32"/>
          <w:b w:val="1"/>
          <w:bCs w:val="1"/>
          <w:color w:val="auto"/>
        </w:rPr>
        <w:t>FORM 8-K</w:t>
      </w:r>
    </w:p>
    <w:p>
      <w:pPr>
        <w:spacing w:after="0" w:line="13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________________________________________________________________________________________________________________________</w:t>
      </w:r>
    </w:p>
    <w:p>
      <w:pPr>
        <w:spacing w:after="0" w:line="49" w:lineRule="exact"/>
        <w:rPr>
          <w:sz w:val="24"/>
          <w:szCs w:val="24"/>
          <w:color w:val="auto"/>
        </w:rPr>
      </w:pPr>
    </w:p>
    <w:p>
      <w:pPr>
        <w:ind w:left="3860"/>
        <w:spacing w:after="0"/>
        <w:rPr>
          <w:sz w:val="20"/>
          <w:szCs w:val="20"/>
          <w:color w:val="auto"/>
        </w:rPr>
      </w:pPr>
      <w:r>
        <w:rPr>
          <w:rFonts w:ascii="Arial" w:cs="Arial" w:eastAsia="Arial" w:hAnsi="Arial"/>
          <w:sz w:val="22"/>
          <w:szCs w:val="22"/>
          <w:b w:val="1"/>
          <w:bCs w:val="1"/>
          <w:color w:val="auto"/>
        </w:rPr>
        <w:t>CURRENT REPORT</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09"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Date of report (Date of earliest event reported): October 25, 2019</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________________________________________________________________________________________________________________________</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Evergy, Inc.</w:t>
      </w:r>
    </w:p>
    <w:p>
      <w:pPr>
        <w:spacing w:after="0" w:line="6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95"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__________________________________________________________________________________________</w:t>
      </w:r>
    </w:p>
    <w:p>
      <w:pPr>
        <w:sectPr>
          <w:pgSz w:w="11900" w:h="16838" w:orient="portrait"/>
          <w:cols w:equalWidth="0" w:num="1">
            <w:col w:w="9720"/>
          </w:cols>
          <w:pgMar w:left="1100" w:top="544" w:right="1079" w:bottom="1440" w:gutter="0" w:footer="0" w:header="0"/>
        </w:sectPr>
      </w:pPr>
    </w:p>
    <w:p>
      <w:pPr>
        <w:spacing w:after="0" w:line="308" w:lineRule="exact"/>
        <w:rPr>
          <w:sz w:val="24"/>
          <w:szCs w:val="24"/>
          <w:color w:val="auto"/>
        </w:rPr>
      </w:pPr>
    </w:p>
    <w:p>
      <w:pPr>
        <w:ind w:left="1340"/>
        <w:spacing w:after="0"/>
        <w:rPr>
          <w:sz w:val="20"/>
          <w:szCs w:val="20"/>
          <w:color w:val="auto"/>
        </w:rPr>
      </w:pPr>
      <w:r>
        <w:rPr>
          <w:rFonts w:ascii="Arial" w:cs="Arial" w:eastAsia="Arial" w:hAnsi="Arial"/>
          <w:sz w:val="17"/>
          <w:szCs w:val="17"/>
          <w:color w:val="auto"/>
        </w:rPr>
        <w:t>Missouri</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jc w:val="center"/>
        <w:ind w:right="1640"/>
        <w:spacing w:after="0"/>
        <w:rPr>
          <w:sz w:val="20"/>
          <w:szCs w:val="20"/>
          <w:color w:val="auto"/>
        </w:rPr>
      </w:pPr>
      <w:r>
        <w:rPr>
          <w:rFonts w:ascii="Arial" w:cs="Arial" w:eastAsia="Arial" w:hAnsi="Arial"/>
          <w:sz w:val="16"/>
          <w:szCs w:val="16"/>
          <w:color w:val="auto"/>
        </w:rPr>
        <w:t>001-38515</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6"/>
          <w:szCs w:val="16"/>
          <w:color w:val="auto"/>
        </w:rPr>
        <w:t>82-2733395</w:t>
      </w:r>
    </w:p>
    <w:p>
      <w:pPr>
        <w:spacing w:after="0" w:line="77" w:lineRule="exact"/>
        <w:rPr>
          <w:sz w:val="24"/>
          <w:szCs w:val="24"/>
          <w:color w:val="auto"/>
        </w:rPr>
      </w:pPr>
    </w:p>
    <w:p>
      <w:pPr>
        <w:sectPr>
          <w:pgSz w:w="11900" w:h="16838" w:orient="portrait"/>
          <w:cols w:equalWidth="0" w:num="3">
            <w:col w:w="3840" w:space="720"/>
            <w:col w:w="2420" w:space="720"/>
            <w:col w:w="2020"/>
          </w:cols>
          <w:pgMar w:left="1100" w:top="544" w:right="1079" w:bottom="1440" w:gutter="0" w:footer="0" w:header="0"/>
          <w:type w:val="continuous"/>
        </w:sectPr>
      </w:pPr>
    </w:p>
    <w:p>
      <w:pPr>
        <w:jc w:val="center"/>
        <w:ind w:right="50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3800" w:space="720"/>
            <w:col w:w="2340" w:space="720"/>
            <w:col w:w="2140"/>
          </w:cols>
          <w:pgMar w:left="1100" w:top="544" w:right="1079" w:bottom="1440" w:gutter="0" w:footer="0" w:header="0"/>
          <w:type w:val="continuous"/>
        </w:sectPr>
      </w:pPr>
    </w:p>
    <w:p>
      <w:pPr>
        <w:spacing w:after="0" w:line="5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1200 Main Street</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Kansas City, Missouri 64105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(816) 556-2200</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NOT APPLICABLE</w:t>
      </w:r>
    </w:p>
    <w:p>
      <w:pPr>
        <w:spacing w:after="0" w:line="78" w:lineRule="exact"/>
        <w:rPr>
          <w:sz w:val="24"/>
          <w:szCs w:val="24"/>
          <w:color w:val="auto"/>
        </w:rPr>
      </w:pPr>
    </w:p>
    <w:p>
      <w:pPr>
        <w:jc w:val="center"/>
        <w:ind w:right="6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9720"/>
          </w:cols>
          <w:pgMar w:left="1100" w:top="544" w:right="1079" w:bottom="1440" w:gutter="0" w:footer="0" w:header="0"/>
          <w:type w:val="continuous"/>
        </w:sectPr>
      </w:pPr>
    </w:p>
    <w:p>
      <w:pPr>
        <w:spacing w:after="0" w:line="12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__________________________________________________________________________________________</w:t>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Evergy Kansas Central, Inc.</w:t>
      </w:r>
    </w:p>
    <w:p>
      <w:pPr>
        <w:spacing w:after="0" w:line="69" w:lineRule="exact"/>
        <w:rPr>
          <w:sz w:val="24"/>
          <w:szCs w:val="24"/>
          <w:color w:val="auto"/>
        </w:rPr>
      </w:pPr>
    </w:p>
    <w:p>
      <w:pPr>
        <w:jc w:val="center"/>
        <w:ind w:right="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33" w:lineRule="exact"/>
        <w:rPr>
          <w:sz w:val="24"/>
          <w:szCs w:val="24"/>
          <w:color w:val="auto"/>
        </w:rPr>
      </w:pPr>
    </w:p>
    <w:p>
      <w:pPr>
        <w:ind w:left="60"/>
        <w:spacing w:after="0"/>
        <w:rPr>
          <w:sz w:val="20"/>
          <w:szCs w:val="20"/>
          <w:color w:val="auto"/>
        </w:rPr>
      </w:pPr>
      <w:r>
        <w:rPr>
          <w:rFonts w:ascii="Arial" w:cs="Arial" w:eastAsia="Arial" w:hAnsi="Arial"/>
          <w:sz w:val="19"/>
          <w:szCs w:val="19"/>
          <w:color w:val="auto"/>
        </w:rPr>
        <w:t>_________________________________________________________________________________________</w:t>
      </w:r>
    </w:p>
    <w:p>
      <w:pPr>
        <w:sectPr>
          <w:pgSz w:w="11900" w:h="16838" w:orient="portrait"/>
          <w:cols w:equalWidth="0" w:num="1">
            <w:col w:w="9720"/>
          </w:cols>
          <w:pgMar w:left="1100" w:top="544" w:right="1079" w:bottom="1440" w:gutter="0" w:footer="0" w:header="0"/>
          <w:type w:val="continuous"/>
        </w:sectPr>
      </w:pPr>
    </w:p>
    <w:p>
      <w:pPr>
        <w:spacing w:after="0" w:line="207" w:lineRule="exact"/>
        <w:rPr>
          <w:sz w:val="24"/>
          <w:szCs w:val="24"/>
          <w:color w:val="auto"/>
        </w:rPr>
      </w:pPr>
    </w:p>
    <w:p>
      <w:pPr>
        <w:ind w:left="1400"/>
        <w:spacing w:after="0"/>
        <w:rPr>
          <w:sz w:val="20"/>
          <w:szCs w:val="20"/>
          <w:color w:val="auto"/>
        </w:rPr>
      </w:pPr>
      <w:r>
        <w:rPr>
          <w:rFonts w:ascii="Arial" w:cs="Arial" w:eastAsia="Arial" w:hAnsi="Arial"/>
          <w:sz w:val="15"/>
          <w:szCs w:val="15"/>
          <w:color w:val="auto"/>
        </w:rPr>
        <w:t>Kansas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640"/>
        <w:spacing w:after="0"/>
        <w:rPr>
          <w:sz w:val="20"/>
          <w:szCs w:val="20"/>
          <w:color w:val="auto"/>
        </w:rPr>
      </w:pPr>
      <w:r>
        <w:rPr>
          <w:rFonts w:ascii="Arial" w:cs="Arial" w:eastAsia="Arial" w:hAnsi="Arial"/>
          <w:sz w:val="16"/>
          <w:szCs w:val="16"/>
          <w:color w:val="auto"/>
        </w:rPr>
        <w:t>001-03523</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6"/>
          <w:szCs w:val="16"/>
          <w:color w:val="auto"/>
        </w:rPr>
        <w:t>48-0290150</w:t>
      </w:r>
    </w:p>
    <w:p>
      <w:pPr>
        <w:spacing w:after="0" w:line="78" w:lineRule="exact"/>
        <w:rPr>
          <w:sz w:val="24"/>
          <w:szCs w:val="24"/>
          <w:color w:val="auto"/>
        </w:rPr>
      </w:pPr>
    </w:p>
    <w:p>
      <w:pPr>
        <w:sectPr>
          <w:pgSz w:w="11900" w:h="16838" w:orient="portrait"/>
          <w:cols w:equalWidth="0" w:num="3">
            <w:col w:w="3840" w:space="720"/>
            <w:col w:w="2420" w:space="720"/>
            <w:col w:w="2020"/>
          </w:cols>
          <w:pgMar w:left="1100" w:top="544" w:right="1079" w:bottom="1440" w:gutter="0" w:footer="0" w:header="0"/>
          <w:type w:val="continuous"/>
        </w:sectPr>
      </w:pPr>
    </w:p>
    <w:p>
      <w:pPr>
        <w:jc w:val="center"/>
        <w:ind w:right="50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4"/>
          <w:szCs w:val="24"/>
          <w:color w:val="auto"/>
        </w:rPr>
      </w:pPr>
    </w:p>
    <w:p>
      <w:pPr>
        <w:jc w:val="center"/>
        <w:ind w:right="5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3800" w:space="720"/>
            <w:col w:w="2340" w:space="720"/>
            <w:col w:w="2140"/>
          </w:cols>
          <w:pgMar w:left="1100" w:top="544" w:right="1079" w:bottom="1440" w:gutter="0" w:footer="0" w:header="0"/>
          <w:type w:val="continuous"/>
        </w:sectPr>
      </w:pPr>
    </w:p>
    <w:p>
      <w:pPr>
        <w:spacing w:after="0" w:line="3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818 South Kansas Avenue</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Topeka, Kansas 66612</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21"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(785) 575-6300</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5"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Westar Energy, Inc.</w:t>
      </w:r>
    </w:p>
    <w:p>
      <w:pPr>
        <w:spacing w:after="0" w:line="78" w:lineRule="exact"/>
        <w:rPr>
          <w:sz w:val="24"/>
          <w:szCs w:val="24"/>
          <w:color w:val="auto"/>
        </w:rPr>
      </w:pPr>
    </w:p>
    <w:p>
      <w:pPr>
        <w:jc w:val="center"/>
        <w:ind w:right="6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9720"/>
          </w:cols>
          <w:pgMar w:left="1100" w:top="544" w:right="1079" w:bottom="1440" w:gutter="0" w:footer="0" w:header="0"/>
          <w:type w:val="continuous"/>
        </w:sectPr>
      </w:pPr>
    </w:p>
    <w:bookmarkStart w:id="1" w:name="page2"/>
    <w:bookmarkEnd w:id="1"/>
    <w:p>
      <w:pPr>
        <w:ind w:left="860"/>
        <w:spacing w:after="0"/>
        <w:rPr>
          <w:sz w:val="20"/>
          <w:szCs w:val="20"/>
          <w:color w:val="auto"/>
        </w:rPr>
      </w:pPr>
      <w:r>
        <w:rPr>
          <w:rFonts w:ascii="Arial" w:cs="Arial" w:eastAsia="Arial" w:hAnsi="Arial"/>
          <w:sz w:val="19"/>
          <w:szCs w:val="19"/>
          <w:b w:val="1"/>
          <w:bCs w:val="1"/>
          <w:color w:val="auto"/>
        </w:rPr>
        <w:t>__________________________________________________________________________________________</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40"/>
          <w:szCs w:val="40"/>
          <w:b w:val="1"/>
          <w:bCs w:val="1"/>
          <w:color w:val="auto"/>
        </w:rPr>
        <w:t>Evergy Metro, Inc.</w:t>
      </w:r>
    </w:p>
    <w:p>
      <w:pPr>
        <w:spacing w:after="0" w:line="6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33" w:lineRule="exact"/>
        <w:rPr>
          <w:sz w:val="20"/>
          <w:szCs w:val="20"/>
          <w:color w:val="auto"/>
        </w:rPr>
      </w:pPr>
    </w:p>
    <w:p>
      <w:pPr>
        <w:ind w:left="820"/>
        <w:spacing w:after="0"/>
        <w:rPr>
          <w:sz w:val="20"/>
          <w:szCs w:val="20"/>
          <w:color w:val="auto"/>
        </w:rPr>
      </w:pPr>
      <w:r>
        <w:rPr>
          <w:rFonts w:ascii="Arial" w:cs="Arial" w:eastAsia="Arial" w:hAnsi="Arial"/>
          <w:sz w:val="19"/>
          <w:szCs w:val="19"/>
          <w:color w:val="auto"/>
        </w:rPr>
        <w:t>__________________________________________________________________________________________</w:t>
      </w:r>
    </w:p>
    <w:p>
      <w:pPr>
        <w:sectPr>
          <w:pgSz w:w="11900" w:h="16838" w:orient="portrait"/>
          <w:cols w:equalWidth="0" w:num="1">
            <w:col w:w="11420"/>
          </w:cols>
          <w:pgMar w:left="240" w:top="436" w:right="239" w:bottom="1440" w:gutter="0" w:footer="0" w:header="0"/>
        </w:sectPr>
      </w:pPr>
    </w:p>
    <w:p>
      <w:pPr>
        <w:spacing w:after="0" w:line="234" w:lineRule="exact"/>
        <w:rPr>
          <w:sz w:val="20"/>
          <w:szCs w:val="20"/>
          <w:color w:val="auto"/>
        </w:rPr>
      </w:pPr>
    </w:p>
    <w:p>
      <w:pPr>
        <w:ind w:left="2200"/>
        <w:spacing w:after="0"/>
        <w:rPr>
          <w:sz w:val="20"/>
          <w:szCs w:val="20"/>
          <w:color w:val="auto"/>
        </w:rPr>
      </w:pPr>
      <w:r>
        <w:rPr>
          <w:rFonts w:ascii="Arial" w:cs="Arial" w:eastAsia="Arial" w:hAnsi="Arial"/>
          <w:sz w:val="17"/>
          <w:szCs w:val="17"/>
          <w:color w:val="auto"/>
        </w:rPr>
        <w:t>Missouri</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1640"/>
        <w:spacing w:after="0"/>
        <w:rPr>
          <w:sz w:val="20"/>
          <w:szCs w:val="20"/>
          <w:color w:val="auto"/>
        </w:rPr>
      </w:pPr>
      <w:r>
        <w:rPr>
          <w:rFonts w:ascii="Arial" w:cs="Arial" w:eastAsia="Arial" w:hAnsi="Arial"/>
          <w:sz w:val="16"/>
          <w:szCs w:val="16"/>
          <w:color w:val="auto"/>
        </w:rPr>
        <w:t>000-51873</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44-0308720</w:t>
      </w:r>
    </w:p>
    <w:p>
      <w:pPr>
        <w:spacing w:after="0" w:line="77" w:lineRule="exact"/>
        <w:rPr>
          <w:sz w:val="20"/>
          <w:szCs w:val="20"/>
          <w:color w:val="auto"/>
        </w:rPr>
      </w:pPr>
    </w:p>
    <w:p>
      <w:pPr>
        <w:sectPr>
          <w:pgSz w:w="11900" w:h="16838" w:orient="portrait"/>
          <w:cols w:equalWidth="0" w:num="3">
            <w:col w:w="4700" w:space="720"/>
            <w:col w:w="2420" w:space="720"/>
            <w:col w:w="2860"/>
          </w:cols>
          <w:pgMar w:left="240" w:top="436" w:right="239" w:bottom="1440" w:gutter="0" w:footer="0" w:header="0"/>
          <w:type w:val="continuous"/>
        </w:sectPr>
      </w:pPr>
    </w:p>
    <w:p>
      <w:pPr>
        <w:jc w:val="center"/>
        <w:ind w:left="360"/>
        <w:spacing w:after="0"/>
        <w:rPr>
          <w:sz w:val="20"/>
          <w:szCs w:val="20"/>
          <w:color w:val="auto"/>
        </w:rPr>
      </w:pPr>
      <w:r>
        <w:rPr>
          <w:rFonts w:ascii="Arial" w:cs="Arial" w:eastAsia="Arial" w:hAnsi="Arial"/>
          <w:sz w:val="13"/>
          <w:szCs w:val="13"/>
          <w:b w:val="1"/>
          <w:bCs w:val="1"/>
          <w:color w:val="auto"/>
        </w:rPr>
        <w:t>(State or Other Jurisdiction</w:t>
      </w:r>
    </w:p>
    <w:p>
      <w:pPr>
        <w:spacing w:after="0" w:line="15"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0"/>
          <w:szCs w:val="20"/>
          <w:color w:val="auto"/>
        </w:rPr>
      </w:pPr>
      <w:r>
        <w:rPr>
          <w:sz w:val="20"/>
          <w:szCs w:val="20"/>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0"/>
          <w:szCs w:val="20"/>
          <w:color w:val="auto"/>
        </w:rPr>
      </w:pPr>
    </w:p>
    <w:p>
      <w:pPr>
        <w:sectPr>
          <w:pgSz w:w="11900" w:h="16838" w:orient="portrait"/>
          <w:cols w:equalWidth="0" w:num="3">
            <w:col w:w="4660" w:space="720"/>
            <w:col w:w="2340" w:space="720"/>
            <w:col w:w="2980"/>
          </w:cols>
          <w:pgMar w:left="240" w:top="436" w:right="239" w:bottom="1440" w:gutter="0" w:footer="0" w:header="0"/>
          <w:type w:val="continuous"/>
        </w:sectPr>
      </w:pPr>
    </w:p>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1200 Main Street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Kansas City, Missouri 64105</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(816) 556-2200</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Kansas City Power &amp; Light Company</w:t>
      </w:r>
    </w:p>
    <w:p>
      <w:pPr>
        <w:spacing w:after="0" w:line="66"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ectPr>
          <w:pgSz w:w="11900" w:h="16838" w:orient="portrait"/>
          <w:cols w:equalWidth="0" w:num="1">
            <w:col w:w="11420"/>
          </w:cols>
          <w:pgMar w:left="240" w:top="436" w:right="239"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238" w:lineRule="exact"/>
        <w:rPr>
          <w:sz w:val="20"/>
          <w:szCs w:val="20"/>
          <w:color w:val="auto"/>
        </w:rPr>
      </w:pPr>
    </w:p>
    <w:p>
      <w:pPr>
        <w:ind w:left="960" w:hanging="466"/>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MS PGothic" w:cs="MS PGothic" w:eastAsia="MS PGothic" w:hAnsi="MS PGothic"/>
          <w:sz w:val="18"/>
          <w:szCs w:val="18"/>
          <w:color w:val="auto"/>
        </w:rPr>
      </w:pPr>
    </w:p>
    <w:p>
      <w:pPr>
        <w:ind w:left="960" w:hanging="466"/>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960" w:hanging="466"/>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98" w:lineRule="exact"/>
        <w:rPr>
          <w:rFonts w:ascii="MS PGothic" w:cs="MS PGothic" w:eastAsia="MS PGothic" w:hAnsi="MS PGothic"/>
          <w:sz w:val="18"/>
          <w:szCs w:val="18"/>
          <w:color w:val="auto"/>
        </w:rPr>
      </w:pPr>
    </w:p>
    <w:p>
      <w:pPr>
        <w:ind w:right="2500" w:firstLine="494"/>
        <w:spacing w:after="0" w:line="478" w:lineRule="auto"/>
        <w:tabs>
          <w:tab w:leader="none" w:pos="9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 Securities registered pursuant to Section 12(b) of the Act:</w:t>
      </w:r>
    </w:p>
    <w:tbl>
      <w:tblPr>
        <w:tblLayout w:type="fixed"/>
        <w:tblInd w:w="790" w:type="dxa"/>
        <w:tblCellMar>
          <w:top w:w="0" w:type="dxa"/>
          <w:left w:w="0" w:type="dxa"/>
          <w:bottom w:w="0" w:type="dxa"/>
          <w:right w:w="0" w:type="dxa"/>
        </w:tblCellMar>
      </w:tblPr>
      <w:tr>
        <w:trPr>
          <w:trHeight w:val="237"/>
        </w:trPr>
        <w:tc>
          <w:tcPr>
            <w:tcW w:w="3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4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r>
        <w:trPr>
          <w:trHeight w:val="237"/>
        </w:trPr>
        <w:tc>
          <w:tcPr>
            <w:tcW w:w="3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Evergy, Inc. common stock</w:t>
            </w:r>
          </w:p>
        </w:tc>
        <w:tc>
          <w:tcPr>
            <w:tcW w:w="24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EVRG</w:t>
            </w:r>
          </w:p>
        </w:tc>
        <w:tc>
          <w:tcPr>
            <w:tcW w:w="3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r>
        <w:trPr>
          <w:trHeight w:val="27"/>
        </w:trPr>
        <w:tc>
          <w:tcPr>
            <w:tcW w:w="3740" w:type="dxa"/>
            <w:vAlign w:val="bottom"/>
            <w:tcBorders>
              <w:left w:val="single" w:sz="8" w:color="auto"/>
              <w:bottom w:val="single" w:sz="8" w:color="auto"/>
              <w:right w:val="single" w:sz="8" w:color="auto"/>
            </w:tcBorders>
          </w:tcPr>
          <w:p>
            <w:pPr>
              <w:spacing w:after="0"/>
              <w:rPr>
                <w:sz w:val="2"/>
                <w:szCs w:val="2"/>
                <w:color w:val="auto"/>
              </w:rPr>
            </w:pPr>
          </w:p>
        </w:tc>
        <w:tc>
          <w:tcPr>
            <w:tcW w:w="2440" w:type="dxa"/>
            <w:vAlign w:val="bottom"/>
            <w:tcBorders>
              <w:bottom w:val="single" w:sz="8" w:color="auto"/>
              <w:right w:val="single" w:sz="8" w:color="auto"/>
            </w:tcBorders>
          </w:tcPr>
          <w:p>
            <w:pPr>
              <w:spacing w:after="0"/>
              <w:rPr>
                <w:sz w:val="2"/>
                <w:szCs w:val="2"/>
                <w:color w:val="auto"/>
              </w:rPr>
            </w:pPr>
          </w:p>
        </w:tc>
        <w:tc>
          <w:tcPr>
            <w:tcW w:w="3720" w:type="dxa"/>
            <w:vAlign w:val="bottom"/>
            <w:tcBorders>
              <w:bottom w:val="single" w:sz="8" w:color="auto"/>
              <w:right w:val="single" w:sz="8" w:color="auto"/>
            </w:tcBorders>
          </w:tcPr>
          <w:p>
            <w:pPr>
              <w:spacing w:after="0"/>
              <w:rPr>
                <w:sz w:val="2"/>
                <w:szCs w:val="2"/>
                <w:color w:val="auto"/>
              </w:rPr>
            </w:pPr>
          </w:p>
        </w:tc>
      </w:tr>
    </w:tbl>
    <w:p>
      <w:pPr>
        <w:spacing w:after="0" w:line="9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2" w:lineRule="exact"/>
        <w:rPr>
          <w:sz w:val="20"/>
          <w:szCs w:val="20"/>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31" w:lineRule="exact"/>
        <w:rPr>
          <w:sz w:val="20"/>
          <w:szCs w:val="20"/>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436" w:right="239" w:bottom="1440" w:gutter="0" w:footer="0" w:header="0"/>
          <w:type w:val="continuous"/>
        </w:sectPr>
      </w:pPr>
    </w:p>
    <w:bookmarkStart w:id="2" w:name="page3"/>
    <w:bookmarkEnd w:id="2"/>
    <w:p>
      <w:pPr>
        <w:ind w:right="220"/>
        <w:spacing w:after="0" w:line="263" w:lineRule="auto"/>
        <w:rPr>
          <w:sz w:val="20"/>
          <w:szCs w:val="20"/>
          <w:color w:val="auto"/>
        </w:rPr>
      </w:pPr>
      <w:r>
        <w:rPr>
          <w:rFonts w:ascii="Arial" w:cs="Arial" w:eastAsia="Arial" w:hAnsi="Arial"/>
          <w:sz w:val="19"/>
          <w:szCs w:val="19"/>
          <w:color w:val="auto"/>
        </w:rPr>
        <w:t>This combined Current Report on Form 8-K is provided by the following registrants: Evergy, Inc. (“Evergy”), Evergy Kansas Central, Inc. (formerly known as Westar Energy, Inc.) (“Evergy Kansas Central”) and Evergy Metro, Inc. (formerly known as Kansas City Power &amp; Light Company) (“Evergy Metro”). Information relating to any individual registrant is filed by such registrant solely on its own behalf. Each registrant makes no representation as to information relating exclusively to the other registrants.</w:t>
      </w:r>
    </w:p>
    <w:p>
      <w:pPr>
        <w:spacing w:after="0" w:line="238" w:lineRule="exact"/>
        <w:rPr>
          <w:sz w:val="20"/>
          <w:szCs w:val="20"/>
          <w:color w:val="auto"/>
        </w:rPr>
      </w:pPr>
    </w:p>
    <w:p>
      <w:pPr>
        <w:ind w:left="40"/>
        <w:spacing w:after="0"/>
        <w:tabs>
          <w:tab w:leader="none" w:pos="1620" w:val="left"/>
        </w:tabs>
        <w:rPr>
          <w:sz w:val="20"/>
          <w:szCs w:val="20"/>
          <w:color w:val="auto"/>
        </w:rPr>
      </w:pPr>
      <w:r>
        <w:rPr>
          <w:rFonts w:ascii="Arial" w:cs="Arial" w:eastAsia="Arial" w:hAnsi="Arial"/>
          <w:sz w:val="20"/>
          <w:szCs w:val="20"/>
          <w:b w:val="1"/>
          <w:bCs w:val="1"/>
          <w:color w:val="auto"/>
        </w:rPr>
        <w:t>Item 5.04</w:t>
      </w:r>
      <w:r>
        <w:rPr>
          <w:sz w:val="20"/>
          <w:szCs w:val="20"/>
          <w:color w:val="auto"/>
        </w:rPr>
        <w:tab/>
      </w:r>
      <w:r>
        <w:rPr>
          <w:rFonts w:ascii="Arial" w:cs="Arial" w:eastAsia="Arial" w:hAnsi="Arial"/>
          <w:sz w:val="16"/>
          <w:szCs w:val="16"/>
          <w:b w:val="1"/>
          <w:bCs w:val="1"/>
          <w:color w:val="auto"/>
        </w:rPr>
        <w:t>Temporary Suspension of Trading Under Registrant’s Employee Benefit Plans.</w:t>
      </w:r>
    </w:p>
    <w:p>
      <w:pPr>
        <w:spacing w:after="0" w:line="276"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On October 25, 2019, Evergy received a notice from the administrator of the Westar Energy, Inc. Employees’ 401(k) Savings Plan (the “Plan”). The notice stated that the Evergy Stock Fund (the “Evergy Stock Fund”) in the Plan will be entering a blackout period in connection with the merger of the Plan into the Evergy, Inc. 401(k) Savings Plan. The notice stated that, on November 25, 2019, at 3 p.m. Central Time, (a) the Evergy Stock Fund will close to new investments and (b) there will be a limited blackout period during which transactions involving the Evergy Stock Fund will not be permitted. The blackout period is expected to end during the week of December 15, 2019.</w:t>
      </w:r>
    </w:p>
    <w:p>
      <w:pPr>
        <w:spacing w:after="0" w:line="71" w:lineRule="exact"/>
        <w:rPr>
          <w:sz w:val="20"/>
          <w:szCs w:val="20"/>
          <w:color w:val="auto"/>
        </w:rPr>
      </w:pPr>
    </w:p>
    <w:p>
      <w:pPr>
        <w:ind w:right="300"/>
        <w:spacing w:after="0" w:line="250" w:lineRule="auto"/>
        <w:rPr>
          <w:sz w:val="20"/>
          <w:szCs w:val="20"/>
          <w:color w:val="auto"/>
        </w:rPr>
      </w:pPr>
      <w:r>
        <w:rPr>
          <w:rFonts w:ascii="Arial" w:cs="Arial" w:eastAsia="Arial" w:hAnsi="Arial"/>
          <w:sz w:val="20"/>
          <w:szCs w:val="20"/>
          <w:color w:val="auto"/>
        </w:rPr>
        <w:t>In accordance with Section 306 of the Sarbanes-Oxley Act of 2002 and Rule 104 of Regulation BTR, on October 29, 2019, Evergy sent a notice to its directors and executive officers notifying them of the blackout period in the Evergy Stock Fund and certain trading prohibitions that they will be subject to during the blackout period.</w:t>
      </w:r>
    </w:p>
    <w:p>
      <w:pPr>
        <w:spacing w:after="0" w:line="92" w:lineRule="exact"/>
        <w:rPr>
          <w:sz w:val="20"/>
          <w:szCs w:val="20"/>
          <w:color w:val="auto"/>
        </w:rPr>
      </w:pPr>
    </w:p>
    <w:p>
      <w:pPr>
        <w:spacing w:after="0" w:line="291" w:lineRule="auto"/>
        <w:rPr>
          <w:sz w:val="20"/>
          <w:szCs w:val="20"/>
          <w:color w:val="auto"/>
        </w:rPr>
      </w:pPr>
      <w:r>
        <w:rPr>
          <w:rFonts w:ascii="Arial" w:cs="Arial" w:eastAsia="Arial" w:hAnsi="Arial"/>
          <w:sz w:val="18"/>
          <w:szCs w:val="18"/>
          <w:color w:val="auto"/>
        </w:rPr>
        <w:t>During the blackout period and for a period of two years after the ending date of the blackout period, holders of Evergy’s common stock and other interested parties may obtain, without charge, the actual beginning and ending dates of the blackout period by sending a written request to Evergy, Inc., Attention: Corporate Secretary Department; 1200 Main Street, Kansas City, Missouri 64105, or by calling (816) 556-2200.</w:t>
      </w:r>
    </w:p>
    <w:p>
      <w:pPr>
        <w:spacing w:after="0" w:line="57" w:lineRule="exact"/>
        <w:rPr>
          <w:sz w:val="20"/>
          <w:szCs w:val="20"/>
          <w:color w:val="auto"/>
        </w:rPr>
      </w:pPr>
    </w:p>
    <w:p>
      <w:pPr>
        <w:ind w:right="60"/>
        <w:spacing w:after="0" w:line="260" w:lineRule="auto"/>
        <w:rPr>
          <w:sz w:val="20"/>
          <w:szCs w:val="20"/>
          <w:color w:val="auto"/>
        </w:rPr>
      </w:pPr>
      <w:r>
        <w:rPr>
          <w:rFonts w:ascii="Arial" w:cs="Arial" w:eastAsia="Arial" w:hAnsi="Arial"/>
          <w:sz w:val="20"/>
          <w:szCs w:val="20"/>
          <w:color w:val="auto"/>
        </w:rPr>
        <w:t>A copy of the notice that was sent by Evergy to its directors and executive officers is attached hereto as Exhibit 99.1 and is incorporated herein by reference.</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56"/>
        </w:trPr>
        <w:tc>
          <w:tcPr>
            <w:tcW w:w="1500" w:type="dxa"/>
            <w:vAlign w:val="bottom"/>
            <w:gridSpan w:val="3"/>
          </w:tcPr>
          <w:p>
            <w:pPr>
              <w:spacing w:after="0"/>
              <w:rPr>
                <w:sz w:val="20"/>
                <w:szCs w:val="20"/>
                <w:color w:val="auto"/>
              </w:rPr>
            </w:pPr>
            <w:r>
              <w:rPr>
                <w:rFonts w:ascii="Arial" w:cs="Arial" w:eastAsia="Arial" w:hAnsi="Arial"/>
                <w:sz w:val="20"/>
                <w:szCs w:val="20"/>
                <w:b w:val="1"/>
                <w:bCs w:val="1"/>
                <w:color w:val="auto"/>
              </w:rPr>
              <w:t>Item 9.01</w:t>
            </w:r>
          </w:p>
        </w:tc>
        <w:tc>
          <w:tcPr>
            <w:tcW w:w="6620" w:type="dxa"/>
            <w:vAlign w:val="bottom"/>
            <w:gridSpan w:val="2"/>
          </w:tcPr>
          <w:p>
            <w:pPr>
              <w:spacing w:after="0"/>
              <w:rPr>
                <w:sz w:val="20"/>
                <w:szCs w:val="20"/>
                <w:color w:val="auto"/>
              </w:rPr>
            </w:pPr>
            <w:r>
              <w:rPr>
                <w:rFonts w:ascii="Arial" w:cs="Arial" w:eastAsia="Arial" w:hAnsi="Arial"/>
                <w:sz w:val="20"/>
                <w:szCs w:val="20"/>
                <w:b w:val="1"/>
                <w:bCs w:val="1"/>
                <w:color w:val="auto"/>
              </w:rPr>
              <w:t>Financial Statements and Exhibits</w:t>
            </w:r>
          </w:p>
        </w:tc>
      </w:tr>
      <w:tr>
        <w:trPr>
          <w:trHeight w:val="415"/>
        </w:trPr>
        <w:tc>
          <w:tcPr>
            <w:tcW w:w="1500" w:type="dxa"/>
            <w:vAlign w:val="bottom"/>
            <w:gridSpan w:val="3"/>
          </w:tcPr>
          <w:p>
            <w:pPr>
              <w:spacing w:after="0"/>
              <w:rPr>
                <w:sz w:val="20"/>
                <w:szCs w:val="20"/>
                <w:color w:val="auto"/>
              </w:rPr>
            </w:pPr>
            <w:r>
              <w:rPr>
                <w:rFonts w:ascii="Arial" w:cs="Arial" w:eastAsia="Arial" w:hAnsi="Arial"/>
                <w:sz w:val="20"/>
                <w:szCs w:val="20"/>
                <w:b w:val="1"/>
                <w:bCs w:val="1"/>
                <w:color w:val="auto"/>
              </w:rPr>
              <w:t>(d) Exhibits</w:t>
            </w:r>
          </w:p>
        </w:tc>
        <w:tc>
          <w:tcPr>
            <w:tcW w:w="940" w:type="dxa"/>
            <w:vAlign w:val="bottom"/>
          </w:tcPr>
          <w:p>
            <w:pPr>
              <w:spacing w:after="0"/>
              <w:rPr>
                <w:sz w:val="24"/>
                <w:szCs w:val="24"/>
                <w:color w:val="auto"/>
              </w:rPr>
            </w:pPr>
          </w:p>
        </w:tc>
        <w:tc>
          <w:tcPr>
            <w:tcW w:w="5680" w:type="dxa"/>
            <w:vAlign w:val="bottom"/>
          </w:tcPr>
          <w:p>
            <w:pPr>
              <w:spacing w:after="0"/>
              <w:rPr>
                <w:sz w:val="24"/>
                <w:szCs w:val="24"/>
                <w:color w:val="auto"/>
              </w:rPr>
            </w:pPr>
          </w:p>
        </w:tc>
      </w:tr>
      <w:tr>
        <w:trPr>
          <w:trHeight w:val="439"/>
        </w:trPr>
        <w:tc>
          <w:tcPr>
            <w:tcW w:w="100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Exhibit No.</w:t>
            </w:r>
          </w:p>
        </w:tc>
        <w:tc>
          <w:tcPr>
            <w:tcW w:w="50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Arial" w:cs="Arial" w:eastAsia="Arial" w:hAnsi="Arial"/>
                <w:sz w:val="20"/>
                <w:szCs w:val="20"/>
                <w:color w:val="auto"/>
              </w:rPr>
              <w:t>Description</w:t>
            </w:r>
          </w:p>
        </w:tc>
      </w:tr>
      <w:tr>
        <w:trPr>
          <w:trHeight w:val="20"/>
        </w:trPr>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r>
      <w:tr>
        <w:trPr>
          <w:trHeight w:val="588"/>
        </w:trPr>
        <w:tc>
          <w:tcPr>
            <w:tcW w:w="880" w:type="dxa"/>
            <w:vAlign w:val="bottom"/>
          </w:tcPr>
          <w:p>
            <w:pPr>
              <w:spacing w:after="0"/>
              <w:rPr>
                <w:sz w:val="20"/>
                <w:szCs w:val="20"/>
                <w:color w:val="auto"/>
              </w:rPr>
            </w:pPr>
            <w:r>
              <w:rPr>
                <w:rFonts w:ascii="Arial" w:cs="Arial" w:eastAsia="Arial" w:hAnsi="Arial"/>
                <w:sz w:val="20"/>
                <w:szCs w:val="20"/>
                <w:color w:val="auto"/>
              </w:rPr>
              <w:t>99.1</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20" w:type="dxa"/>
            <w:vAlign w:val="bottom"/>
            <w:tcBorders>
              <w:bottom w:val="single" w:sz="8" w:color="0000FF"/>
            </w:tcBorders>
            <w:gridSpan w:val="2"/>
          </w:tcPr>
          <w:p>
            <w:pPr>
              <w:spacing w:after="0"/>
              <w:rPr>
                <w:rFonts w:ascii="Arial" w:cs="Arial" w:eastAsia="Arial" w:hAnsi="Arial"/>
                <w:sz w:val="20"/>
                <w:szCs w:val="20"/>
                <w:color w:val="0000FF"/>
                <w:w w:val="90"/>
              </w:rPr>
            </w:pPr>
            <w:hyperlink w:anchor="page5">
              <w:r>
                <w:rPr>
                  <w:rFonts w:ascii="Arial" w:cs="Arial" w:eastAsia="Arial" w:hAnsi="Arial"/>
                  <w:sz w:val="20"/>
                  <w:szCs w:val="20"/>
                  <w:color w:val="0000FF"/>
                  <w:w w:val="90"/>
                </w:rPr>
                <w:t>Notice to Directors and Executive Officers of Evergy, Inc., dated October 29, 2019.</w:t>
              </w:r>
            </w:hyperlink>
          </w:p>
        </w:tc>
      </w:tr>
      <w:tr>
        <w:trPr>
          <w:trHeight w:val="308"/>
        </w:trPr>
        <w:tc>
          <w:tcPr>
            <w:tcW w:w="880" w:type="dxa"/>
            <w:vAlign w:val="bottom"/>
          </w:tcPr>
          <w:p>
            <w:pPr>
              <w:spacing w:after="0"/>
              <w:rPr>
                <w:sz w:val="20"/>
                <w:szCs w:val="20"/>
                <w:color w:val="auto"/>
              </w:rPr>
            </w:pPr>
            <w:r>
              <w:rPr>
                <w:rFonts w:ascii="Arial" w:cs="Arial" w:eastAsia="Arial" w:hAnsi="Arial"/>
                <w:sz w:val="20"/>
                <w:szCs w:val="20"/>
                <w:color w:val="auto"/>
              </w:rPr>
              <w:t>104</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620" w:type="dxa"/>
            <w:vAlign w:val="bottom"/>
            <w:gridSpan w:val="2"/>
          </w:tcPr>
          <w:p>
            <w:pPr>
              <w:spacing w:after="0"/>
              <w:rPr>
                <w:sz w:val="20"/>
                <w:szCs w:val="20"/>
                <w:color w:val="auto"/>
              </w:rPr>
            </w:pPr>
            <w:r>
              <w:rPr>
                <w:rFonts w:ascii="Arial" w:cs="Arial" w:eastAsia="Arial" w:hAnsi="Arial"/>
                <w:sz w:val="20"/>
                <w:szCs w:val="20"/>
                <w:color w:val="auto"/>
                <w:w w:val="93"/>
              </w:rPr>
              <w:t>Cover Page Interactive Data File (embedded within the Inline XBRL document).</w:t>
            </w:r>
          </w:p>
        </w:tc>
      </w:tr>
    </w:tbl>
    <w:p>
      <w:pPr>
        <w:sectPr>
          <w:pgSz w:w="11900" w:h="16838" w:orient="portrait"/>
          <w:cols w:equalWidth="0" w:num="1">
            <w:col w:w="11380"/>
          </w:cols>
          <w:pgMar w:left="240" w:top="366"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20"/>
          <w:szCs w:val="20"/>
          <w:b w:val="1"/>
          <w:bCs w:val="1"/>
          <w:u w:val="single" w:color="auto"/>
          <w:color w:val="auto"/>
        </w:rPr>
        <w:t>SIGNATURES</w:t>
      </w:r>
    </w:p>
    <w:p>
      <w:pPr>
        <w:spacing w:after="0" w:line="23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registrants have duly caused this report to be signed on their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jc w:val="center"/>
        <w:ind w:right="260"/>
        <w:spacing w:after="0"/>
        <w:rPr>
          <w:sz w:val="20"/>
          <w:szCs w:val="20"/>
          <w:color w:val="auto"/>
        </w:rPr>
      </w:pPr>
      <w:r>
        <w:rPr>
          <w:rFonts w:ascii="Arial" w:cs="Arial" w:eastAsia="Arial" w:hAnsi="Arial"/>
          <w:sz w:val="20"/>
          <w:szCs w:val="20"/>
          <w:b w:val="1"/>
          <w:bCs w:val="1"/>
          <w:color w:val="auto"/>
        </w:rPr>
        <w:t>Evergy,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27305</wp:posOffset>
            </wp:positionV>
            <wp:extent cx="34905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47"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Heather A. Humphrey</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Senior Vice President, General Counsel and Corporate Secretary</w:t>
      </w:r>
    </w:p>
    <w:p>
      <w:pPr>
        <w:spacing w:after="0" w:line="200" w:lineRule="exact"/>
        <w:rPr>
          <w:sz w:val="20"/>
          <w:szCs w:val="20"/>
          <w:color w:val="auto"/>
        </w:rPr>
      </w:pPr>
    </w:p>
    <w:p>
      <w:pPr>
        <w:spacing w:after="0" w:line="30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Evergy Kansas Central,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27305</wp:posOffset>
            </wp:positionV>
            <wp:extent cx="34905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90595" cy="8890"/>
                    </a:xfrm>
                    <a:prstGeom prst="rect">
                      <a:avLst/>
                    </a:prstGeom>
                    <a:noFill/>
                  </pic:spPr>
                </pic:pic>
              </a:graphicData>
            </a:graphic>
          </wp:anchor>
        </w:drawing>
      </w:r>
    </w:p>
    <w:p>
      <w:pPr>
        <w:spacing w:after="0" w:line="47"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Heather A. Humphrey</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Senior Vice President, General Counsel and Corporate Secretary</w:t>
      </w:r>
    </w:p>
    <w:p>
      <w:pPr>
        <w:spacing w:after="0" w:line="200" w:lineRule="exact"/>
        <w:rPr>
          <w:sz w:val="20"/>
          <w:szCs w:val="20"/>
          <w:color w:val="auto"/>
        </w:rPr>
      </w:pPr>
    </w:p>
    <w:p>
      <w:pPr>
        <w:spacing w:after="0" w:line="307" w:lineRule="exact"/>
        <w:rPr>
          <w:sz w:val="20"/>
          <w:szCs w:val="20"/>
          <w:color w:val="auto"/>
        </w:rPr>
      </w:pPr>
    </w:p>
    <w:p>
      <w:pPr>
        <w:jc w:val="center"/>
        <w:ind w:left="300"/>
        <w:spacing w:after="0"/>
        <w:rPr>
          <w:sz w:val="20"/>
          <w:szCs w:val="20"/>
          <w:color w:val="auto"/>
        </w:rPr>
      </w:pPr>
      <w:r>
        <w:rPr>
          <w:rFonts w:ascii="Arial" w:cs="Arial" w:eastAsia="Arial" w:hAnsi="Arial"/>
          <w:sz w:val="20"/>
          <w:szCs w:val="20"/>
          <w:b w:val="1"/>
          <w:bCs w:val="1"/>
          <w:color w:val="auto"/>
        </w:rPr>
        <w:t>Evergy Metro,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100"/>
        <w:spacing w:after="0"/>
        <w:rPr>
          <w:sz w:val="20"/>
          <w:szCs w:val="20"/>
          <w:color w:val="auto"/>
        </w:rPr>
      </w:pPr>
      <w:r>
        <w:rPr>
          <w:rFonts w:ascii="Arial" w:cs="Arial" w:eastAsia="Arial" w:hAnsi="Arial"/>
          <w:sz w:val="20"/>
          <w:szCs w:val="20"/>
          <w:color w:val="auto"/>
        </w:rPr>
        <w:t>/s/ Heather A. Humphrey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3109595</wp:posOffset>
            </wp:positionH>
            <wp:positionV relativeFrom="paragraph">
              <wp:posOffset>27305</wp:posOffset>
            </wp:positionV>
            <wp:extent cx="3498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98850" cy="8890"/>
                    </a:xfrm>
                    <a:prstGeom prst="rect">
                      <a:avLst/>
                    </a:prstGeom>
                    <a:noFill/>
                  </pic:spPr>
                </pic:pic>
              </a:graphicData>
            </a:graphic>
          </wp:anchor>
        </w:drawing>
      </w:r>
    </w:p>
    <w:p>
      <w:pPr>
        <w:spacing w:after="0" w:line="47" w:lineRule="exact"/>
        <w:rPr>
          <w:sz w:val="20"/>
          <w:szCs w:val="20"/>
          <w:color w:val="auto"/>
        </w:rPr>
      </w:pPr>
    </w:p>
    <w:p>
      <w:pPr>
        <w:ind w:left="5080"/>
        <w:spacing w:after="0"/>
        <w:rPr>
          <w:sz w:val="20"/>
          <w:szCs w:val="20"/>
          <w:color w:val="auto"/>
        </w:rPr>
      </w:pPr>
      <w:r>
        <w:rPr>
          <w:rFonts w:ascii="Arial" w:cs="Arial" w:eastAsia="Arial" w:hAnsi="Arial"/>
          <w:sz w:val="20"/>
          <w:szCs w:val="20"/>
          <w:color w:val="auto"/>
        </w:rPr>
        <w:t>Heather A. Humphrey</w:t>
      </w:r>
    </w:p>
    <w:p>
      <w:pPr>
        <w:spacing w:after="0" w:line="54" w:lineRule="exact"/>
        <w:rPr>
          <w:sz w:val="20"/>
          <w:szCs w:val="20"/>
          <w:color w:val="auto"/>
        </w:rPr>
      </w:pPr>
    </w:p>
    <w:p>
      <w:pPr>
        <w:ind w:left="5060"/>
        <w:spacing w:after="0"/>
        <w:rPr>
          <w:sz w:val="20"/>
          <w:szCs w:val="20"/>
          <w:color w:val="auto"/>
        </w:rPr>
      </w:pPr>
      <w:r>
        <w:rPr>
          <w:rFonts w:ascii="Arial" w:cs="Arial" w:eastAsia="Arial" w:hAnsi="Arial"/>
          <w:sz w:val="20"/>
          <w:szCs w:val="20"/>
          <w:color w:val="auto"/>
        </w:rPr>
        <w:t>Senior Vice President, General Counsel and Corporate Secretary</w:t>
      </w:r>
    </w:p>
    <w:p>
      <w:pPr>
        <w:spacing w:after="0" w:line="373" w:lineRule="exact"/>
        <w:rPr>
          <w:sz w:val="20"/>
          <w:szCs w:val="20"/>
          <w:color w:val="auto"/>
        </w:rPr>
      </w:pPr>
    </w:p>
    <w:p>
      <w:pPr>
        <w:ind w:left="180"/>
        <w:spacing w:after="0"/>
        <w:rPr>
          <w:sz w:val="20"/>
          <w:szCs w:val="20"/>
          <w:color w:val="auto"/>
        </w:rPr>
      </w:pPr>
      <w:r>
        <w:rPr>
          <w:rFonts w:ascii="Arial" w:cs="Arial" w:eastAsia="Arial" w:hAnsi="Arial"/>
          <w:sz w:val="22"/>
          <w:szCs w:val="22"/>
          <w:color w:val="auto"/>
        </w:rPr>
        <w:t>Date: October 30, 2019</w:t>
      </w:r>
    </w:p>
    <w:p>
      <w:pPr>
        <w:sectPr>
          <w:pgSz w:w="11900" w:h="16838" w:orient="portrait"/>
          <w:cols w:equalWidth="0" w:num="1">
            <w:col w:w="11380"/>
          </w:cols>
          <w:pgMar w:left="240" w:top="589" w:right="27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5699760</wp:posOffset>
            </wp:positionH>
            <wp:positionV relativeFrom="paragraph">
              <wp:posOffset>14605</wp:posOffset>
            </wp:positionV>
            <wp:extent cx="1551940" cy="351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5194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line="255" w:lineRule="auto"/>
        <w:rPr>
          <w:sz w:val="20"/>
          <w:szCs w:val="20"/>
          <w:color w:val="auto"/>
        </w:rPr>
      </w:pPr>
      <w:r>
        <w:rPr>
          <w:rFonts w:ascii="Arial" w:cs="Arial" w:eastAsia="Arial" w:hAnsi="Arial"/>
          <w:sz w:val="20"/>
          <w:szCs w:val="20"/>
          <w:b w:val="1"/>
          <w:bCs w:val="1"/>
          <w:color w:val="auto"/>
        </w:rPr>
        <w:t>IMPORTANT NOTICE REGARDING BLACKOUT PERIOD AND RESTRICTIONS ON YOUR RIGHTS TO TRADE EVERGY, INC. COMMON STOCK DURING THE BLACKOUT PERIOD</w:t>
      </w:r>
    </w:p>
    <w:p>
      <w:pPr>
        <w:spacing w:after="0" w:line="347"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20"/>
          <w:szCs w:val="20"/>
          <w:b w:val="1"/>
          <w:bCs w:val="1"/>
          <w:color w:val="auto"/>
        </w:rPr>
        <w:t>TO:</w:t>
      </w:r>
      <w:r>
        <w:rPr>
          <w:sz w:val="20"/>
          <w:szCs w:val="20"/>
          <w:color w:val="auto"/>
        </w:rPr>
        <w:tab/>
      </w:r>
      <w:r>
        <w:rPr>
          <w:rFonts w:ascii="Arial" w:cs="Arial" w:eastAsia="Arial" w:hAnsi="Arial"/>
          <w:sz w:val="20"/>
          <w:szCs w:val="20"/>
          <w:color w:val="auto"/>
        </w:rPr>
        <w:t>Directors and Executive Officers of Evergy, Inc.</w:t>
      </w:r>
    </w:p>
    <w:p>
      <w:pPr>
        <w:spacing w:after="0" w:line="216"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20"/>
          <w:szCs w:val="20"/>
          <w:b w:val="1"/>
          <w:bCs w:val="1"/>
          <w:color w:val="auto"/>
        </w:rPr>
        <w:t>FROM:</w:t>
      </w:r>
      <w:r>
        <w:rPr>
          <w:sz w:val="20"/>
          <w:szCs w:val="20"/>
          <w:color w:val="auto"/>
        </w:rPr>
        <w:tab/>
      </w:r>
      <w:r>
        <w:rPr>
          <w:rFonts w:ascii="Arial" w:cs="Arial" w:eastAsia="Arial" w:hAnsi="Arial"/>
          <w:sz w:val="20"/>
          <w:szCs w:val="20"/>
          <w:color w:val="auto"/>
        </w:rPr>
        <w:t>Jeffrey C. DeBruin</w:t>
      </w:r>
    </w:p>
    <w:p>
      <w:pPr>
        <w:spacing w:after="0" w:line="216" w:lineRule="exact"/>
        <w:rPr>
          <w:sz w:val="20"/>
          <w:szCs w:val="20"/>
          <w:color w:val="auto"/>
        </w:rPr>
      </w:pPr>
    </w:p>
    <w:p>
      <w:pPr>
        <w:ind w:left="40"/>
        <w:spacing w:after="0"/>
        <w:tabs>
          <w:tab w:leader="none" w:pos="980" w:val="left"/>
        </w:tabs>
        <w:rPr>
          <w:sz w:val="20"/>
          <w:szCs w:val="20"/>
          <w:color w:val="auto"/>
        </w:rPr>
      </w:pPr>
      <w:r>
        <w:rPr>
          <w:rFonts w:ascii="Arial" w:cs="Arial" w:eastAsia="Arial" w:hAnsi="Arial"/>
          <w:sz w:val="20"/>
          <w:szCs w:val="20"/>
          <w:b w:val="1"/>
          <w:bCs w:val="1"/>
          <w:color w:val="auto"/>
        </w:rPr>
        <w:t>DATE:</w:t>
      </w:r>
      <w:r>
        <w:rPr>
          <w:sz w:val="20"/>
          <w:szCs w:val="20"/>
          <w:color w:val="auto"/>
        </w:rPr>
        <w:tab/>
      </w:r>
      <w:r>
        <w:rPr>
          <w:rFonts w:ascii="Arial" w:cs="Arial" w:eastAsia="Arial" w:hAnsi="Arial"/>
          <w:sz w:val="20"/>
          <w:szCs w:val="20"/>
          <w:color w:val="auto"/>
        </w:rPr>
        <w:t>October 29,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5342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42890" cy="8890"/>
                    </a:xfrm>
                    <a:prstGeom prst="rect">
                      <a:avLst/>
                    </a:prstGeom>
                    <a:noFill/>
                  </pic:spPr>
                </pic:pic>
              </a:graphicData>
            </a:graphic>
          </wp:anchor>
        </w:drawing>
      </w:r>
    </w:p>
    <w:p>
      <w:pPr>
        <w:spacing w:after="0" w:line="247"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 xml:space="preserve">The purpose of this notice is to inform you that the Evergy, Inc. (“Evergy”) Stock Fund (the “Evergy Stock Fund”) in the Westar Energy, Inc. Employees’ 401(k) Savings Plan (the “Plan”) will enter a “blackout period” to facilitate the merger of the Plan into the Evergy, Inc. 401(k) Savings Plan. During the blackout period, the Evergy Stock Fund will close to new investments and there will be a time during which transactions (including loans, withdrawals and distributions) involving the Evergy Stock Fund will not be permitted. </w:t>
      </w:r>
      <w:r>
        <w:rPr>
          <w:rFonts w:ascii="Arial" w:cs="Arial" w:eastAsia="Arial" w:hAnsi="Arial"/>
          <w:sz w:val="20"/>
          <w:szCs w:val="20"/>
          <w:b w:val="1"/>
          <w:bCs w:val="1"/>
          <w:i w:val="1"/>
          <w:iCs w:val="1"/>
          <w:color w:val="auto"/>
        </w:rPr>
        <w:t>In addition, your ability to engage in transactions involving Evergy stock is limited during the blackout period,</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regardless of whether you participate in the Plan or invest in Evergy stock under the Plan.</w:t>
      </w:r>
    </w:p>
    <w:p>
      <w:pPr>
        <w:spacing w:after="0" w:line="222" w:lineRule="exact"/>
        <w:rPr>
          <w:sz w:val="20"/>
          <w:szCs w:val="20"/>
          <w:color w:val="auto"/>
        </w:rPr>
      </w:pPr>
    </w:p>
    <w:p>
      <w:pPr>
        <w:ind w:right="40"/>
        <w:spacing w:after="0" w:line="241" w:lineRule="auto"/>
        <w:rPr>
          <w:sz w:val="20"/>
          <w:szCs w:val="20"/>
          <w:color w:val="auto"/>
        </w:rPr>
      </w:pPr>
      <w:r>
        <w:rPr>
          <w:rFonts w:ascii="Arial" w:cs="Arial" w:eastAsia="Arial" w:hAnsi="Arial"/>
          <w:sz w:val="20"/>
          <w:szCs w:val="20"/>
          <w:color w:val="auto"/>
        </w:rPr>
        <w:t xml:space="preserve">Under Securities and Exchange Commission (“SEC”) rules published pursuant to Section 306(a) of the Sarbanes-Oxley Act of 2002, a director or executive officer generally may not trade Evergy’s securities that were acquired in connection with his or her service as a director or executive officer during the Plan blackout period, </w:t>
      </w:r>
      <w:r>
        <w:rPr>
          <w:rFonts w:ascii="Arial" w:cs="Arial" w:eastAsia="Arial" w:hAnsi="Arial"/>
          <w:sz w:val="20"/>
          <w:szCs w:val="20"/>
          <w:b w:val="1"/>
          <w:bCs w:val="1"/>
          <w:i w:val="1"/>
          <w:iCs w:val="1"/>
          <w:color w:val="auto"/>
        </w:rPr>
        <w:t>even if held outside the Plan</w:t>
      </w:r>
      <w:r>
        <w:rPr>
          <w:rFonts w:ascii="Arial" w:cs="Arial" w:eastAsia="Arial" w:hAnsi="Arial"/>
          <w:sz w:val="20"/>
          <w:szCs w:val="20"/>
          <w:color w:val="auto"/>
        </w:rPr>
        <w:t>. This restriction includes direct and indirect acquisitions and dispositions of any Evergy securities in which you have a pecuniary interest, such as securities held by family members.</w:t>
      </w:r>
    </w:p>
    <w:p>
      <w:pPr>
        <w:spacing w:after="0" w:line="223" w:lineRule="exact"/>
        <w:rPr>
          <w:sz w:val="20"/>
          <w:szCs w:val="20"/>
          <w:color w:val="auto"/>
        </w:rPr>
      </w:pPr>
    </w:p>
    <w:p>
      <w:pPr>
        <w:ind w:right="20"/>
        <w:spacing w:after="0" w:line="233" w:lineRule="auto"/>
        <w:rPr>
          <w:sz w:val="20"/>
          <w:szCs w:val="20"/>
          <w:color w:val="auto"/>
        </w:rPr>
      </w:pPr>
      <w:r>
        <w:rPr>
          <w:rFonts w:ascii="Arial" w:cs="Arial" w:eastAsia="Arial" w:hAnsi="Arial"/>
          <w:sz w:val="20"/>
          <w:szCs w:val="20"/>
          <w:color w:val="auto"/>
        </w:rPr>
        <w:t>All shares of Evergy stock held by you will be presumed to be acquired in connection with your service as a director or executive officer and subject to the trading restrictions unless (i) you can establish by specific identification that the stock was not acquired in connection with your service and (ii) this identification is consistent with the treatment of the stock for all other purposes related to the transaction (e.g., for tax purposes). The SEC rules provide a limited number of exemptions from the trading restrictions. Bona fide gifts are permitted during this time. In addition, you can enter into “Rule 10b5-1” trading plans as long as any sales do not occur during the Plan blackout period, and sales under Rule 10b5-1 trading plans that were entered into prior to the Plan blackout period can occur. Please contact Jeff DeBruin at 1200 Main Street, 16</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Floor, Kansas City, Missouri 64105, or (816) 654-1882, with questions.</w:t>
      </w:r>
    </w:p>
    <w:p>
      <w:pPr>
        <w:spacing w:after="0" w:line="224" w:lineRule="exact"/>
        <w:rPr>
          <w:sz w:val="20"/>
          <w:szCs w:val="20"/>
          <w:color w:val="auto"/>
        </w:rPr>
      </w:pPr>
    </w:p>
    <w:p>
      <w:pPr>
        <w:ind w:right="100"/>
        <w:spacing w:after="0" w:line="242" w:lineRule="auto"/>
        <w:rPr>
          <w:sz w:val="20"/>
          <w:szCs w:val="20"/>
          <w:color w:val="auto"/>
        </w:rPr>
      </w:pPr>
      <w:r>
        <w:rPr>
          <w:rFonts w:ascii="Arial" w:cs="Arial" w:eastAsia="Arial" w:hAnsi="Arial"/>
          <w:sz w:val="20"/>
          <w:szCs w:val="20"/>
          <w:color w:val="auto"/>
        </w:rPr>
        <w:t>Violations of the trading restrictions will allow Evergy, or an Evergy security holder acting on behalf of Evergy, to bring an action to recover the profits realized by the director or executive officer. In addition, the SEC may bring an action, including civil injunction proceedings, cease-and-desist actions, civil penalties and all other remedies available to the SEC under the Exchange Act, including, in some cases, criminal penalties.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Dates for Prohibition from Trading in Evergy, Inc. Common Stock:</w:t>
      </w:r>
    </w:p>
    <w:p>
      <w:pPr>
        <w:spacing w:after="0" w:line="253" w:lineRule="exact"/>
        <w:rPr>
          <w:sz w:val="20"/>
          <w:szCs w:val="20"/>
          <w:color w:val="auto"/>
        </w:rPr>
      </w:pPr>
    </w:p>
    <w:p>
      <w:pPr>
        <w:ind w:right="20"/>
        <w:spacing w:after="0" w:line="242" w:lineRule="auto"/>
        <w:rPr>
          <w:sz w:val="20"/>
          <w:szCs w:val="20"/>
          <w:color w:val="auto"/>
        </w:rPr>
      </w:pPr>
      <w:r>
        <w:rPr>
          <w:rFonts w:ascii="Arial" w:cs="Arial" w:eastAsia="Arial" w:hAnsi="Arial"/>
          <w:sz w:val="20"/>
          <w:szCs w:val="20"/>
          <w:color w:val="auto"/>
        </w:rPr>
        <w:t>The blackout period will commence on November 25, 2019 at 3 p.m. Central Time and is expected to end during the week of December 15, 2019. We will notify you when the blackout period ends. While we anticipate a smooth transition, you will be notified in the unlikely event that an extension of the blackout is needed. Please contact Jeff DeBruin with any questions you may have regarding this notice and your ability to engage in transactions involving Evergy stock.</w:t>
      </w:r>
    </w:p>
    <w:p>
      <w:pPr>
        <w:spacing w:after="0" w:line="200" w:lineRule="exact"/>
        <w:rPr>
          <w:sz w:val="20"/>
          <w:szCs w:val="20"/>
          <w:color w:val="auto"/>
        </w:rPr>
      </w:pPr>
    </w:p>
    <w:p>
      <w:pPr>
        <w:spacing w:after="0" w:line="240" w:lineRule="exact"/>
        <w:rPr>
          <w:sz w:val="20"/>
          <w:szCs w:val="20"/>
          <w:color w:val="auto"/>
        </w:rPr>
      </w:pPr>
    </w:p>
    <w:p>
      <w:pPr>
        <w:ind w:left="260"/>
        <w:spacing w:after="0"/>
        <w:rPr>
          <w:sz w:val="20"/>
          <w:szCs w:val="20"/>
          <w:color w:val="auto"/>
        </w:rPr>
      </w:pPr>
      <w:r>
        <w:rPr>
          <w:rFonts w:ascii="Arial" w:cs="Arial" w:eastAsia="Arial" w:hAnsi="Arial"/>
          <w:sz w:val="14"/>
          <w:szCs w:val="14"/>
          <w:b w:val="1"/>
          <w:bCs w:val="1"/>
          <w:u w:val="single" w:color="auto"/>
          <w:color w:val="auto"/>
        </w:rPr>
        <w:t>___________________________________________________________________________________________________________</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evergyinc.com</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2019-12-28T04:34:08Z</dcterms:created>
  <dcterms:modified xsi:type="dcterms:W3CDTF">2019-12-28T04:34:08Z</dcterms:modified>
</cp:coreProperties>
</file>