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GREAT PLAINS ENERGY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19685</wp:posOffset>
            </wp:positionV>
            <wp:extent cx="4288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19685</wp:posOffset>
            </wp:positionV>
            <wp:extent cx="4288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391164100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19685</wp:posOffset>
            </wp:positionV>
            <wp:extent cx="4288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19685</wp:posOffset>
            </wp:positionV>
            <wp:extent cx="4288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o Rule 13d-1(b)</w:t>
      </w:r>
    </w:p>
    <w:p>
      <w:pPr>
        <w:spacing w:after="0" w:line="198" w:lineRule="exact"/>
        <w:rPr>
          <w:sz w:val="24"/>
          <w:szCs w:val="24"/>
          <w:color w:val="auto"/>
        </w:rPr>
      </w:pPr>
    </w:p>
    <w:p>
      <w:pPr>
        <w:ind w:left="220" w:right="10000" w:firstLine="8"/>
        <w:spacing w:after="0" w:line="510" w:lineRule="auto"/>
        <w:tabs>
          <w:tab w:leader="none" w:pos="42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13d-1(c) o Rule 13d-1(d)</w:t>
      </w:r>
    </w:p>
    <w:p>
      <w:pPr>
        <w:spacing w:after="0" w:line="1"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23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462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Page</w:t>
            </w:r>
          </w:p>
        </w:tc>
        <w:tc>
          <w:tcPr>
            <w:tcW w:w="920" w:type="dxa"/>
            <w:vAlign w:val="bottom"/>
            <w:tcBorders>
              <w:top w:val="single" w:sz="8" w:color="auto"/>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398"/>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w:t>
      </w:r>
    </w:p>
    <w:p>
      <w:pPr>
        <w:spacing w:after="0" w:line="9" w:lineRule="exact"/>
        <w:rPr>
          <w:rFonts w:ascii="Times New Roman" w:cs="Times New Roman" w:eastAsia="Times New Roman" w:hAnsi="Times New Roman"/>
          <w:sz w:val="18"/>
          <w:szCs w:val="18"/>
          <w:b w:val="1"/>
          <w:bCs w:val="1"/>
          <w:color w:val="auto"/>
        </w:rPr>
      </w:pPr>
    </w:p>
    <w:p>
      <w:pPr>
        <w:ind w:left="1020" w:hanging="333"/>
        <w:spacing w:after="0" w:line="207" w:lineRule="exact"/>
        <w:tabs>
          <w:tab w:leader="none" w:pos="10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398"/>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00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80" w:type="dxa"/>
            <w:vAlign w:val="bottom"/>
            <w:tcBorders>
              <w:top w:val="single" w:sz="8" w:color="auto"/>
              <w:bottom w:val="single" w:sz="8" w:color="auto"/>
            </w:tcBorders>
          </w:tcPr>
          <w:p>
            <w:pPr>
              <w:spacing w:after="0"/>
              <w:rPr>
                <w:sz w:val="6"/>
                <w:szCs w:val="6"/>
                <w:color w:val="auto"/>
              </w:rPr>
            </w:pPr>
          </w:p>
        </w:tc>
        <w:tc>
          <w:tcPr>
            <w:tcW w:w="86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80" w:type="dxa"/>
            <w:vAlign w:val="bottom"/>
            <w:tcBorders>
              <w:bottom w:val="single" w:sz="8" w:color="auto"/>
              <w:right w:val="single" w:sz="8" w:color="auto"/>
            </w:tcBorders>
          </w:tcPr>
          <w:p>
            <w:pPr>
              <w:spacing w:after="0"/>
              <w:rPr>
                <w:sz w:val="19"/>
                <w:szCs w:val="19"/>
                <w:color w:val="auto"/>
              </w:rPr>
            </w:pPr>
          </w:p>
        </w:tc>
        <w:tc>
          <w:tcPr>
            <w:tcW w:w="862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0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8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862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80" w:type="dxa"/>
            <w:vAlign w:val="bottom"/>
            <w:tcBorders>
              <w:right w:val="single" w:sz="8" w:color="auto"/>
            </w:tcBorders>
            <w:vMerge w:val="continue"/>
          </w:tcPr>
          <w:p>
            <w:pPr>
              <w:spacing w:after="0"/>
              <w:rPr>
                <w:sz w:val="9"/>
                <w:szCs w:val="9"/>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62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80" w:type="dxa"/>
            <w:vAlign w:val="bottom"/>
            <w:tcBorders>
              <w:bottom w:val="single" w:sz="8" w:color="auto"/>
              <w:right w:val="single" w:sz="8" w:color="auto"/>
            </w:tcBorders>
          </w:tcPr>
          <w:p>
            <w:pPr>
              <w:spacing w:after="0"/>
              <w:rPr>
                <w:sz w:val="10"/>
                <w:szCs w:val="10"/>
                <w:color w:val="auto"/>
              </w:rPr>
            </w:pPr>
          </w:p>
        </w:tc>
        <w:tc>
          <w:tcPr>
            <w:tcW w:w="862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0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8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w:t>
            </w:r>
          </w:p>
        </w:tc>
        <w:tc>
          <w:tcPr>
            <w:tcW w:w="862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00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862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780" w:type="dxa"/>
            <w:vAlign w:val="bottom"/>
            <w:tcBorders>
              <w:right w:val="single" w:sz="8" w:color="auto"/>
            </w:tcBorders>
            <w:vMerge w:val="continue"/>
          </w:tcPr>
          <w:p>
            <w:pPr>
              <w:spacing w:after="0"/>
              <w:rPr>
                <w:sz w:val="11"/>
                <w:szCs w:val="11"/>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6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PERSON WITH</w:t>
            </w:r>
          </w:p>
        </w:tc>
        <w:tc>
          <w:tcPr>
            <w:tcW w:w="780" w:type="dxa"/>
            <w:vAlign w:val="bottom"/>
            <w:tcBorders>
              <w:bottom w:val="single" w:sz="8" w:color="auto"/>
              <w:right w:val="single" w:sz="8" w:color="auto"/>
            </w:tcBorders>
          </w:tcPr>
          <w:p>
            <w:pPr>
              <w:spacing w:after="0"/>
              <w:rPr>
                <w:sz w:val="12"/>
                <w:szCs w:val="12"/>
                <w:color w:val="auto"/>
              </w:rPr>
            </w:pPr>
          </w:p>
        </w:tc>
        <w:tc>
          <w:tcPr>
            <w:tcW w:w="862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00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w:t>
            </w:r>
          </w:p>
        </w:tc>
        <w:tc>
          <w:tcPr>
            <w:tcW w:w="8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62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0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862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 (See Item 4(a))</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0.0%</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420"/>
          </w:cols>
          <w:pgMar w:left="240" w:top="54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464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Cognizant Holdings, Ltd.</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398"/>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w:t>
      </w:r>
    </w:p>
    <w:p>
      <w:pPr>
        <w:spacing w:after="0" w:line="9" w:lineRule="exact"/>
        <w:rPr>
          <w:rFonts w:ascii="Times New Roman" w:cs="Times New Roman" w:eastAsia="Times New Roman" w:hAnsi="Times New Roman"/>
          <w:sz w:val="18"/>
          <w:szCs w:val="18"/>
          <w:b w:val="1"/>
          <w:bCs w:val="1"/>
          <w:color w:val="auto"/>
        </w:rPr>
      </w:pPr>
    </w:p>
    <w:p>
      <w:pPr>
        <w:ind w:left="1020" w:hanging="333"/>
        <w:spacing w:after="0" w:line="207" w:lineRule="exact"/>
        <w:tabs>
          <w:tab w:leader="none" w:pos="102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398"/>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796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20" w:type="dxa"/>
            <w:vAlign w:val="bottom"/>
            <w:tcBorders>
              <w:bottom w:val="single" w:sz="8" w:color="auto"/>
              <w:right w:val="single" w:sz="8" w:color="auto"/>
            </w:tcBorders>
          </w:tcPr>
          <w:p>
            <w:pPr>
              <w:spacing w:after="0"/>
              <w:rPr>
                <w:sz w:val="10"/>
                <w:szCs w:val="10"/>
                <w:color w:val="auto"/>
              </w:rPr>
            </w:pPr>
          </w:p>
        </w:tc>
        <w:tc>
          <w:tcPr>
            <w:tcW w:w="796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9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96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 (See Item 4(a))</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0.0%</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w:t>
      </w:r>
    </w:p>
    <w:p>
      <w:pPr>
        <w:sectPr>
          <w:pgSz w:w="11900" w:h="16838" w:orient="portrait"/>
          <w:cols w:equalWidth="0" w:num="1">
            <w:col w:w="11420"/>
          </w:cols>
          <w:pgMar w:left="240" w:top="54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464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ICS Opportunities, Ltd.</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398"/>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w:t>
      </w:r>
    </w:p>
    <w:p>
      <w:pPr>
        <w:spacing w:after="0" w:line="9" w:lineRule="exact"/>
        <w:rPr>
          <w:rFonts w:ascii="Times New Roman" w:cs="Times New Roman" w:eastAsia="Times New Roman" w:hAnsi="Times New Roman"/>
          <w:sz w:val="18"/>
          <w:szCs w:val="18"/>
          <w:b w:val="1"/>
          <w:bCs w:val="1"/>
          <w:color w:val="auto"/>
        </w:rPr>
      </w:pPr>
    </w:p>
    <w:p>
      <w:pPr>
        <w:ind w:left="1020" w:hanging="333"/>
        <w:spacing w:after="0" w:line="207" w:lineRule="exact"/>
        <w:tabs>
          <w:tab w:leader="none" w:pos="102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398"/>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796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20" w:type="dxa"/>
            <w:vAlign w:val="bottom"/>
            <w:tcBorders>
              <w:bottom w:val="single" w:sz="8" w:color="auto"/>
              <w:right w:val="single" w:sz="8" w:color="auto"/>
            </w:tcBorders>
          </w:tcPr>
          <w:p>
            <w:pPr>
              <w:spacing w:after="0"/>
              <w:rPr>
                <w:sz w:val="10"/>
                <w:szCs w:val="10"/>
                <w:color w:val="auto"/>
              </w:rPr>
            </w:pPr>
          </w:p>
        </w:tc>
        <w:tc>
          <w:tcPr>
            <w:tcW w:w="796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9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96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 (See Item 4(a))</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0.0%</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w:t>
      </w:r>
    </w:p>
    <w:p>
      <w:pPr>
        <w:sectPr>
          <w:pgSz w:w="11900" w:h="16838" w:orient="portrait"/>
          <w:cols w:equalWidth="0" w:num="1">
            <w:col w:w="11420"/>
          </w:cols>
          <w:pgMar w:left="240" w:top="54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464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Integrated Assets, Ltd.</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398"/>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w:t>
      </w:r>
    </w:p>
    <w:p>
      <w:pPr>
        <w:spacing w:after="0" w:line="9" w:lineRule="exact"/>
        <w:rPr>
          <w:rFonts w:ascii="Times New Roman" w:cs="Times New Roman" w:eastAsia="Times New Roman" w:hAnsi="Times New Roman"/>
          <w:sz w:val="18"/>
          <w:szCs w:val="18"/>
          <w:b w:val="1"/>
          <w:bCs w:val="1"/>
          <w:color w:val="auto"/>
        </w:rPr>
      </w:pPr>
    </w:p>
    <w:p>
      <w:pPr>
        <w:ind w:left="1020" w:hanging="333"/>
        <w:spacing w:after="0" w:line="207" w:lineRule="exact"/>
        <w:tabs>
          <w:tab w:leader="none" w:pos="102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398"/>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796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20" w:type="dxa"/>
            <w:vAlign w:val="bottom"/>
            <w:tcBorders>
              <w:bottom w:val="single" w:sz="8" w:color="auto"/>
              <w:right w:val="single" w:sz="8" w:color="auto"/>
            </w:tcBorders>
          </w:tcPr>
          <w:p>
            <w:pPr>
              <w:spacing w:after="0"/>
              <w:rPr>
                <w:sz w:val="10"/>
                <w:szCs w:val="10"/>
                <w:color w:val="auto"/>
              </w:rPr>
            </w:pPr>
          </w:p>
        </w:tc>
        <w:tc>
          <w:tcPr>
            <w:tcW w:w="796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9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96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 (See Item 4(a))</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0.0%</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w:t>
      </w:r>
    </w:p>
    <w:p>
      <w:pPr>
        <w:sectPr>
          <w:pgSz w:w="11900" w:h="16838" w:orient="portrait"/>
          <w:cols w:equalWidth="0" w:num="1">
            <w:col w:w="11420"/>
          </w:cols>
          <w:pgMar w:left="240" w:top="54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464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International Management LP</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398"/>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w:t>
      </w:r>
    </w:p>
    <w:p>
      <w:pPr>
        <w:spacing w:after="0" w:line="9" w:lineRule="exact"/>
        <w:rPr>
          <w:rFonts w:ascii="Times New Roman" w:cs="Times New Roman" w:eastAsia="Times New Roman" w:hAnsi="Times New Roman"/>
          <w:sz w:val="18"/>
          <w:szCs w:val="18"/>
          <w:b w:val="1"/>
          <w:bCs w:val="1"/>
          <w:color w:val="auto"/>
        </w:rPr>
      </w:pPr>
    </w:p>
    <w:p>
      <w:pPr>
        <w:ind w:left="1020" w:hanging="333"/>
        <w:spacing w:after="0" w:line="207" w:lineRule="exact"/>
        <w:tabs>
          <w:tab w:leader="none" w:pos="102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398"/>
        <w:spacing w:after="0"/>
        <w:tabs>
          <w:tab w:leader="none" w:pos="6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796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20" w:type="dxa"/>
            <w:vAlign w:val="bottom"/>
            <w:tcBorders>
              <w:bottom w:val="single" w:sz="8" w:color="auto"/>
              <w:right w:val="single" w:sz="8" w:color="auto"/>
            </w:tcBorders>
          </w:tcPr>
          <w:p>
            <w:pPr>
              <w:spacing w:after="0"/>
              <w:rPr>
                <w:sz w:val="10"/>
                <w:szCs w:val="10"/>
                <w:color w:val="auto"/>
              </w:rPr>
            </w:pPr>
          </w:p>
        </w:tc>
        <w:tc>
          <w:tcPr>
            <w:tcW w:w="796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9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96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 (See Item 4(a))</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0.0%</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PN</w:t>
      </w:r>
    </w:p>
    <w:p>
      <w:pPr>
        <w:sectPr>
          <w:pgSz w:w="11900" w:h="16838" w:orient="portrait"/>
          <w:cols w:equalWidth="0" w:num="1">
            <w:col w:w="11420"/>
          </w:cols>
          <w:pgMar w:left="240" w:top="54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464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398"/>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w:t>
      </w:r>
    </w:p>
    <w:p>
      <w:pPr>
        <w:spacing w:after="0" w:line="9" w:lineRule="exact"/>
        <w:rPr>
          <w:rFonts w:ascii="Times New Roman" w:cs="Times New Roman" w:eastAsia="Times New Roman" w:hAnsi="Times New Roman"/>
          <w:sz w:val="18"/>
          <w:szCs w:val="18"/>
          <w:b w:val="1"/>
          <w:bCs w:val="1"/>
          <w:color w:val="auto"/>
        </w:rPr>
      </w:pPr>
    </w:p>
    <w:p>
      <w:pPr>
        <w:ind w:left="1020" w:hanging="333"/>
        <w:spacing w:after="0" w:line="207" w:lineRule="exact"/>
        <w:tabs>
          <w:tab w:leader="none" w:pos="102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398"/>
        <w:spacing w:after="0"/>
        <w:tabs>
          <w:tab w:leader="none" w:pos="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796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20" w:type="dxa"/>
            <w:vAlign w:val="bottom"/>
            <w:tcBorders>
              <w:bottom w:val="single" w:sz="8" w:color="auto"/>
              <w:right w:val="single" w:sz="8" w:color="auto"/>
            </w:tcBorders>
          </w:tcPr>
          <w:p>
            <w:pPr>
              <w:spacing w:after="0"/>
              <w:rPr>
                <w:sz w:val="10"/>
                <w:szCs w:val="10"/>
                <w:color w:val="auto"/>
              </w:rPr>
            </w:pPr>
          </w:p>
        </w:tc>
        <w:tc>
          <w:tcPr>
            <w:tcW w:w="796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9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96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 (See Item 4(a))</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0.0%</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420"/>
          </w:cols>
          <w:pgMar w:left="240" w:top="54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464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398"/>
        <w:spacing w:after="0"/>
        <w:tabs>
          <w:tab w:leader="none" w:pos="6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w:t>
      </w:r>
    </w:p>
    <w:p>
      <w:pPr>
        <w:spacing w:after="0" w:line="9" w:lineRule="exact"/>
        <w:rPr>
          <w:rFonts w:ascii="Times New Roman" w:cs="Times New Roman" w:eastAsia="Times New Roman" w:hAnsi="Times New Roman"/>
          <w:sz w:val="18"/>
          <w:szCs w:val="18"/>
          <w:b w:val="1"/>
          <w:bCs w:val="1"/>
          <w:color w:val="auto"/>
        </w:rPr>
      </w:pPr>
    </w:p>
    <w:p>
      <w:pPr>
        <w:ind w:left="1020" w:hanging="333"/>
        <w:spacing w:after="0" w:line="207" w:lineRule="exact"/>
        <w:tabs>
          <w:tab w:leader="none" w:pos="102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398"/>
        <w:spacing w:after="0"/>
        <w:tabs>
          <w:tab w:leader="none" w:pos="6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796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20" w:type="dxa"/>
            <w:vAlign w:val="bottom"/>
            <w:tcBorders>
              <w:bottom w:val="single" w:sz="8" w:color="auto"/>
              <w:right w:val="single" w:sz="8" w:color="auto"/>
            </w:tcBorders>
          </w:tcPr>
          <w:p>
            <w:pPr>
              <w:spacing w:after="0"/>
              <w:rPr>
                <w:sz w:val="10"/>
                <w:szCs w:val="10"/>
                <w:color w:val="auto"/>
              </w:rPr>
            </w:pPr>
          </w:p>
        </w:tc>
        <w:tc>
          <w:tcPr>
            <w:tcW w:w="796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9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96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 (See Item 4(a))</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0.0%</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420"/>
          </w:cols>
          <w:pgMar w:left="240" w:top="54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464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398"/>
        <w:spacing w:after="0"/>
        <w:tabs>
          <w:tab w:leader="none" w:pos="6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w:t>
      </w:r>
    </w:p>
    <w:p>
      <w:pPr>
        <w:spacing w:after="0" w:line="9" w:lineRule="exact"/>
        <w:rPr>
          <w:rFonts w:ascii="Times New Roman" w:cs="Times New Roman" w:eastAsia="Times New Roman" w:hAnsi="Times New Roman"/>
          <w:sz w:val="18"/>
          <w:szCs w:val="18"/>
          <w:b w:val="1"/>
          <w:bCs w:val="1"/>
          <w:color w:val="auto"/>
        </w:rPr>
      </w:pPr>
    </w:p>
    <w:p>
      <w:pPr>
        <w:ind w:left="1020" w:hanging="333"/>
        <w:spacing w:after="0" w:line="207" w:lineRule="exact"/>
        <w:tabs>
          <w:tab w:leader="none" w:pos="102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398"/>
        <w:spacing w:after="0"/>
        <w:tabs>
          <w:tab w:leader="none" w:pos="6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796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20" w:type="dxa"/>
            <w:vAlign w:val="bottom"/>
            <w:tcBorders>
              <w:bottom w:val="single" w:sz="8" w:color="auto"/>
              <w:right w:val="single" w:sz="8" w:color="auto"/>
            </w:tcBorders>
          </w:tcPr>
          <w:p>
            <w:pPr>
              <w:spacing w:after="0"/>
              <w:rPr>
                <w:sz w:val="10"/>
                <w:szCs w:val="10"/>
                <w:color w:val="auto"/>
              </w:rPr>
            </w:pPr>
          </w:p>
        </w:tc>
        <w:tc>
          <w:tcPr>
            <w:tcW w:w="796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9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96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 (See Item 4(a))</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0.0%</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420"/>
          </w:cols>
          <w:pgMar w:left="240" w:top="54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356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w w:val="95"/>
              </w:rPr>
              <w:t>SCHEDULE 13G</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ind w:left="1380" w:hanging="413"/>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of Issuer</w:t>
      </w:r>
      <w:r>
        <w:rPr>
          <w:rFonts w:ascii="Times New Roman" w:cs="Times New Roman" w:eastAsia="Times New Roman" w:hAnsi="Times New Roman"/>
          <w:sz w:val="18"/>
          <w:szCs w:val="18"/>
          <w:color w:val="auto"/>
        </w:rPr>
        <w:t>:</w:t>
      </w:r>
    </w:p>
    <w:p>
      <w:pPr>
        <w:spacing w:after="0" w:line="222"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Great Plains Energy Incorporated, a Missouri corporation (the "Issuer").</w:t>
      </w:r>
    </w:p>
    <w:p>
      <w:pPr>
        <w:spacing w:after="0" w:line="240" w:lineRule="exact"/>
        <w:rPr>
          <w:rFonts w:ascii="Times New Roman" w:cs="Times New Roman" w:eastAsia="Times New Roman" w:hAnsi="Times New Roman"/>
          <w:sz w:val="18"/>
          <w:szCs w:val="18"/>
          <w:color w:val="auto"/>
        </w:rPr>
      </w:pPr>
    </w:p>
    <w:p>
      <w:pPr>
        <w:ind w:left="1380" w:hanging="413"/>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1200 Main Street</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Kansas City, Missouri 64105</w:t>
      </w:r>
    </w:p>
    <w:p>
      <w:pPr>
        <w:spacing w:after="0" w:line="211" w:lineRule="exact"/>
        <w:rPr>
          <w:sz w:val="20"/>
          <w:szCs w:val="20"/>
          <w:color w:val="auto"/>
        </w:rPr>
      </w:pPr>
    </w:p>
    <w:p>
      <w:pPr>
        <w:spacing w:after="0"/>
        <w:tabs>
          <w:tab w:leader="none" w:pos="940" w:val="left"/>
          <w:tab w:leader="none" w:pos="136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u w:val="single" w:color="auto"/>
          <w:color w:val="auto"/>
        </w:rPr>
        <w:t>Name of Person Filing</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1380" w:hanging="413"/>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380" w:hanging="413"/>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1380" w:right="40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Core Strategies (US) LLC c/o Millennium Management LLC 666 Fifth Avenue</w:t>
      </w:r>
    </w:p>
    <w:p>
      <w:pPr>
        <w:ind w:left="1380" w:right="462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Cognizant Holdings, Ltd.</w:t>
      </w:r>
    </w:p>
    <w:p>
      <w:pPr>
        <w:spacing w:after="0" w:line="21" w:lineRule="exact"/>
        <w:rPr>
          <w:rFonts w:ascii="Times New Roman" w:cs="Times New Roman" w:eastAsia="Times New Roman" w:hAnsi="Times New Roman"/>
          <w:sz w:val="18"/>
          <w:szCs w:val="18"/>
          <w:color w:val="auto"/>
        </w:rPr>
      </w:pPr>
    </w:p>
    <w:p>
      <w:pPr>
        <w:ind w:left="1380" w:right="33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International Management LP 666 Fifth Avenue</w:t>
      </w:r>
    </w:p>
    <w:p>
      <w:pPr>
        <w:jc w:val="both"/>
        <w:ind w:left="1380" w:right="460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Cayman Islands</w:t>
      </w:r>
    </w:p>
    <w:p>
      <w:pPr>
        <w:spacing w:after="0" w:line="140"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Opportunities, Ltd.</w:t>
      </w:r>
    </w:p>
    <w:p>
      <w:pPr>
        <w:spacing w:after="0" w:line="21" w:lineRule="exact"/>
        <w:rPr>
          <w:rFonts w:ascii="Times New Roman" w:cs="Times New Roman" w:eastAsia="Times New Roman" w:hAnsi="Times New Roman"/>
          <w:sz w:val="18"/>
          <w:szCs w:val="18"/>
          <w:color w:val="auto"/>
        </w:rPr>
      </w:pPr>
    </w:p>
    <w:p>
      <w:pPr>
        <w:ind w:left="1380" w:right="33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International Management LP 666 Fifth Avenue</w:t>
      </w:r>
    </w:p>
    <w:p>
      <w:pPr>
        <w:jc w:val="both"/>
        <w:ind w:left="1380" w:right="460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Cayman Islands</w:t>
      </w:r>
    </w:p>
    <w:p>
      <w:pPr>
        <w:spacing w:after="0" w:line="140"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Assets, Ltd.</w:t>
      </w:r>
    </w:p>
    <w:p>
      <w:pPr>
        <w:spacing w:after="0" w:line="21" w:lineRule="exact"/>
        <w:rPr>
          <w:rFonts w:ascii="Times New Roman" w:cs="Times New Roman" w:eastAsia="Times New Roman" w:hAnsi="Times New Roman"/>
          <w:sz w:val="18"/>
          <w:szCs w:val="18"/>
          <w:color w:val="auto"/>
        </w:rPr>
      </w:pPr>
    </w:p>
    <w:p>
      <w:pPr>
        <w:ind w:left="1380" w:right="33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International Management LP 666 Fifth Avenue</w:t>
      </w:r>
    </w:p>
    <w:p>
      <w:pPr>
        <w:jc w:val="both"/>
        <w:ind w:left="1380" w:right="460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Cayman Islands</w:t>
      </w:r>
    </w:p>
    <w:p>
      <w:pPr>
        <w:spacing w:after="0" w:line="140" w:lineRule="exact"/>
        <w:rPr>
          <w:rFonts w:ascii="Times New Roman" w:cs="Times New Roman" w:eastAsia="Times New Roman" w:hAnsi="Times New Roman"/>
          <w:sz w:val="18"/>
          <w:szCs w:val="18"/>
          <w:color w:val="auto"/>
        </w:rPr>
      </w:pPr>
    </w:p>
    <w:p>
      <w:pPr>
        <w:ind w:left="1380" w:right="36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International Management LP 666 Fifth Avenue</w:t>
      </w:r>
    </w:p>
    <w:p>
      <w:pPr>
        <w:spacing w:after="0" w:line="1" w:lineRule="exact"/>
        <w:rPr>
          <w:rFonts w:ascii="Times New Roman" w:cs="Times New Roman" w:eastAsia="Times New Roman" w:hAnsi="Times New Roman"/>
          <w:sz w:val="18"/>
          <w:szCs w:val="18"/>
          <w:color w:val="auto"/>
        </w:rPr>
      </w:pPr>
    </w:p>
    <w:p>
      <w:pPr>
        <w:ind w:left="1380" w:right="462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1380" w:right="44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666 Fifth Avenue</w:t>
      </w:r>
    </w:p>
    <w:p>
      <w:pPr>
        <w:spacing w:after="0" w:line="1" w:lineRule="exact"/>
        <w:rPr>
          <w:rFonts w:ascii="Times New Roman" w:cs="Times New Roman" w:eastAsia="Times New Roman" w:hAnsi="Times New Roman"/>
          <w:sz w:val="18"/>
          <w:szCs w:val="18"/>
          <w:color w:val="auto"/>
        </w:rPr>
      </w:pPr>
    </w:p>
    <w:p>
      <w:pPr>
        <w:ind w:left="1380" w:right="462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1380" w:right="39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666 Fifth Avenue</w:t>
      </w:r>
    </w:p>
    <w:p>
      <w:pPr>
        <w:spacing w:after="0" w:line="1" w:lineRule="exact"/>
        <w:rPr>
          <w:rFonts w:ascii="Times New Roman" w:cs="Times New Roman" w:eastAsia="Times New Roman" w:hAnsi="Times New Roman"/>
          <w:sz w:val="18"/>
          <w:szCs w:val="18"/>
          <w:color w:val="auto"/>
        </w:rPr>
      </w:pPr>
    </w:p>
    <w:p>
      <w:pPr>
        <w:ind w:left="1380" w:right="462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1380" w:right="42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666 Fifth Avenue</w:t>
      </w:r>
    </w:p>
    <w:p>
      <w:pPr>
        <w:ind w:left="1380" w:right="462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United States</w:t>
      </w:r>
    </w:p>
    <w:p>
      <w:pPr>
        <w:spacing w:after="0" w:line="140" w:lineRule="exact"/>
        <w:rPr>
          <w:rFonts w:ascii="Times New Roman" w:cs="Times New Roman" w:eastAsia="Times New Roman" w:hAnsi="Times New Roman"/>
          <w:sz w:val="18"/>
          <w:szCs w:val="18"/>
          <w:color w:val="auto"/>
        </w:rPr>
      </w:pPr>
    </w:p>
    <w:p>
      <w:pPr>
        <w:ind w:left="1380" w:hanging="413"/>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no par value ("Common Stock")</w:t>
      </w:r>
    </w:p>
    <w:p>
      <w:pPr>
        <w:spacing w:after="0" w:line="252" w:lineRule="exact"/>
        <w:rPr>
          <w:rFonts w:ascii="Times New Roman" w:cs="Times New Roman" w:eastAsia="Times New Roman" w:hAnsi="Times New Roman"/>
          <w:sz w:val="18"/>
          <w:szCs w:val="18"/>
          <w:color w:val="auto"/>
        </w:rPr>
      </w:pPr>
    </w:p>
    <w:p>
      <w:pPr>
        <w:ind w:left="1380" w:right="5460" w:hanging="413"/>
        <w:spacing w:after="0" w:line="621" w:lineRule="auto"/>
        <w:tabs>
          <w:tab w:leader="none" w:pos="1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CUSIP Number: </w:t>
      </w:r>
      <w:r>
        <w:rPr>
          <w:rFonts w:ascii="Times New Roman" w:cs="Times New Roman" w:eastAsia="Times New Roman" w:hAnsi="Times New Roman"/>
          <w:sz w:val="16"/>
          <w:szCs w:val="16"/>
          <w:color w:val="auto"/>
        </w:rPr>
        <w:t>391164100</w:t>
      </w:r>
    </w:p>
    <w:p>
      <w:pPr>
        <w:spacing w:after="0" w:line="20" w:lineRule="exact"/>
        <w:rPr>
          <w:sz w:val="20"/>
          <w:szCs w:val="20"/>
          <w:color w:val="auto"/>
        </w:rPr>
      </w:pPr>
      <w:r>
        <w:rPr>
          <w:sz w:val="20"/>
          <w:szCs w:val="20"/>
          <w:color w:val="auto"/>
        </w:rPr>
        <w:br w:type="column"/>
      </w:r>
    </w:p>
    <w:p>
      <w:pPr>
        <w:spacing w:after="0"/>
        <w:tabs>
          <w:tab w:leader="none" w:pos="800" w:val="left"/>
          <w:tab w:leader="none" w:pos="1460" w:val="left"/>
          <w:tab w:leader="none" w:pos="2140" w:val="left"/>
        </w:tabs>
        <w:rPr>
          <w:sz w:val="20"/>
          <w:szCs w:val="20"/>
          <w:color w:val="auto"/>
        </w:rPr>
      </w:pPr>
      <w:r>
        <w:rPr>
          <w:rFonts w:ascii="Times New Roman" w:cs="Times New Roman" w:eastAsia="Times New Roman" w:hAnsi="Times New Roman"/>
          <w:sz w:val="18"/>
          <w:szCs w:val="18"/>
          <w:color w:val="auto"/>
        </w:rPr>
        <w:t>Page</w:t>
      </w:r>
      <w:r>
        <w:rPr>
          <w:sz w:val="20"/>
          <w:szCs w:val="20"/>
          <w:color w:val="auto"/>
        </w:rPr>
        <w:tab/>
      </w: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-123825</wp:posOffset>
            </wp:positionV>
            <wp:extent cx="1427480" cy="158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7480" cy="158750"/>
                    </a:xfrm>
                    <a:prstGeom prst="rect">
                      <a:avLst/>
                    </a:prstGeom>
                    <a:noFill/>
                  </pic:spPr>
                </pic:pic>
              </a:graphicData>
            </a:graphic>
          </wp:anchor>
        </w:drawing>
      </w:r>
    </w:p>
    <w:p>
      <w:pPr>
        <w:sectPr>
          <w:pgSz w:w="11900" w:h="16838" w:orient="portrait"/>
          <w:cols w:equalWidth="0" w:num="2">
            <w:col w:w="8000" w:space="720"/>
            <w:col w:w="2340"/>
          </w:cols>
          <w:pgMar w:left="240" w:top="332" w:right="599" w:bottom="827"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462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w:t>
            </w:r>
          </w:p>
        </w:tc>
        <w:tc>
          <w:tcPr>
            <w:tcW w:w="92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r>
    </w:tbl>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60" w:hanging="479"/>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6"/>
          <w:szCs w:val="16"/>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60" w:hanging="479"/>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6"/>
          <w:szCs w:val="16"/>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60" w:hanging="479"/>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6"/>
          <w:szCs w:val="16"/>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60" w:hanging="479"/>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6"/>
          <w:szCs w:val="16"/>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960" w:hanging="479"/>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6"/>
          <w:szCs w:val="16"/>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960" w:hanging="479"/>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6"/>
          <w:szCs w:val="16"/>
          <w:color w:val="auto"/>
        </w:rPr>
        <w:t>An employee benefit plan or endowment fund in accordance with §240.13d-1(b)(1)(ii)(F);</w:t>
      </w:r>
    </w:p>
    <w:p>
      <w:pPr>
        <w:sectPr>
          <w:pgSz w:w="11900" w:h="16838" w:orient="portrait"/>
          <w:cols w:equalWidth="0" w:num="1">
            <w:col w:w="11420"/>
          </w:cols>
          <w:pgMar w:left="240" w:top="54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466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8" w:lineRule="exact"/>
        <w:rPr>
          <w:sz w:val="20"/>
          <w:szCs w:val="20"/>
          <w:color w:val="auto"/>
        </w:rPr>
      </w:pPr>
    </w:p>
    <w:p>
      <w:pPr>
        <w:ind w:left="960" w:hanging="479"/>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6"/>
          <w:szCs w:val="16"/>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960" w:hanging="479"/>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6"/>
          <w:szCs w:val="16"/>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80" w:right="140" w:hanging="899"/>
        <w:spacing w:after="0" w:line="275" w:lineRule="auto"/>
        <w:tabs>
          <w:tab w:leader="none" w:pos="9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173" w:lineRule="exact"/>
        <w:rPr>
          <w:rFonts w:ascii="Times New Roman" w:cs="Times New Roman" w:eastAsia="Times New Roman" w:hAnsi="Times New Roman"/>
          <w:sz w:val="18"/>
          <w:szCs w:val="18"/>
          <w:color w:val="auto"/>
        </w:rPr>
      </w:pPr>
    </w:p>
    <w:p>
      <w:pPr>
        <w:ind w:left="960" w:hanging="479"/>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 Amount Beneficially Owned:</w:t>
      </w:r>
    </w:p>
    <w:p>
      <w:pPr>
        <w:spacing w:after="0" w:line="185" w:lineRule="exact"/>
        <w:rPr>
          <w:sz w:val="20"/>
          <w:szCs w:val="20"/>
          <w:color w:val="auto"/>
        </w:rPr>
      </w:pPr>
    </w:p>
    <w:p>
      <w:pPr>
        <w:jc w:val="both"/>
        <w:ind w:firstLine="130"/>
        <w:spacing w:after="0" w:line="275" w:lineRule="auto"/>
        <w:rPr>
          <w:sz w:val="20"/>
          <w:szCs w:val="20"/>
          <w:color w:val="auto"/>
        </w:rPr>
      </w:pPr>
      <w:r>
        <w:rPr>
          <w:rFonts w:ascii="Times New Roman" w:cs="Times New Roman" w:eastAsia="Times New Roman" w:hAnsi="Times New Roman"/>
          <w:sz w:val="18"/>
          <w:szCs w:val="18"/>
          <w:color w:val="auto"/>
        </w:rPr>
        <w:t>As of the close of business on June 4, 2018, the reporting persons beneficially owned an aggregate of 16,547,206 shares of the Issuer’s Common Stock or 7.7% of the Issuer’s Common Stock outstanding.</w:t>
      </w:r>
    </w:p>
    <w:p>
      <w:pPr>
        <w:spacing w:after="0" w:line="133" w:lineRule="exact"/>
        <w:rPr>
          <w:sz w:val="20"/>
          <w:szCs w:val="20"/>
          <w:color w:val="auto"/>
        </w:rPr>
      </w:pPr>
    </w:p>
    <w:p>
      <w:pPr>
        <w:jc w:val="both"/>
        <w:ind w:firstLine="186"/>
        <w:spacing w:after="0" w:line="293" w:lineRule="auto"/>
        <w:rPr>
          <w:sz w:val="20"/>
          <w:szCs w:val="20"/>
          <w:color w:val="auto"/>
        </w:rPr>
      </w:pPr>
      <w:r>
        <w:rPr>
          <w:rFonts w:ascii="Times New Roman" w:cs="Times New Roman" w:eastAsia="Times New Roman" w:hAnsi="Times New Roman"/>
          <w:sz w:val="16"/>
          <w:szCs w:val="16"/>
          <w:color w:val="auto"/>
        </w:rPr>
        <w:t>Also, on June 4, 2018, pursuant to the Amended and Restated Agreement and Plan of Merger dated July 9, 2017 by and among Evergy, Inc., a Missouri corporation, formerly known as Monarch Energy Holding, Inc. ("Evergy"), the Issuer, Westar Energy, Inc., a Kansas corporation, and King Energy, Inc., a Kansas corporation and a wholly owned subsidiary of Evergy, and for certain limited purposes, GP Star, Inc., a Kansas corporation, the Issuer merged with and into Evergy (the "GPE Merger"), with Evergy continuing as the surviving corporation in the GPE Merger. Pursuant to the terms of the GPE Merger, each share of the Issuer’s Common Stock was converted into the right to receive 0.5981 validly issued, fully paid and non-assessable shares of common stock, no par value, of Evergy. Accordingly, at the effective time of the GPE Merger, the reporting persons no longer beneficially owned any shares of the Issuer’s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 Percent of Class:</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0.0% (see Item 4(a) above).</w:t>
      </w:r>
    </w:p>
    <w:p>
      <w:pPr>
        <w:sectPr>
          <w:pgSz w:w="11900" w:h="16838" w:orient="portrait"/>
          <w:cols w:equalWidth="0" w:num="1">
            <w:col w:w="11420"/>
          </w:cols>
          <w:pgMar w:left="240" w:top="33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466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58" w:lineRule="exact"/>
        <w:rPr>
          <w:sz w:val="20"/>
          <w:szCs w:val="20"/>
          <w:color w:val="auto"/>
        </w:rPr>
      </w:pPr>
    </w:p>
    <w:p>
      <w:pPr>
        <w:ind w:left="300" w:hanging="248"/>
        <w:spacing w:after="0"/>
        <w:tabs>
          <w:tab w:leader="none" w:pos="300"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84" w:lineRule="exact"/>
        <w:rPr>
          <w:rFonts w:ascii="Times New Roman" w:cs="Times New Roman" w:eastAsia="Times New Roman" w:hAnsi="Times New Roman"/>
          <w:sz w:val="18"/>
          <w:szCs w:val="18"/>
          <w:u w:val="single" w:color="auto"/>
          <w:color w:val="auto"/>
        </w:rPr>
      </w:pPr>
    </w:p>
    <w:p>
      <w:pPr>
        <w:ind w:left="680" w:right="7920" w:hanging="132"/>
        <w:spacing w:after="0" w:line="454" w:lineRule="auto"/>
        <w:tabs>
          <w:tab w:leader="none" w:pos="75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ind w:left="680" w:right="7700" w:hanging="132"/>
        <w:spacing w:after="0" w:line="454" w:lineRule="auto"/>
        <w:tabs>
          <w:tab w:leader="none" w:pos="80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 (See Item 4(a))</w:t>
      </w:r>
    </w:p>
    <w:p>
      <w:pPr>
        <w:ind w:left="900" w:hanging="308"/>
        <w:spacing w:after="0"/>
        <w:tabs>
          <w:tab w:leader="none" w:pos="9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184"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185" w:lineRule="exact"/>
        <w:rPr>
          <w:sz w:val="20"/>
          <w:szCs w:val="20"/>
          <w:color w:val="auto"/>
        </w:rPr>
      </w:pPr>
    </w:p>
    <w:p>
      <w:pPr>
        <w:ind w:left="680" w:right="6780" w:hanging="132"/>
        <w:spacing w:after="0" w:line="454" w:lineRule="auto"/>
        <w:tabs>
          <w:tab w:leader="none" w:pos="8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 (See Item 4(a))</w:t>
      </w: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jc w:val="both"/>
        <w:ind w:firstLine="139"/>
        <w:spacing w:after="0" w:line="275"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þ .</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firstLine="157"/>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33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462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Page</w:t>
            </w:r>
          </w:p>
        </w:tc>
        <w:tc>
          <w:tcPr>
            <w:tcW w:w="92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Exhibit I: Joint Filing Agreement, dated as of June 13, 2018, by and among Integrated Core Strategies (US) LLC, Cognizant Holdings, Ltd., ICS Opportunities, Ltd., Integrated Assets, Ltd., Millennium International Management LP, Millennium Management LLC, Millennium Group Management LLC and Israel A. Englander.</w:t>
      </w:r>
    </w:p>
    <w:p>
      <w:pPr>
        <w:sectPr>
          <w:pgSz w:w="11900" w:h="16838" w:orient="portrait"/>
          <w:cols w:equalWidth="0" w:num="1">
            <w:col w:w="11420"/>
          </w:cols>
          <w:pgMar w:left="240" w:top="33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464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13, 2018</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David Nolan</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-130175</wp:posOffset>
            </wp:positionV>
            <wp:extent cx="2143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COGNIZANT HOLDINGS, LTD.</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International Management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David Nolan</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-130175</wp:posOffset>
            </wp:positionV>
            <wp:extent cx="2143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International Management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/s/David Nolan</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-130175</wp:posOffset>
            </wp:positionV>
            <wp:extent cx="2143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ASSETS, LTD.</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International Management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/s/David Nolan</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-130175</wp:posOffset>
            </wp:positionV>
            <wp:extent cx="2143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/s/David Nolan</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-130175</wp:posOffset>
            </wp:positionV>
            <wp:extent cx="2143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/s/David Nolan</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-130175</wp:posOffset>
            </wp:positionV>
            <wp:extent cx="2143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/s/David Nolan</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-130175</wp:posOffset>
            </wp:positionV>
            <wp:extent cx="2143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 by David Nolan</w:t>
      </w:r>
    </w:p>
    <w:p>
      <w:pPr>
        <w:sectPr>
          <w:pgSz w:w="11900" w:h="16838" w:orient="portrait"/>
          <w:cols w:equalWidth="0" w:num="1">
            <w:col w:w="11420"/>
          </w:cols>
          <w:pgMar w:left="240" w:top="332" w:right="239" w:bottom="0" w:gutter="0" w:footer="0" w:header="0"/>
        </w:sectPr>
      </w:pPr>
    </w:p>
    <w:bookmarkStart w:id="15" w:name="page16"/>
    <w:bookmarkEnd w:id="15"/>
    <w:p>
      <w:pPr>
        <w:ind w:left="2140"/>
        <w:spacing w:after="0"/>
        <w:rPr>
          <w:sz w:val="20"/>
          <w:szCs w:val="20"/>
          <w:color w:val="auto"/>
        </w:rPr>
      </w:pPr>
      <w:r>
        <w:rPr>
          <w:rFonts w:ascii="Times New Roman" w:cs="Times New Roman" w:eastAsia="Times New Roman" w:hAnsi="Times New Roman"/>
          <w:sz w:val="16"/>
          <w:szCs w:val="16"/>
          <w:color w:val="auto"/>
        </w:rPr>
        <w:t>pursuant to Power of Attorney filed with</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SEC on June 6, 2005</w:t>
      </w:r>
    </w:p>
    <w:p>
      <w:pPr>
        <w:spacing w:after="0" w:line="1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1361440</wp:posOffset>
            </wp:positionH>
            <wp:positionV relativeFrom="paragraph">
              <wp:posOffset>-130175</wp:posOffset>
            </wp:positionV>
            <wp:extent cx="21437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391164100</w:t>
            </w:r>
          </w:p>
        </w:tc>
        <w:tc>
          <w:tcPr>
            <w:tcW w:w="464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no par value, of Great Plains Energy Incorporated, a Missouri corporation,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13, 2018</w:t>
      </w:r>
    </w:p>
    <w:p>
      <w:pPr>
        <w:spacing w:after="0" w:line="20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David Nolan</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-130175</wp:posOffset>
            </wp:positionV>
            <wp:extent cx="2143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COGNIZANT HOLDINGS, LTD.</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International Management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David Nolan</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-130175</wp:posOffset>
            </wp:positionV>
            <wp:extent cx="21437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International Management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/s/David Nolan</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-130175</wp:posOffset>
            </wp:positionV>
            <wp:extent cx="21437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ASSETS, LTD.</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International Management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/s/David Nolan</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-130175</wp:posOffset>
            </wp:positionV>
            <wp:extent cx="21437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/s/David Nolan</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-130175</wp:posOffset>
            </wp:positionV>
            <wp:extent cx="21437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/s/David Nolan</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-130175</wp:posOffset>
            </wp:positionV>
            <wp:extent cx="21437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14605</wp:posOffset>
            </wp:positionV>
            <wp:extent cx="21437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ectPr>
          <w:pgSz w:w="11900" w:h="16838" w:orient="portrait"/>
          <w:cols w:equalWidth="0" w:num="1">
            <w:col w:w="11420"/>
          </w:cols>
          <w:pgMar w:left="240" w:top="332" w:right="239" w:bottom="0" w:gutter="0" w:footer="0" w:header="0"/>
        </w:sectPr>
      </w:pPr>
    </w:p>
    <w:bookmarkStart w:id="17" w:name="page18"/>
    <w:bookmarkEnd w:id="17"/>
    <w:p>
      <w:pPr>
        <w:ind w:left="2140"/>
        <w:spacing w:after="0"/>
        <w:rPr>
          <w:sz w:val="20"/>
          <w:szCs w:val="20"/>
          <w:color w:val="auto"/>
        </w:rPr>
      </w:pPr>
      <w:r>
        <w:rPr>
          <w:rFonts w:ascii="Times New Roman" w:cs="Times New Roman" w:eastAsia="Times New Roman" w:hAnsi="Times New Roman"/>
          <w:sz w:val="18"/>
          <w:szCs w:val="18"/>
          <w:color w:val="auto"/>
        </w:rPr>
        <w:t>Name: David Nolan</w:t>
      </w:r>
    </w:p>
    <w:p>
      <w:pPr>
        <w:spacing w:after="0" w:line="2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0" w:lineRule="exact"/>
        <w:rPr>
          <w:sz w:val="20"/>
          <w:szCs w:val="20"/>
          <w:color w:val="auto"/>
        </w:rPr>
      </w:pPr>
    </w:p>
    <w:p>
      <w:pPr>
        <w:spacing w:after="0" w:line="25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 Israel A. Englander by David Nolan</w:t>
      </w:r>
    </w:p>
    <w:p>
      <w:pPr>
        <w:spacing w:after="0" w:line="2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pursuant to Power of Attorney filed with</w:t>
      </w:r>
    </w:p>
    <w:p>
      <w:pPr>
        <w:spacing w:after="0" w:line="3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SEC on June 6, 2005</w:t>
      </w:r>
    </w:p>
    <w:p>
      <w:pPr>
        <w:spacing w:after="0" w:line="1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1361440</wp:posOffset>
            </wp:positionH>
            <wp:positionV relativeFrom="paragraph">
              <wp:posOffset>-130175</wp:posOffset>
            </wp:positionV>
            <wp:extent cx="21437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2"/>
      <w:numFmt w:val="bullet"/>
      <w:start w:val="1"/>
    </w:lvl>
    <w:lvl w:ilvl="1">
      <w:lvlJc w:val="left"/>
      <w:lvlText w:val="(%2)"/>
      <w:numFmt w:val="lowerLetter"/>
      <w:start w:val="2"/>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2"/>
      <w:numFmt w:val="bullet"/>
      <w:start w:val="1"/>
    </w:lvl>
    <w:lvl w:ilvl="1">
      <w:lvlJc w:val="left"/>
      <w:lvlText w:val="(%2)"/>
      <w:numFmt w:val="lowerLetter"/>
      <w:start w:val="2"/>
    </w:lvl>
  </w:abstractNum>
  <w:abstractNum w:abstractNumId="4">
    <w:nsid w:val="DED7263"/>
    <w:multiLevelType w:val="hybridMultilevel"/>
    <w:lvl w:ilvl="0">
      <w:lvlJc w:val="left"/>
      <w:lvlText w:val="3"/>
      <w:numFmt w:val="bullet"/>
      <w:start w:val="1"/>
    </w:lvl>
  </w:abstractNum>
  <w:abstractNum w:abstractNumId="5">
    <w:nsid w:val="7FDCC233"/>
    <w:multiLevelType w:val="hybridMultilevel"/>
    <w:lvl w:ilvl="0">
      <w:lvlJc w:val="left"/>
      <w:lvlText w:val="2"/>
      <w:numFmt w:val="bullet"/>
      <w:start w:val="1"/>
    </w:lvl>
    <w:lvl w:ilvl="1">
      <w:lvlJc w:val="left"/>
      <w:lvlText w:val="(%2)"/>
      <w:numFmt w:val="lowerLetter"/>
      <w:start w:val="2"/>
    </w:lvl>
  </w:abstractNum>
  <w:abstractNum w:abstractNumId="6">
    <w:nsid w:val="1BEFD79F"/>
    <w:multiLevelType w:val="hybridMultilevel"/>
    <w:lvl w:ilvl="0">
      <w:lvlJc w:val="left"/>
      <w:lvlText w:val="3"/>
      <w:numFmt w:val="bullet"/>
      <w:start w:val="1"/>
    </w:lvl>
  </w:abstractNum>
  <w:abstractNum w:abstractNumId="7">
    <w:nsid w:val="41A7C4C9"/>
    <w:multiLevelType w:val="hybridMultilevel"/>
    <w:lvl w:ilvl="0">
      <w:lvlJc w:val="left"/>
      <w:lvlText w:val="2"/>
      <w:numFmt w:val="bullet"/>
      <w:start w:val="1"/>
    </w:lvl>
    <w:lvl w:ilvl="1">
      <w:lvlJc w:val="left"/>
      <w:lvlText w:val="(%2)"/>
      <w:numFmt w:val="lowerLetter"/>
      <w:start w:val="2"/>
    </w:lvl>
  </w:abstractNum>
  <w:abstractNum w:abstractNumId="8">
    <w:nsid w:val="6B68079A"/>
    <w:multiLevelType w:val="hybridMultilevel"/>
    <w:lvl w:ilvl="0">
      <w:lvlJc w:val="left"/>
      <w:lvlText w:val="3"/>
      <w:numFmt w:val="bullet"/>
      <w:start w:val="1"/>
    </w:lvl>
  </w:abstractNum>
  <w:abstractNum w:abstractNumId="9">
    <w:nsid w:val="4E6AFB66"/>
    <w:multiLevelType w:val="hybridMultilevel"/>
    <w:lvl w:ilvl="0">
      <w:lvlJc w:val="left"/>
      <w:lvlText w:val="2"/>
      <w:numFmt w:val="bullet"/>
      <w:start w:val="1"/>
    </w:lvl>
    <w:lvl w:ilvl="1">
      <w:lvlJc w:val="left"/>
      <w:lvlText w:val="(%2)"/>
      <w:numFmt w:val="lowerLetter"/>
      <w:start w:val="2"/>
    </w:lvl>
  </w:abstractNum>
  <w:abstractNum w:abstractNumId="10">
    <w:nsid w:val="25E45D32"/>
    <w:multiLevelType w:val="hybridMultilevel"/>
    <w:lvl w:ilvl="0">
      <w:lvlJc w:val="left"/>
      <w:lvlText w:val="3"/>
      <w:numFmt w:val="bullet"/>
      <w:start w:val="1"/>
    </w:lvl>
  </w:abstractNum>
  <w:abstractNum w:abstractNumId="11">
    <w:nsid w:val="519B500D"/>
    <w:multiLevelType w:val="hybridMultilevel"/>
    <w:lvl w:ilvl="0">
      <w:lvlJc w:val="left"/>
      <w:lvlText w:val="2"/>
      <w:numFmt w:val="bullet"/>
      <w:start w:val="1"/>
    </w:lvl>
    <w:lvl w:ilvl="1">
      <w:lvlJc w:val="left"/>
      <w:lvlText w:val="(%2)"/>
      <w:numFmt w:val="lowerLetter"/>
      <w:start w:val="2"/>
    </w:lvl>
  </w:abstractNum>
  <w:abstractNum w:abstractNumId="12">
    <w:nsid w:val="431BD7B7"/>
    <w:multiLevelType w:val="hybridMultilevel"/>
    <w:lvl w:ilvl="0">
      <w:lvlJc w:val="left"/>
      <w:lvlText w:val="3"/>
      <w:numFmt w:val="bullet"/>
      <w:start w:val="1"/>
    </w:lvl>
  </w:abstractNum>
  <w:abstractNum w:abstractNumId="13">
    <w:nsid w:val="3F2DBA31"/>
    <w:multiLevelType w:val="hybridMultilevel"/>
    <w:lvl w:ilvl="0">
      <w:lvlJc w:val="left"/>
      <w:lvlText w:val="2"/>
      <w:numFmt w:val="bullet"/>
      <w:start w:val="1"/>
    </w:lvl>
    <w:lvl w:ilvl="1">
      <w:lvlJc w:val="left"/>
      <w:lvlText w:val="(%2)"/>
      <w:numFmt w:val="lowerLetter"/>
      <w:start w:val="2"/>
    </w:lvl>
  </w:abstractNum>
  <w:abstractNum w:abstractNumId="14">
    <w:nsid w:val="7C83E458"/>
    <w:multiLevelType w:val="hybridMultilevel"/>
    <w:lvl w:ilvl="0">
      <w:lvlJc w:val="left"/>
      <w:lvlText w:val="3"/>
      <w:numFmt w:val="bullet"/>
      <w:start w:val="1"/>
    </w:lvl>
  </w:abstractNum>
  <w:abstractNum w:abstractNumId="15">
    <w:nsid w:val="257130A3"/>
    <w:multiLevelType w:val="hybridMultilevel"/>
    <w:lvl w:ilvl="0">
      <w:lvlJc w:val="left"/>
      <w:lvlText w:val="2"/>
      <w:numFmt w:val="bullet"/>
      <w:start w:val="1"/>
    </w:lvl>
    <w:lvl w:ilvl="1">
      <w:lvlJc w:val="left"/>
      <w:lvlText w:val="(%2)"/>
      <w:numFmt w:val="lowerLetter"/>
      <w:start w:val="2"/>
    </w:lvl>
  </w:abstractNum>
  <w:abstractNum w:abstractNumId="16">
    <w:nsid w:val="62BBD95A"/>
    <w:multiLevelType w:val="hybridMultilevel"/>
    <w:lvl w:ilvl="0">
      <w:lvlJc w:val="left"/>
      <w:lvlText w:val="3"/>
      <w:numFmt w:val="bullet"/>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7"/>
    </w:lvl>
  </w:abstractNum>
  <w:abstractNum w:abstractNumId="21">
    <w:nsid w:val="2443A858"/>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61"/>
    </w:lvl>
  </w:abstractNum>
  <w:abstractNum w:abstractNumId="22">
    <w:nsid w:val="2D1D5AE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2019-12-06T18:26:07Z</dcterms:created>
  <dcterms:modified xsi:type="dcterms:W3CDTF">2019-12-06T18:26:07Z</dcterms:modified>
</cp:coreProperties>
</file>