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Rolph Jonathan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1200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Evergy, Inc.</w:t>
              </w:r>
            </w:hyperlink>
            <w:r>
              <w:rPr/>
              <w:t xml:space="preserve"> [ </w:t>
            </w:r>
            <w:r>
              <w:rPr>
                <w:rFonts w:ascii="Times;serif" w:hAnsi="Times;serif"/>
                <w:color w:val="0000FF"/>
                <w:sz w:val="24"/>
                <w:shd w:fill="FFFFFF" w:val="clear"/>
              </w:rPr>
              <w:t>EVRG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623"/>
        <w:gridCol w:w="1174"/>
        <w:gridCol w:w="1006"/>
        <w:gridCol w:w="10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Daughter</w:t>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Daughter</w:t>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Son</w:t>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Son</w:t>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Son</w:t>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Son</w:t>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7,783</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Director deferred share units received as partial payment of retainer fees that have been deferred pursuant to elections made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63 deferred share units acquired through the reinvestment of dividend equivalents.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Executed on behalf of Jonathan D. Rolph by Amy Abrams,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8488" TargetMode="External"/><Relationship Id="rId5" Type="http://schemas.openxmlformats.org/officeDocument/2006/relationships/hyperlink" Target="http://www.sec.gov/cgi-bin/browse-edgar?action=getcompany&amp;CIK=00017112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3869</Characters>
  <CharactersWithSpaces>4494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