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ind w:left="4580" w:right="2240" w:hanging="2337"/>
        <w:spacing w:after="0" w:line="282" w:lineRule="auto"/>
        <w:tabs>
          <w:tab w:leader="none" w:pos="24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4580" w:right="2220" w:hanging="2346"/>
        <w:spacing w:after="0" w:line="282" w:lineRule="auto"/>
        <w:tabs>
          <w:tab w:leader="none" w:pos="24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1"/>
                <w:szCs w:val="21"/>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offices and telephone number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EVERGY,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EVERGY METRO,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Times New Roman" w:cs="Times New Roman" w:eastAsia="Times New Roman" w:hAnsi="Times New Roman"/>
                <w:sz w:val="18"/>
                <w:szCs w:val="18"/>
                <w:b w:val="1"/>
                <w:bCs w:val="1"/>
                <w:color w:val="auto"/>
                <w:w w:val="98"/>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36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0" w:right="54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20"/>
          </w:cols>
          <w:pgMar w:left="320" w:top="118"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Evergy,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9"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1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On October 31, 2025, Evergy, Inc. had 230,214,144 shares of common stock outstanding. On October 31, 2025, Evergy Metro, Inc. and Evergy Kansas Central, Inc. each had one share of common stock outstanding and held by Evergy, Inc.</w:t>
      </w:r>
    </w:p>
    <w:p>
      <w:pPr>
        <w:spacing w:after="0" w:line="149" w:lineRule="exact"/>
        <w:rPr>
          <w:sz w:val="20"/>
          <w:szCs w:val="20"/>
          <w:color w:val="auto"/>
        </w:rPr>
      </w:pPr>
    </w:p>
    <w:p>
      <w:pPr>
        <w:ind w:left="20" w:right="580"/>
        <w:spacing w:after="0" w:line="248" w:lineRule="auto"/>
        <w:rPr>
          <w:sz w:val="20"/>
          <w:szCs w:val="20"/>
          <w:color w:val="auto"/>
        </w:rPr>
      </w:pPr>
      <w:r>
        <w:rPr>
          <w:rFonts w:ascii="Times New Roman" w:cs="Times New Roman" w:eastAsia="Times New Roman" w:hAnsi="Times New Roman"/>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7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2024 for each of Evergy, Evergy Kansas Central and Evergy Metro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Page Number</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Income</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w:t>
            </w:r>
          </w:p>
        </w:tc>
        <w:tc>
          <w:tcPr>
            <w:tcW w:w="2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2:</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2180" w:type="dxa"/>
            <w:vAlign w:val="bottom"/>
            <w:gridSpan w:val="13"/>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3:</w:t>
            </w: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Receivables</w:t>
            </w:r>
          </w:p>
        </w:tc>
        <w:tc>
          <w:tcPr>
            <w:tcW w:w="5780" w:type="dxa"/>
            <w:vAlign w:val="bottom"/>
            <w:gridSpan w:val="18"/>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4:</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5:</w:t>
            </w:r>
          </w:p>
        </w:tc>
        <w:tc>
          <w:tcPr>
            <w:tcW w:w="2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Goodwill</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6:</w:t>
            </w:r>
          </w:p>
        </w:tc>
        <w:tc>
          <w:tcPr>
            <w:tcW w:w="3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7:</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8:</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Long-Term Debt</w:t>
            </w:r>
          </w:p>
        </w:tc>
        <w:tc>
          <w:tcPr>
            <w:tcW w:w="3240" w:type="dxa"/>
            <w:vAlign w:val="bottom"/>
            <w:gridSpan w:val="13"/>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9:</w:t>
            </w:r>
          </w:p>
        </w:tc>
        <w:tc>
          <w:tcPr>
            <w:tcW w:w="1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Derivative Instruments</w:t>
            </w:r>
          </w:p>
        </w:tc>
        <w:tc>
          <w:tcPr>
            <w:tcW w:w="500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10:</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11:</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12:</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13:</w:t>
            </w:r>
          </w:p>
        </w:tc>
        <w:tc>
          <w:tcPr>
            <w:tcW w:w="3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Shareholders' Equity</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14:</w:t>
            </w:r>
          </w:p>
        </w:tc>
        <w:tc>
          <w:tcPr>
            <w:tcW w:w="1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Taxes</w:t>
            </w:r>
          </w:p>
        </w:tc>
        <w:tc>
          <w:tcPr>
            <w:tcW w:w="5160" w:type="dxa"/>
            <w:vAlign w:val="bottom"/>
            <w:gridSpan w:val="1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15:</w:t>
            </w:r>
          </w:p>
        </w:tc>
        <w:tc>
          <w:tcPr>
            <w:tcW w:w="1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Segment Information</w:t>
            </w:r>
          </w:p>
        </w:tc>
        <w:tc>
          <w:tcPr>
            <w:tcW w:w="512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1"/>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1"/>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11"/>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11"/>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7"/>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60" w:type="dxa"/>
            <w:vAlign w:val="bottom"/>
            <w:gridSpan w:val="1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320" w:top="118" w:right="8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STATEMENTS REGARDING CERTAIN FORWARD-LOOKING INFORMATION</w:t>
      </w:r>
    </w:p>
    <w:p>
      <w:pPr>
        <w:spacing w:after="0" w:line="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changes in business strategy or operations, including with respect to the Evergy Companies' strategy to meet demand requirements of existing and future customers; the impact of federal, state and local political, legislative, judicial and regulatory actions or developments, including deregulation, re-regulation, securitization and restructuring of the electric utility industry; changes in U.S. trade policies (including tariffs and other trade measures) and responses from other countries; the ability to build or acquire generation, battery storage and transmission facilities to meet the future demand for electricity from customers; the ability to control costs, avoid costs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sales 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which, among other things, could impact the trajectory of expected load growth;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3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96"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glossary of frequently used abbreviations or acronyms that are found throughout this report.</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8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0" w:type="dxa"/>
            <w:vAlign w:val="bottom"/>
          </w:tcPr>
          <w:p>
            <w:pPr>
              <w:spacing w:after="0"/>
              <w:rPr>
                <w:sz w:val="1"/>
                <w:szCs w:val="1"/>
                <w:color w:val="auto"/>
              </w:rPr>
            </w:pPr>
          </w:p>
        </w:tc>
      </w:tr>
      <w:tr>
        <w:trPr>
          <w:trHeight w:val="534"/>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AEP</w:t>
            </w:r>
          </w:p>
        </w:tc>
        <w:tc>
          <w:tcPr>
            <w:tcW w:w="86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American Electric Power Company, Inc.</w:t>
            </w:r>
          </w:p>
        </w:tc>
        <w:tc>
          <w:tcPr>
            <w:tcW w:w="84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AFUDC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AOCI</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AROs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ATM Program</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At-the-Market Program</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BSER</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Best system of emission reduction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CAA</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Clean Air Act</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CCN</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Certificate of Convenience and Necessity</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CCRs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Coal combustion residuals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Carbon capture and sequestration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b w:val="1"/>
                <w:bCs w:val="1"/>
                <w:color w:val="auto"/>
              </w:rPr>
              <w:t>CO</w:t>
            </w:r>
            <w:r>
              <w:rPr>
                <w:rFonts w:ascii="Times New Roman" w:cs="Times New Roman" w:eastAsia="Times New Roman" w:hAnsi="Times New Roman"/>
                <w:sz w:val="25"/>
                <w:szCs w:val="25"/>
                <w:b w:val="1"/>
                <w:bCs w:val="1"/>
                <w:color w:val="auto"/>
                <w:vertAlign w:val="subscript"/>
              </w:rPr>
              <w:t>2</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Carbon dioxide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COLI</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Corporate-owned life insurance</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CSAPR</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Cross-State Air Pollution Rule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CWIP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Construction work in progress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EIRR</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Environmental Improvement Revenue Refunding</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EPA</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Environmental Protection Agency</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Earnings per common share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Inc. and its consolidated subsidiaries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Board</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Board of Directors</w:t>
            </w:r>
          </w:p>
        </w:tc>
        <w:tc>
          <w:tcPr>
            <w:tcW w:w="0" w:type="dxa"/>
            <w:vAlign w:val="bottom"/>
          </w:tcPr>
          <w:p>
            <w:pPr>
              <w:spacing w:after="0"/>
              <w:rPr>
                <w:sz w:val="1"/>
                <w:szCs w:val="1"/>
                <w:color w:val="auto"/>
              </w:rPr>
            </w:pPr>
          </w:p>
        </w:tc>
      </w:tr>
      <w:tr>
        <w:trPr>
          <w:trHeight w:val="206"/>
        </w:trPr>
        <w:tc>
          <w:tcPr>
            <w:tcW w:w="306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Evergy Companies</w:t>
            </w:r>
          </w:p>
        </w:tc>
        <w:tc>
          <w:tcPr>
            <w:tcW w:w="8040" w:type="dxa"/>
            <w:vAlign w:val="bottom"/>
            <w:gridSpan w:val="3"/>
          </w:tcPr>
          <w:p>
            <w:pPr>
              <w:ind w:left="420"/>
              <w:spacing w:after="0" w:line="207" w:lineRule="exact"/>
              <w:rPr>
                <w:sz w:val="20"/>
                <w:szCs w:val="20"/>
                <w:color w:val="auto"/>
              </w:rPr>
            </w:pPr>
            <w:r>
              <w:rPr>
                <w:rFonts w:ascii="Times New Roman" w:cs="Times New Roman" w:eastAsia="Times New Roman" w:hAnsi="Times New Roman"/>
                <w:sz w:val="20"/>
                <w:szCs w:val="20"/>
                <w:color w:val="auto"/>
                <w:w w:val="98"/>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tc>
        <w:tc>
          <w:tcPr>
            <w:tcW w:w="804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3060" w:type="dxa"/>
            <w:vAlign w:val="bottom"/>
            <w:gridSpan w:val="2"/>
            <w:vMerge w:val="continue"/>
          </w:tcPr>
          <w:p>
            <w:pPr>
              <w:spacing w:after="0"/>
              <w:rPr>
                <w:sz w:val="17"/>
                <w:szCs w:val="17"/>
                <w:color w:val="auto"/>
              </w:rPr>
            </w:pPr>
          </w:p>
        </w:tc>
        <w:tc>
          <w:tcPr>
            <w:tcW w:w="8040" w:type="dxa"/>
            <w:vAlign w:val="bottom"/>
            <w:gridSpan w:val="3"/>
          </w:tcPr>
          <w:p>
            <w:pPr>
              <w:ind w:left="420"/>
              <w:spacing w:after="0" w:line="203" w:lineRule="exact"/>
              <w:rPr>
                <w:sz w:val="20"/>
                <w:szCs w:val="20"/>
                <w:color w:val="auto"/>
              </w:rPr>
            </w:pPr>
            <w:r>
              <w:rPr>
                <w:rFonts w:ascii="Times New Roman" w:cs="Times New Roman" w:eastAsia="Times New Roman" w:hAnsi="Times New Roman"/>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South</w:t>
            </w:r>
          </w:p>
        </w:tc>
        <w:tc>
          <w:tcPr>
            <w:tcW w:w="804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53"/>
        </w:trPr>
        <w:tc>
          <w:tcPr>
            <w:tcW w:w="3060" w:type="dxa"/>
            <w:vAlign w:val="bottom"/>
            <w:gridSpan w:val="2"/>
            <w:vMerge w:val="continue"/>
          </w:tcPr>
          <w:p>
            <w:pPr>
              <w:spacing w:after="0"/>
              <w:rPr>
                <w:sz w:val="21"/>
                <w:szCs w:val="21"/>
                <w:color w:val="auto"/>
              </w:rPr>
            </w:pP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Metro</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Transmission Company</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Transmission Company, LLC</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Exchange Act</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The Securities Exchange Act of 1934, as amended</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FERC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Federal Energy Regulatory Commission</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Federal implementation plan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GAAP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Generally Accepted Accounting Principles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GHG</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Greenhouse gas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HB</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House Bill</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IRP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Integrated Resource Plan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ITFIP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Interstate Transport Federal Implementation Plans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ITSIP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Interstate Transport State Implementation Plans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JEC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Jeffrey Energy Center</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KCC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State Corporation Commission of the State of Kansas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KDHE</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Kansas Department of Health &amp; Environment</w:t>
            </w:r>
          </w:p>
        </w:tc>
        <w:tc>
          <w:tcPr>
            <w:tcW w:w="0" w:type="dxa"/>
            <w:vAlign w:val="bottom"/>
          </w:tcPr>
          <w:p>
            <w:pPr>
              <w:spacing w:after="0"/>
              <w:rPr>
                <w:sz w:val="1"/>
                <w:szCs w:val="1"/>
                <w:color w:val="auto"/>
              </w:rPr>
            </w:pPr>
          </w:p>
        </w:tc>
      </w:tr>
      <w:tr>
        <w:trPr>
          <w:trHeight w:val="262"/>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kV</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Kilovolt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r>
      <w:tr>
        <w:trPr>
          <w:trHeight w:val="277"/>
        </w:trPr>
        <w:tc>
          <w:tcPr>
            <w:tcW w:w="20" w:type="dxa"/>
            <w:vAlign w:val="bottom"/>
          </w:tcPr>
          <w:p>
            <w:pPr>
              <w:spacing w:after="0"/>
              <w:rPr>
                <w:sz w:val="24"/>
                <w:szCs w:val="24"/>
                <w:color w:val="auto"/>
              </w:rPr>
            </w:pPr>
          </w:p>
        </w:tc>
        <w:tc>
          <w:tcPr>
            <w:tcW w:w="2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LLPS</w:t>
            </w:r>
          </w:p>
        </w:tc>
        <w:tc>
          <w:tcPr>
            <w:tcW w:w="64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Large Load Power Service</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MDNR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Missouri Department of Natural Resources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MPSC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Public Service Commission of the State of Missouri</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MWh</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 hour</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NAAQS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NAV</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OBBBA</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One Big Beautiful Bill Act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OCI</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Other comprehensive income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PISA</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Plant-in-service accounting</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RSU</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Restricted share unit</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RTO</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Regional transmission organization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SB</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Senate Bill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Securities and Exchange Commission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SIP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State implementation plan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SPP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TCR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congestion rights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TDC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delivery charge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TFR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formula rate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Transource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Transource Energy, LLC and its subsidiaries, 13.5% owned by Evergy Transmission Company</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VIE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Variable interest entity</w:t>
            </w:r>
          </w:p>
        </w:tc>
      </w:tr>
      <w:tr>
        <w:trPr>
          <w:trHeight w:val="262"/>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Wolf Creek</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Wolf Creek Generating Station</w:t>
            </w:r>
          </w:p>
        </w:tc>
      </w:tr>
      <w:tr>
        <w:trPr>
          <w:trHeight w:val="9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246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27.5</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$11.5 and $15.7, respectively</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338.3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245.4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425.0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401.0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817.0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867.4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25.1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$16.5 and $15.9 related to variable interest entity, respectively</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166.0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180.9</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65.0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66.1</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60.8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45.4</w:t>
            </w:r>
          </w:p>
        </w:tc>
      </w:tr>
      <w:tr>
        <w:trPr>
          <w:trHeight w:val="211"/>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1,924.7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1,839.3</w:t>
            </w:r>
          </w:p>
        </w:tc>
      </w:tr>
      <w:tr>
        <w:trPr>
          <w:trHeight w:val="208"/>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$121.1 and $126.5 related to variable interest entity, respectively</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25,698.6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24,930.9</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$282.1 and $294.5 related to variable interest entity, respectively</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1,855.8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1,719.3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991.8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879.8</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2,336.6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2,336.6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632.9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576.2</w:t>
            </w:r>
          </w:p>
        </w:tc>
      </w:tr>
      <w:tr>
        <w:trPr>
          <w:trHeight w:val="208"/>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5,817.1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5,511.9</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33,440.4</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32,282.1</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1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 includes $16.6 and $16.2 related to variable interest entity, respectively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616.6</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651.7</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1,230.7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1,207.6</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425.0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401.0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344.9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613.8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356.6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includes $5.3 and $1.3 related to variable interest entity, respectively</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179.7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178.0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369.6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3,733.0</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3,662.4</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net, includes $287.7 and $295.7 related to variable interest entity, respectively</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12,446.3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11,809.2</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2,031.9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2,035.7</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157.6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2,764.1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2,672.0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345.0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371.3</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1,297.1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1,268.3</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332.9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311.2</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19,374.9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18,630.5</w:t>
            </w:r>
          </w:p>
        </w:tc>
        <w:tc>
          <w:tcPr>
            <w:tcW w:w="0" w:type="dxa"/>
            <w:vAlign w:val="bottom"/>
          </w:tcPr>
          <w:p>
            <w:pPr>
              <w:spacing w:after="0"/>
              <w:rPr>
                <w:sz w:val="1"/>
                <w:szCs w:val="1"/>
                <w:color w:val="auto"/>
              </w:rPr>
            </w:pPr>
          </w:p>
        </w:tc>
      </w:tr>
      <w:tr>
        <w:trPr>
          <w:trHeight w:val="19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Evergy, Inc. Shareholders' 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Common stock - 600,000,000 shares authorized, without par value</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7,266.5</w:t>
            </w:r>
          </w:p>
        </w:tc>
        <w:tc>
          <w:tcPr>
            <w:tcW w:w="4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7,245.9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230,199,858 and 229,983,615 shares issued, stated value</w:t>
            </w: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3,042.5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2,732.9</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(19.9)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8"/>
        </w:trPr>
        <w:tc>
          <w:tcPr>
            <w:tcW w:w="8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Evergy, Inc. Shareholders' Equity</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10,289.1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9,955.0</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43.4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10,332.5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9,989.2</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33,440.4</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32,282.1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202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7"/>
        </w:trPr>
        <w:tc>
          <w:tcPr>
            <w:tcW w:w="6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2024</w:t>
            </w:r>
          </w:p>
        </w:tc>
      </w:t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color w:val="auto"/>
              </w:rPr>
              <w:t>(millions, except per share amounts)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1,809.9</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1,811.4</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4,621.4</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4,589.9</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393.1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433.7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1,078.8</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1,169.1</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110.7</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99.7</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322.0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252.8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251.6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739.9</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290.3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282.3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866.8</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838.5</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104.5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116.6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320.0</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1,151.4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1,183.9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3,327.5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3,344.1</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658.5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627.5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1,293.9</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1,245.8</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4.8</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12.9</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31.5</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152.0</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458.3</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502.1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486.6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820.8</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833.4</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45.6</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5.3</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478.0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468.6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780.5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475.0</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465.6</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771.3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795.3</w:t>
            </w:r>
          </w:p>
        </w:tc>
      </w:tr>
      <w:tr>
        <w:trPr>
          <w:trHeight w:val="162"/>
        </w:trPr>
        <w:tc>
          <w:tcPr>
            <w:tcW w:w="6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BASIC AND DILUTED EARNINGS PER AVERAGE COMMON SHARE OUTSTANDING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3"/>
        </w:trPr>
        <w:tc>
          <w:tcPr>
            <w:tcW w:w="6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ATTRIBUTABLE TO EVERGY, INC. (see Note 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2.06</w:t>
            </w:r>
          </w:p>
        </w:tc>
        <w:tc>
          <w:tcPr>
            <w:tcW w:w="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2.02</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2.03</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2.02</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3.31</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230.5</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230.4</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r>
      <w:tr>
        <w:trPr>
          <w:trHeight w:val="225"/>
        </w:trPr>
        <w:tc>
          <w:tcPr>
            <w:tcW w:w="6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234.1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233.0</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478.0</w:t>
            </w:r>
          </w:p>
        </w:tc>
        <w:tc>
          <w:tcPr>
            <w:tcW w:w="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468.6</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780.5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1"/>
        </w:trPr>
        <w:tc>
          <w:tcPr>
            <w:tcW w:w="6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net gains included in net periodic benefit costs,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Change in unrecognized pension expense,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479.2</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469.9</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784.4</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808.5</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7"/>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EVERGY,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476.2</w:t>
            </w: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466.9</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775.2</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799.3</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780.5</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866.8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46.8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53.3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losses from investments in early-stage clean energy and energy solution companies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50.7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(184.4)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183.7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(97.2)</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1,711.2</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w:t>
            </w:r>
          </w:p>
        </w:tc>
      </w:tr>
      <w:tr>
        <w:trPr>
          <w:trHeight w:val="208"/>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(1,932.4)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(1,822.4)</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79.1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53.7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(1,902.0)</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(1,790.3)</w:t>
            </w:r>
          </w:p>
        </w:tc>
      </w:tr>
      <w:tr>
        <w:trPr>
          <w:trHeight w:val="208"/>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borrowings, net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1,012.7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919.6</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(417.4)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47.2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refundable advances for construction</w:t>
            </w: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(455.7)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(13.4)</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0"/>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204.5</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r>
      <w:tr>
        <w:trPr>
          <w:trHeight w:val="209"/>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29.9</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8"/>
        </w:trPr>
        <w:tc>
          <w:tcPr>
            <w:tcW w:w="8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43.6</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5160" w:type="dxa"/>
        <w:tblCellMar>
          <w:top w:w="0" w:type="dxa"/>
          <w:left w:w="0" w:type="dxa"/>
          <w:bottom w:w="0" w:type="dxa"/>
          <w:right w:w="0" w:type="dxa"/>
        </w:tblCellMar>
      </w:tblPr>
      <w:tr>
        <w:trPr>
          <w:trHeight w:val="225"/>
        </w:trPr>
        <w:tc>
          <w:tcPr>
            <w:tcW w:w="324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780" w:type="dxa"/>
            <w:vAlign w:val="bottom"/>
            <w:tcBorders>
              <w:bottom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780" w:type="dxa"/>
            <w:vAlign w:val="bottom"/>
          </w:tcPr>
          <w:p>
            <w:pPr>
              <w:spacing w:after="0"/>
              <w:rPr>
                <w:sz w:val="12"/>
                <w:szCs w:val="12"/>
                <w:color w:val="auto"/>
              </w:rPr>
            </w:pPr>
          </w:p>
        </w:tc>
        <w:tc>
          <w:tcPr>
            <w:tcW w:w="1980" w:type="dxa"/>
            <w:vAlign w:val="bottom"/>
          </w:tcPr>
          <w:p>
            <w:pPr>
              <w:jc w:val="center"/>
              <w:ind w:right="79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AOCI</w:t>
            </w:r>
          </w:p>
        </w:tc>
        <w:tc>
          <w:tcPr>
            <w:tcW w:w="1980" w:type="dxa"/>
            <w:vAlign w:val="bottom"/>
          </w:tcPr>
          <w:p>
            <w:pPr>
              <w:jc w:val="center"/>
              <w:ind w:right="819"/>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0" w:type="dxa"/>
            <w:vAlign w:val="bottom"/>
          </w:tcPr>
          <w:p>
            <w:pPr>
              <w:spacing w:after="0"/>
              <w:rPr>
                <w:sz w:val="1"/>
                <w:szCs w:val="1"/>
                <w:color w:val="auto"/>
              </w:rPr>
            </w:pPr>
          </w:p>
        </w:tc>
      </w:tr>
      <w:tr>
        <w:trPr>
          <w:trHeight w:val="212"/>
        </w:trPr>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780" w:type="dxa"/>
            <w:vAlign w:val="bottom"/>
            <w:vMerge w:val="continue"/>
          </w:tcPr>
          <w:p>
            <w:pPr>
              <w:spacing w:after="0"/>
              <w:rPr>
                <w:sz w:val="18"/>
                <w:szCs w:val="18"/>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interests    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wp:posOffset>
            </wp:positionV>
            <wp:extent cx="71151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right="1020"/>
        <w:spacing w:after="0" w:line="289" w:lineRule="auto"/>
        <w:rPr>
          <w:sz w:val="20"/>
          <w:szCs w:val="20"/>
          <w:color w:val="auto"/>
        </w:rPr>
      </w:pPr>
      <w:r>
        <w:rPr>
          <w:rFonts w:ascii="Times New Roman" w:cs="Times New Roman" w:eastAsia="Times New Roman" w:hAnsi="Times New Roman"/>
          <w:sz w:val="16"/>
          <w:szCs w:val="16"/>
          <w:color w:val="auto"/>
        </w:rPr>
        <w:t>Change in unrecognized pension expense, net of tax Other</w:t>
      </w: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259"/>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229,729,296</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7,234.9</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2,457.8</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9,685.0</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378"/>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193,042</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229,922,338</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7,235.0</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2,432.4</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9,664.1</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r>
      <w:tr>
        <w:trPr>
          <w:trHeight w:val="378"/>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32,186</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229,954,524</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7,239.2</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2,491.3</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9,731.7</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r>
      <w:tr>
        <w:trPr>
          <w:trHeight w:val="378"/>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229,972,832</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7,242.4</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2,808.3</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-3896360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-3622040</wp:posOffset>
            </wp:positionV>
            <wp:extent cx="711517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-3244850</wp:posOffset>
            </wp:positionV>
            <wp:extent cx="71151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-2970530</wp:posOffset>
            </wp:positionV>
            <wp:extent cx="71151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-2696210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-2413000</wp:posOffset>
            </wp:positionV>
            <wp:extent cx="711517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-2035810</wp:posOffset>
            </wp:positionV>
            <wp:extent cx="71151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-1761490</wp:posOffset>
            </wp:positionV>
            <wp:extent cx="71151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-1487170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-1204595</wp:posOffset>
            </wp:positionV>
            <wp:extent cx="711517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-827405</wp:posOffset>
            </wp:positionV>
            <wp:extent cx="711517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-553085</wp:posOffset>
            </wp:positionV>
            <wp:extent cx="711517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-278765</wp:posOffset>
            </wp:positionV>
            <wp:extent cx="711517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3810</wp:posOffset>
            </wp:positionV>
            <wp:extent cx="71151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060"/>
          </w:cols>
          <w:pgMar w:left="320" w:top="118" w:right="35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5160" w:type="dxa"/>
        <w:tblCellMar>
          <w:top w:w="0" w:type="dxa"/>
          <w:left w:w="0" w:type="dxa"/>
          <w:bottom w:w="0" w:type="dxa"/>
          <w:right w:w="0" w:type="dxa"/>
        </w:tblCellMar>
      </w:tblPr>
      <w:tr>
        <w:trPr>
          <w:trHeight w:val="225"/>
        </w:trPr>
        <w:tc>
          <w:tcPr>
            <w:tcW w:w="32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80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0" w:type="dxa"/>
            <w:vAlign w:val="bottom"/>
          </w:tcPr>
          <w:p>
            <w:pPr>
              <w:spacing w:after="0"/>
              <w:rPr>
                <w:sz w:val="12"/>
                <w:szCs w:val="12"/>
                <w:color w:val="auto"/>
              </w:rPr>
            </w:pPr>
          </w:p>
        </w:tc>
        <w:tc>
          <w:tcPr>
            <w:tcW w:w="1960" w:type="dxa"/>
            <w:vAlign w:val="bottom"/>
          </w:tcPr>
          <w:p>
            <w:pPr>
              <w:jc w:val="center"/>
              <w:ind w:right="8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AOCI</w:t>
            </w:r>
          </w:p>
        </w:tc>
        <w:tc>
          <w:tcPr>
            <w:tcW w:w="1960" w:type="dxa"/>
            <w:vAlign w:val="bottom"/>
          </w:tcPr>
          <w:p>
            <w:pPr>
              <w:jc w:val="center"/>
              <w:ind w:right="799"/>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0" w:type="dxa"/>
            <w:vAlign w:val="bottom"/>
          </w:tcPr>
          <w:p>
            <w:pPr>
              <w:spacing w:after="0"/>
              <w:rPr>
                <w:sz w:val="1"/>
                <w:szCs w:val="1"/>
                <w:color w:val="auto"/>
              </w:rPr>
            </w:pPr>
          </w:p>
        </w:tc>
      </w:tr>
      <w:tr>
        <w:trPr>
          <w:trHeight w:val="212"/>
        </w:trPr>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0" w:type="dxa"/>
            <w:vAlign w:val="bottom"/>
            <w:vMerge w:val="continue"/>
          </w:tcPr>
          <w:p>
            <w:pPr>
              <w:spacing w:after="0"/>
              <w:rPr>
                <w:sz w:val="18"/>
                <w:szCs w:val="18"/>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interests    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71062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(millions, except share amounts)</w:t>
      </w:r>
    </w:p>
    <w:p>
      <w:pPr>
        <w:sectPr>
          <w:pgSz w:w="11900" w:h="16838" w:orient="portrait"/>
          <w:cols w:equalWidth="0" w:num="1">
            <w:col w:w="11220"/>
          </w:cols>
          <w:pgMar w:left="320" w:top="118" w:right="359" w:bottom="1440" w:gutter="0" w:footer="0" w:header="0"/>
        </w:sectPr>
      </w:pP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($0.6675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($0.6675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right="1020"/>
        <w:spacing w:after="0" w:line="289" w:lineRule="auto"/>
        <w:rPr>
          <w:sz w:val="20"/>
          <w:szCs w:val="20"/>
          <w:color w:val="auto"/>
        </w:rPr>
      </w:pPr>
      <w:r>
        <w:rPr>
          <w:rFonts w:ascii="Times New Roman" w:cs="Times New Roman" w:eastAsia="Times New Roman" w:hAnsi="Times New Roman"/>
          <w:sz w:val="16"/>
          <w:szCs w:val="16"/>
          <w:color w:val="auto"/>
        </w:rPr>
        <w:t>Change in unrecognized pension expense, net of tax Other</w:t>
      </w: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($0.6675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229,983,615</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7,245.9</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2,732.9</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9,989.2</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378"/>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101,120</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230,084,735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7,248.4</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2,704.6</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9,967.9</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78"/>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21,912</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230,151,269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7,258.1</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2,721.8</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9,999.2</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78"/>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230,199,858</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7,266.5</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3,042.5</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-4170680</wp:posOffset>
            </wp:positionV>
            <wp:extent cx="710628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-3896360</wp:posOffset>
            </wp:positionV>
            <wp:extent cx="710628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-3519170</wp:posOffset>
            </wp:positionV>
            <wp:extent cx="710628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-3244850</wp:posOffset>
            </wp:positionV>
            <wp:extent cx="710628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-2970530</wp:posOffset>
            </wp:positionV>
            <wp:extent cx="710628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-2687320</wp:posOffset>
            </wp:positionV>
            <wp:extent cx="710628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-2310130</wp:posOffset>
            </wp:positionV>
            <wp:extent cx="710628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-2035810</wp:posOffset>
            </wp:positionV>
            <wp:extent cx="710628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-1761490</wp:posOffset>
            </wp:positionV>
            <wp:extent cx="710628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-1487170</wp:posOffset>
            </wp:positionV>
            <wp:extent cx="710628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-1204595</wp:posOffset>
            </wp:positionV>
            <wp:extent cx="710628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-827405</wp:posOffset>
            </wp:positionV>
            <wp:extent cx="710628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-553085</wp:posOffset>
            </wp:positionV>
            <wp:extent cx="710628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-278765</wp:posOffset>
            </wp:positionV>
            <wp:extent cx="710628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3810</wp:posOffset>
            </wp:positionV>
            <wp:extent cx="710628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2">
            <w:col w:w="4440" w:space="720"/>
            <w:col w:w="6060"/>
          </w:cols>
          <w:pgMar w:left="320" w:top="1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244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6.7</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$5.0 and $7.8, respectively</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190.9</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133.1</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22.3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23.4</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215.0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215.0</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429.0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472.5</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23.2</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11.4</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58.1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79.7</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32.8</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30.2</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996.3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978.2</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$121.1 and $126.5 related to variable interest entity,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13,259.3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12,880.1</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518.9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446.6</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456.1</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407.9</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331.2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296.3</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1,306.2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1,150.8</w:t>
            </w:r>
          </w:p>
        </w:tc>
      </w:tr>
      <w:tr>
        <w:trPr>
          <w:trHeight w:val="218"/>
        </w:trPr>
        <w:tc>
          <w:tcPr>
            <w:tcW w:w="8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15,561.8</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15,009.1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600.0</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250.0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300.7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797.3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215.0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215.0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158.3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281.5</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33.7</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184.1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109.7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74.0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90.0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76.6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16.9</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16.5</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193.1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165.6</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1,865.8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2,028.1</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4,580.0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4,333.5</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787.1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805.6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49.6</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1,529.5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1,475.8</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218.2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648.2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631.3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171.1</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179.3</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7,967.8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7,696.1</w:t>
            </w:r>
          </w:p>
        </w:tc>
      </w:tr>
      <w:tr>
        <w:trPr>
          <w:trHeight w:val="19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Kansas Central, Inc. Shareholder's Equity:</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- 1,000 shares authorized, $0.01 par value, 1 share issued</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2,737.6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2,737.6</w:t>
            </w:r>
          </w:p>
        </w:tc>
      </w:tr>
      <w:tr>
        <w:trPr>
          <w:trHeight w:val="218"/>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2,947.2</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2,513.1</w:t>
            </w:r>
          </w:p>
        </w:tc>
      </w:tr>
      <w:tr>
        <w:trPr>
          <w:trHeight w:val="208"/>
        </w:trPr>
        <w:tc>
          <w:tcPr>
            <w:tcW w:w="8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Evergy Kansas Central, Inc. Shareholder's Equity</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5,684.8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5,250.7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43.4</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34.2</w:t>
            </w:r>
          </w:p>
        </w:tc>
      </w:tr>
      <w:tr>
        <w:trPr>
          <w:trHeight w:val="208"/>
        </w:trPr>
        <w:tc>
          <w:tcPr>
            <w:tcW w:w="8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5,728.2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5,284.9</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15,561.8</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15,009.1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680" w:type="dxa"/>
            <w:vAlign w:val="bottom"/>
          </w:tcPr>
          <w:p>
            <w:pPr>
              <w:spacing w:after="0"/>
              <w:rPr>
                <w:sz w:val="16"/>
                <w:szCs w:val="16"/>
                <w:color w:val="auto"/>
              </w:rPr>
            </w:pPr>
          </w:p>
        </w:tc>
      </w:tr>
      <w:tr>
        <w:trPr>
          <w:trHeight w:val="212"/>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194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7"/>
        </w:trPr>
        <w:tc>
          <w:tcPr>
            <w:tcW w:w="6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2024</w:t>
            </w:r>
          </w:p>
        </w:tc>
      </w:tr>
      <w:tr>
        <w:trPr>
          <w:trHeight w:val="195"/>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886.0</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917.5</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2,328.6</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2,338.0</w:t>
            </w:r>
          </w:p>
        </w:tc>
      </w:tr>
      <w:tr>
        <w:trPr>
          <w:trHeight w:val="19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162.9</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183.1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406.9</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r>
      <w:tr>
        <w:trPr>
          <w:trHeight w:val="214"/>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110.7</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99.7</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322.0</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r>
      <w:tr>
        <w:trPr>
          <w:trHeight w:val="218"/>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123.3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122.3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352.5</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14"/>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145.6</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142.6</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431.9</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w:t>
            </w:r>
          </w:p>
        </w:tc>
      </w:tr>
      <w:tr>
        <w:trPr>
          <w:trHeight w:val="218"/>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55.1</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64.5</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171.9</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r>
      <w:tr>
        <w:trPr>
          <w:trHeight w:val="208"/>
        </w:trPr>
        <w:tc>
          <w:tcPr>
            <w:tcW w:w="6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597.6</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1,685.2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1,686.7</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288.4</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305.3</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643.4</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w:t>
            </w:r>
          </w:p>
        </w:tc>
      </w:tr>
      <w:tr>
        <w:trPr>
          <w:trHeight w:val="19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6.6</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4"/>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8"/>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(13.7)</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8"/>
        </w:trPr>
        <w:tc>
          <w:tcPr>
            <w:tcW w:w="6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8.5</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58.5</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59.2</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178.9</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r>
      <w:tr>
        <w:trPr>
          <w:trHeight w:val="208"/>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229.4</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252.4</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473.0</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w:t>
            </w:r>
          </w:p>
        </w:tc>
      </w:tr>
      <w:tr>
        <w:trPr>
          <w:trHeight w:val="2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4"/>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0.9</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218.9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245.2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453.3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w:t>
            </w:r>
          </w:p>
        </w:tc>
      </w:tr>
      <w:tr>
        <w:trPr>
          <w:trHeight w:val="214"/>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8"/>
        </w:trPr>
        <w:tc>
          <w:tcPr>
            <w:tcW w:w="6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KANSAS CENTRAL,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215.9</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242.2</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444.1</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8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453.3</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431.9</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4"/>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(40.1)</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0"/>
        </w:trPr>
        <w:tc>
          <w:tcPr>
            <w:tcW w:w="86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866.3</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w:t>
            </w:r>
          </w:p>
        </w:tc>
      </w:tr>
      <w:tr>
        <w:trPr>
          <w:trHeight w:val="208"/>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(968.5)</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(962.1)</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money pool lending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8"/>
        </w:trPr>
        <w:tc>
          <w:tcPr>
            <w:tcW w:w="8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(945.1)</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(928.6)</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(496.6)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593.4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money pool borrowings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8"/>
        </w:trPr>
        <w:tc>
          <w:tcPr>
            <w:tcW w:w="8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81.8</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6"/>
        </w:trPr>
        <w:tc>
          <w:tcPr>
            <w:tcW w:w="8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Evergy Kansas Central, Inc. Shareholder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jc w:val="right"/>
              <w:ind w:right="65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5,003.5</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5,128.0</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5,246.2</w:t>
            </w:r>
          </w:p>
        </w:tc>
        <w:tc>
          <w:tcPr>
            <w:tcW w:w="0" w:type="dxa"/>
            <w:vAlign w:val="bottom"/>
          </w:tcPr>
          <w:p>
            <w:pPr>
              <w:spacing w:after="0"/>
              <w:rPr>
                <w:sz w:val="1"/>
                <w:szCs w:val="1"/>
                <w:color w:val="auto"/>
              </w:rPr>
            </w:pPr>
          </w:p>
        </w:tc>
      </w:tr>
      <w:tr>
        <w:trPr>
          <w:trHeight w:val="196"/>
        </w:trPr>
        <w:tc>
          <w:tcPr>
            <w:tcW w:w="5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5,284.9</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5,385.8</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0" w:type="dxa"/>
            <w:vAlign w:val="bottom"/>
          </w:tcPr>
          <w:p>
            <w:pPr>
              <w:spacing w:after="0"/>
              <w:rPr>
                <w:sz w:val="1"/>
                <w:szCs w:val="1"/>
                <w:color w:val="auto"/>
              </w:rPr>
            </w:pPr>
          </w:p>
        </w:tc>
      </w:tr>
      <w:tr>
        <w:trPr>
          <w:trHeight w:val="20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5,509.3</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5,728.2</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6.4</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 of allowance for credit losses of $4.7 and $5.8, respectively</w:t>
            </w:r>
          </w:p>
        </w:tc>
        <w:tc>
          <w:tcPr>
            <w:tcW w:w="1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94.5</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58.1</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125.1</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126.1</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160.0</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136.0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278.2</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283.8</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28.3</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42.7</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23.6</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25.6</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25.8</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25.5</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741.9</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701.5</w:t>
            </w:r>
          </w:p>
        </w:tc>
      </w:tr>
      <w:tr>
        <w:trPr>
          <w:trHeight w:val="208"/>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8,358.9</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8,292.4</w:t>
            </w: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510.7</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429.4</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535.7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471.9</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125.0</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81.5</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1,171.4</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982.8</w:t>
            </w:r>
          </w:p>
        </w:tc>
      </w:tr>
      <w:tr>
        <w:trPr>
          <w:trHeight w:val="21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10,272.2</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9,976.7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350.0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96.8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158.7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160.0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136.0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137.2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252.8</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3.6</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130.8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52.4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51.4</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48.8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38.5</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14.3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11.8</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146.1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107.4</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789.0</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1,139.9</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3,271.2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2,873.4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740.3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755.3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105.6</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108.0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1,094.6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1,008.4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126.0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137.0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501.6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490.9</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95.4</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87.6</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5,934.7</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5,460.6</w:t>
            </w:r>
          </w:p>
        </w:tc>
      </w:tr>
      <w:tr>
        <w:trPr>
          <w:trHeight w:val="19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- 1,000 shares authorized, without par value, 1 share issued, stated value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1,563.1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1,563.1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1,982.2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1,809.7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3.2</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3,548.5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3,376.2</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10,272.2</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9,976.7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198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7"/>
        </w:trPr>
        <w:tc>
          <w:tcPr>
            <w:tcW w:w="6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2024</w:t>
            </w:r>
          </w:p>
        </w:tc>
      </w:tr>
      <w:tr>
        <w:trPr>
          <w:trHeight w:val="19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615.9</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608.3</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1,514.8</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1,503.2</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149.1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432.6</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w:t>
            </w:r>
          </w:p>
        </w:tc>
      </w:tr>
      <w:tr>
        <w:trPr>
          <w:trHeight w:val="214"/>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75.2</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74.8</w:t>
            </w:r>
          </w:p>
        </w:tc>
        <w:tc>
          <w:tcPr>
            <w:tcW w:w="3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224.3</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r>
      <w:tr>
        <w:trPr>
          <w:trHeight w:val="218"/>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100.6</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304.6</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r>
      <w:tr>
        <w:trPr>
          <w:trHeight w:val="214"/>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38.4</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106.6</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21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361.2</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363.1</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1,068.1</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w:t>
            </w:r>
          </w:p>
        </w:tc>
      </w:tr>
      <w:tr>
        <w:trPr>
          <w:trHeight w:val="20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254.7</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245.2</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446.7</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w:t>
            </w:r>
          </w:p>
        </w:tc>
      </w:tr>
      <w:tr>
        <w:trPr>
          <w:trHeight w:val="19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4"/>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4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8"/>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3.7</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(0.7)</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34.6</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36.0</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105.1</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w:t>
            </w:r>
          </w:p>
        </w:tc>
      </w:tr>
      <w:tr>
        <w:trPr>
          <w:trHeight w:val="21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218.9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210.4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340.9</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r>
      <w:tr>
        <w:trPr>
          <w:trHeight w:val="214"/>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27.1</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26.4</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43.4</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8"/>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191.8</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184.0</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297.5</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r>
      <w:tr>
        <w:trPr>
          <w:trHeight w:val="21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191.8</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184.0</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297.5</w:t>
            </w:r>
          </w:p>
        </w:tc>
        <w:tc>
          <w:tcPr>
            <w:tcW w:w="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8"/>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191.8</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184.0</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297.3</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920" w:type="dxa"/>
            <w:vAlign w:val="bottom"/>
          </w:tcPr>
          <w:p>
            <w:pPr>
              <w:spacing w:after="0"/>
              <w:rPr>
                <w:sz w:val="18"/>
                <w:szCs w:val="18"/>
                <w:color w:val="auto"/>
              </w:rPr>
            </w:pPr>
          </w:p>
        </w:tc>
      </w:tr>
      <w:tr>
        <w:trPr>
          <w:trHeight w:val="21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297.5</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r>
      <w:tr>
        <w:trPr>
          <w:trHeight w:val="21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304.6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5.6</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69.5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(20.7)</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8"/>
        </w:trPr>
        <w:tc>
          <w:tcPr>
            <w:tcW w:w="8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641.2</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590.2</w:t>
            </w:r>
          </w:p>
        </w:tc>
      </w:tr>
      <w:tr>
        <w:trPr>
          <w:trHeight w:val="21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(522.3)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67.7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8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(523.9)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(488.5)</w:t>
            </w:r>
          </w:p>
        </w:tc>
      </w:tr>
      <w:tr>
        <w:trPr>
          <w:trHeight w:val="21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419.3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(373.4)</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Net money pool borrowing</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(125.0)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4"/>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8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(114.6)</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09"/>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3.7</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8"/>
        </w:trPr>
        <w:tc>
          <w:tcPr>
            <w:tcW w:w="8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6.4</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 - Net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gains (losses) on</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3,225.6</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3,300.1</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217"/>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1,809.7</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3,376.2</w:t>
            </w: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4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3,363.0</w:t>
            </w: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1,830.4</w:t>
            </w:r>
          </w:p>
        </w:tc>
        <w:tc>
          <w:tcPr>
            <w:tcW w:w="4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3,396.7</w:t>
            </w: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r>
      <w:tr>
        <w:trPr>
          <w:trHeight w:val="21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07"/>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1,982.2</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-1393190</wp:posOffset>
            </wp:positionV>
            <wp:extent cx="7115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-1118870</wp:posOffset>
            </wp:positionV>
            <wp:extent cx="71151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-835660</wp:posOffset>
            </wp:positionV>
            <wp:extent cx="7115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-561340</wp:posOffset>
            </wp:positionV>
            <wp:extent cx="711517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-278765</wp:posOffset>
            </wp:positionV>
            <wp:extent cx="71151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3810</wp:posOffset>
            </wp:positionV>
            <wp:extent cx="711517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2">
            <w:col w:w="4560" w:space="720"/>
            <w:col w:w="5940"/>
          </w:cols>
          <w:pgMar w:left="320" w:top="1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Combined Notes to Unaudited Consolidated Financial Statements</w:t>
      </w:r>
    </w:p>
    <w:p>
      <w:pPr>
        <w:spacing w:after="0" w:line="11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6"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68" w:lineRule="exact"/>
        <w:rPr>
          <w:sz w:val="20"/>
          <w:szCs w:val="20"/>
          <w:color w:val="auto"/>
        </w:rPr>
      </w:pPr>
    </w:p>
    <w:p>
      <w:pPr>
        <w:ind w:left="660" w:right="12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3" w:lineRule="exact"/>
        <w:rPr>
          <w:rFonts w:ascii="Times New Roman" w:cs="Times New Roman" w:eastAsia="Times New Roman" w:hAnsi="Times New Roman"/>
          <w:sz w:val="20"/>
          <w:szCs w:val="20"/>
          <w:color w:val="auto"/>
        </w:rPr>
      </w:pPr>
    </w:p>
    <w:p>
      <w:pPr>
        <w:ind w:left="660" w:right="3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Inc. (Evergy Metro) is an integrated, regulated electric utility that provides electricity to customers in the states of Missouri and Kansas.</w:t>
      </w:r>
    </w:p>
    <w:p>
      <w:pPr>
        <w:spacing w:after="0" w:line="38"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Inc. (Evergy Missouri West) is an integrated, regulated electric utility that provides electricity to customers in the state of Missouri.</w:t>
      </w:r>
    </w:p>
    <w:p>
      <w:pPr>
        <w:spacing w:after="0" w:line="38"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2024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3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9"/>
          <w:szCs w:val="19"/>
          <w:color w:val="auto"/>
        </w:rPr>
        <w:t>Each of Evergy's, Evergy Kansas Central's and Evergy Metro's unaudited consolidated financial statements includes the accounts of their subsidiaries and the variable interest entities (VIEs) of which Evergy and Evergy Kansas Central are the primary beneficiaries.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3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Cash equivalents consist of highly liquid investments with original maturities of three months or less at acquisition. Evergy has restricted cash included in Other Current Assets and Other Non-current Assets on Evergy's consolidated balance sheet to facilitate the servicing of Evergy Missouri West Storm Funding I, LLC's debt and the funding requirements for a jointly-owned generation facility. The following table summarizes the cash, cash equivalents and restricted cash included on Evergy's consolidated balance sheet.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11"/>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20" w:type="dxa"/>
            <w:vAlign w:val="bottom"/>
          </w:tcPr>
          <w:p>
            <w:pPr>
              <w:spacing w:after="0"/>
              <w:rPr>
                <w:sz w:val="19"/>
                <w:szCs w:val="19"/>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27.5</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14.4</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43.6</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Inventory and Supplies</w:t>
      </w:r>
    </w:p>
    <w:p>
      <w:pPr>
        <w:spacing w:after="0" w:line="26"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0"/>
          <w:szCs w:val="20"/>
          <w:color w:val="auto"/>
        </w:rPr>
        <w:t>The Evergy Companies record fuel inventory and supplies at average cost. The following table separately states the balances for fuel inventory and supplies.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20" w:type="dxa"/>
            <w:vAlign w:val="bottom"/>
          </w:tcPr>
          <w:p>
            <w:pPr>
              <w:spacing w:after="0"/>
              <w:rPr>
                <w:sz w:val="19"/>
                <w:szCs w:val="19"/>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205.5</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611.5</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817.0</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106.3</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322.7</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429.0</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65.4</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212.8</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278.2</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property, plant and equipment of Evergy, Evergy Kansas Central and Evergy Metro.</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37,767.4</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18,703.3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13,863.5</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739.8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(14,782.2)</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(7,194.4)</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(6,035.3)</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23,725.0</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12,233.8</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7,828.2</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1,760.8</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919.2</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424.2</w:t>
            </w: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212.8</w:t>
            </w:r>
          </w:p>
        </w:tc>
        <w:tc>
          <w:tcPr>
            <w:tcW w:w="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106.3</w:t>
            </w: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106.5</w:t>
            </w:r>
          </w:p>
        </w:tc>
      </w:tr>
      <w:tr>
        <w:trPr>
          <w:trHeight w:val="230"/>
        </w:trPr>
        <w:tc>
          <w:tcPr>
            <w:tcW w:w="43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25,698.6</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13,259.3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8,358.9</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36,444.9</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17,914.9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13,468.3</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742.9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(14,165.5)</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(6,914.4)</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(5,752.6)</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23,022.3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11,725.4</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7,715.7</w:t>
            </w: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1,707.0</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1,053.7</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476.1</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200.9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100.3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100.6</w:t>
            </w: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24,930.9</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12,880.1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8,292.4</w:t>
            </w:r>
          </w:p>
        </w:tc>
      </w:tr>
    </w:tbl>
    <w:p>
      <w:pPr>
        <w:spacing w:after="0" w:line="61"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2024, represents the planned retirement of Evergy Kansas Central analog meters prior to the end of their remaining useful lives.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Early-Stage Clean Energy and Energy Solution Companies</w:t>
      </w:r>
    </w:p>
    <w:p>
      <w:pPr>
        <w:spacing w:after="0" w:line="3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From time to time, Evergy has made limited non-regulated equity and debt investments in early-stage clean energy and energy solution companies. These investments are recorded in Other Assets - Long-Term on Evergy’s consolidated balance sheets and as of September 30, 2025, and December 31, 2024, the total value of these investments was $95.7 million and $121.4 million, respectively. These investments have historically not had a significant impact on Evergy’s results of operations.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Year to date September 30, 2025, Evergy recorded unrealized losses and impairment losses of $29.0 million, which are included in investment earnings (loss) on Evergy's consolidated statements of income and comprehensive income as a result of a decrease in the value of these investments.</w:t>
      </w:r>
    </w:p>
    <w:p>
      <w:pPr>
        <w:spacing w:after="0" w:line="18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Evergy has initiated a process to dispose of these investments and could experience additional losses or gains on these investments as a result of further changes in their value or upon their ultimate liquidation.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and Other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tables below show the detail of other income and other expense, respectively, for each of the Evergy Companies.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22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policy benefit</w:t>
            </w:r>
          </w:p>
        </w:tc>
        <w:tc>
          <w:tcPr>
            <w:tcW w:w="84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sale of commercial solar project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31.5</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policy benefit</w:t>
            </w:r>
          </w:p>
        </w:tc>
        <w:tc>
          <w:tcPr>
            <w:tcW w:w="84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34"/>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(3.6)</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tcPr>
          <w:p>
            <w:pPr>
              <w:spacing w:after="0"/>
              <w:rPr>
                <w:sz w:val="19"/>
                <w:szCs w:val="19"/>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(5.9)</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(0.3)</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(9.8)</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(5.6)</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8"/>
              </w:rPr>
              <w:t>(0.1)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(5.2)</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(2.5)</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tcPr>
          <w:p>
            <w:pPr>
              <w:spacing w:after="0"/>
              <w:rPr>
                <w:sz w:val="19"/>
                <w:szCs w:val="19"/>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(0.3)</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8"/>
              </w:rPr>
              <w:t>(2.8)</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To compute basic earnings per common share (EPS), Evergy divides net income attributable to Evergy, Inc. by the weighted average number of common shares outstanding. Diluted EPS includes the effect of issuable common shares resulting from restricted share units (RSUs), convertible notes, a warrant and forward sale agreements entered into through Evergy's at-the-market (ATM) equity offering program. Evergy computes the dilutive effects of potential issuances of common shares using the treasury stock method, the contingently issuable share method or the if-converted method, as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Evergy's basic and diluted EPS.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gridSpan w:val="3"/>
          </w:tcPr>
          <w:p>
            <w:pPr>
              <w:jc w:val="right"/>
              <w:ind w:right="471"/>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34"/>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0"/>
                <w:szCs w:val="20"/>
                <w:color w:val="auto"/>
              </w:rPr>
            </w:pPr>
          </w:p>
        </w:tc>
        <w:tc>
          <w:tcPr>
            <w:tcW w:w="23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468.6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780.5</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465.6</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771.3</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230.5</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230.3</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234.1</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230.6</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233.0</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3.35</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7"/>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2.02</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3.31</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bl>
    <w:p>
      <w:pPr>
        <w:spacing w:after="0" w:line="27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0"/>
          <w:szCs w:val="20"/>
          <w:color w:val="auto"/>
        </w:rPr>
        <w:t>The effect of dilutive securities for the three months ended and year to date September 30, 2025, included 3.0 million shares and 2.1 million shares, respectively, resulting from Evergy's convertible notes. There was no dilution resulting from Evergy's convertible notes for the three months ended and year to date September 30,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the anti-dilutive securities excluded from the computation of diluted EPS.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gridSpan w:val="2"/>
          </w:tcPr>
          <w:p>
            <w:pPr>
              <w:ind w:left="206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top w:val="single" w:sz="8" w:color="auto"/>
            </w:tcBorders>
          </w:tcPr>
          <w:p>
            <w:pPr>
              <w:jc w:val="center"/>
              <w:ind w:left="510"/>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780" w:type="dxa"/>
            <w:vAlign w:val="bottom"/>
            <w:tcBorders>
              <w:top w:val="single" w:sz="8" w:color="auto"/>
            </w:tcBorders>
          </w:tcPr>
          <w:p>
            <w:pPr>
              <w:spacing w:after="0"/>
              <w:rPr>
                <w:sz w:val="17"/>
                <w:szCs w:val="17"/>
                <w:color w:val="auto"/>
              </w:rPr>
            </w:pPr>
          </w:p>
        </w:tc>
      </w:tr>
      <w:tr>
        <w:trPr>
          <w:trHeight w:val="234"/>
        </w:trPr>
        <w:tc>
          <w:tcPr>
            <w:tcW w:w="4520" w:type="dxa"/>
            <w:vAlign w:val="bottom"/>
          </w:tcPr>
          <w:p>
            <w:pPr>
              <w:spacing w:after="0"/>
              <w:rPr>
                <w:sz w:val="20"/>
                <w:szCs w:val="20"/>
                <w:color w:val="auto"/>
              </w:rPr>
            </w:pPr>
          </w:p>
        </w:tc>
        <w:tc>
          <w:tcPr>
            <w:tcW w:w="434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306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7"/>
        </w:trPr>
        <w:tc>
          <w:tcPr>
            <w:tcW w:w="4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880" w:type="dxa"/>
            <w:vAlign w:val="bottom"/>
            <w:gridSpan w:val="2"/>
          </w:tcPr>
          <w:p>
            <w:pPr>
              <w:jc w:val="right"/>
              <w:ind w:right="1050"/>
              <w:spacing w:after="0"/>
              <w:rPr>
                <w:sz w:val="20"/>
                <w:szCs w:val="20"/>
                <w:color w:val="auto"/>
              </w:rPr>
            </w:pPr>
            <w:r>
              <w:rPr>
                <w:rFonts w:ascii="Times New Roman" w:cs="Times New Roman" w:eastAsia="Times New Roman" w:hAnsi="Times New Roman"/>
                <w:sz w:val="16"/>
                <w:szCs w:val="16"/>
                <w:color w:val="auto"/>
              </w:rPr>
              <w:t>(shares in millions)</w:t>
            </w:r>
          </w:p>
        </w:tc>
        <w:tc>
          <w:tcPr>
            <w:tcW w:w="780" w:type="dxa"/>
            <w:vAlign w:val="bottom"/>
          </w:tcPr>
          <w:p>
            <w:pPr>
              <w:spacing w:after="0"/>
              <w:rPr>
                <w:sz w:val="17"/>
                <w:szCs w:val="17"/>
                <w:color w:val="auto"/>
              </w:rPr>
            </w:pPr>
          </w:p>
        </w:tc>
      </w:tr>
      <w:tr>
        <w:trPr>
          <w:trHeight w:val="239"/>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with performance measures</w:t>
            </w:r>
          </w:p>
        </w:tc>
        <w:tc>
          <w:tcPr>
            <w:tcW w:w="3060" w:type="dxa"/>
            <w:vAlign w:val="bottom"/>
            <w:tcBorders>
              <w:bottom w:val="single" w:sz="8" w:color="auto"/>
            </w:tcBorders>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400.1</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of VIEs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136.5</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for reinvested dividends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453"/>
        </w:trPr>
        <w:tc>
          <w:tcPr>
            <w:tcW w:w="40" w:type="dxa"/>
            <w:vAlign w:val="bottom"/>
          </w:tcPr>
          <w:p>
            <w:pPr>
              <w:spacing w:after="0"/>
              <w:rPr>
                <w:sz w:val="24"/>
                <w:szCs w:val="24"/>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176.6</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66.6</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95.4</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22.5</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6"/>
        </w:trPr>
        <w:tc>
          <w:tcPr>
            <w:tcW w:w="4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40.8</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Borders>
              <w:bottom w:val="single" w:sz="8" w:color="auto"/>
            </w:tcBorders>
          </w:tcPr>
          <w:p>
            <w:pPr>
              <w:spacing w:after="0"/>
              <w:rPr>
                <w:sz w:val="20"/>
                <w:szCs w:val="20"/>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Declared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October 2025, Evergy's Board of Directors (Evergy Board) declared a quarterly dividend of $0.6950 per share on Evergy's common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dividend is payable on December 19, 2025, to shareholders of record as of November 21, 2025.</w:t>
      </w:r>
    </w:p>
    <w:p>
      <w:pPr>
        <w:spacing w:after="0" w:line="2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 October 2025, Evergy Kansas Central's Board of Directors and Evergy Metro's Board of Directors each declared a cash dividend to Evergy of up to $50.0 million and $125.0 million, respectively, and payable on or before December 18,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Missouri Legislation</w:t>
      </w:r>
    </w:p>
    <w:p>
      <w:pPr>
        <w:spacing w:after="0" w:line="3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In April 2025, Missouri Senate Bill (SB) 4 was signed into law by the Governor of Missouri. Most notably, SB 4 establishes new mechanisms for Missouri electric utilities to recover the costs associated with the construction of new natural gas-fired generating units. The utilities will be able to include certain costs of construction work in progress (CWIP) in rate base. The inclusion of CWIP will be in lieu of allowance for funds used during construction (AFUDC) applicable to the construction of the new natural gas-fired generating units. The Public Service Commission of the State of Missouri (MPSC) will determine the amount of CWIP that may be included in rate base. Additionally, amounts collected arising from the inclusion of CWIP in rate base are subject to refund under certain circumstances. These provisions are scheduled to expire at the end of 2035.</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Additionally, the law extends Missouri's existing plant-in service accounting (PISA) provisions to include certain natural gas-fired generating units as qualifying electric plants and extends the sunset date of these provisions through the end of 2035. These provisions allow electric utilities to defer to a regulatory asset for recovery in a subsequent general rate case 85% of depreciation expense and the associated return on investment for qualifying electric plant rate base additions for assets placed in-service between general rate cases.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Investments</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Evergy Companies use a triennial integrated resource plan (IRP), a detailed analysis that estimates factors that influence the future supply and demand for electricity, to inform the manner in which they supply electricity. The most recent IRPs incorporate the latest SPP resource adequacy requirements and anticipated load growth. Based on these and other factors, the IRP indicated the addition of new supply side resources, including combined and simple cycle natural gas plants, would be needed.</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color w:val="auto"/>
        </w:rPr>
        <w:t>In October 2024, Evergy announced its plan to construct two combined-cycle natural gas plants located in Kansas. Evergy Kansas Central and Evergy Missouri West will jointly-own each plant and expect each plant to have an initial generating capacity of approximately 705 MW. The first plant is expected to begin operations by summer of 2029 and the second plant is expected to begin operations by summer of 2030.</w:t>
      </w:r>
    </w:p>
    <w:p>
      <w:pPr>
        <w:spacing w:after="0" w:line="16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Additionally, Evergy Missouri West plans to construct a 440 MW simple-cycle natural gas plant located in Missouri. The plant is expected to begin operations in 2030.</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See "Applications for Predetermination" and "Requests for Certificate of Convenience and Necessity" in Note 4 for information regarding Evergy Kansas Central's and Evergy Missouri West's applications for predetermination and a Certificate of Convenience and Necessity (CCN) for their investments in these natural gas plants.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Plant Investments</w:t>
      </w:r>
    </w:p>
    <w:p>
      <w:pPr>
        <w:spacing w:after="0" w:line="2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Evergy Kansas Central intends to construct and own an approximately 159 MW solar generation facility to be located in Kansas called Kansas Sky. Kansas Sky is expected to begin operations by summer of 2027 and construction is subject to the granting by the Kansas Corporation Commission (KCC) of predetermination with reasonably acceptable terms and other closing conditions. See "Applications for Predetermination" in Note 4 for additional information regarding Evergy Kansas Central's application for predetermination for its investment in this renewable generating plant.</w:t>
      </w:r>
    </w:p>
    <w:p>
      <w:pPr>
        <w:spacing w:after="0" w:line="17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In 2024, Evergy Missouri West entered into agreements to own two solar generation facilities currently under development. The first facility, to be called Sunflower Sky, is a solar generation facility to be located in Kansas with an expected generating capacity of approximately 65 MW. In September 2025, Evergy Missouri West acquired the Sunflower Sky solar facility assets from the developer and will complete construction of the facility. The second facility, to be called Foxtrot, is a solar generation facility to be located in Missouri with an expected generating capacity of approximately 100 MW. In November 2025, Evergy Missouri West acquired the Foxtrot solar facility assets from the developer and will complete construction of the facility. The solar generation facilities are expected to begin operations by summer of 2027. The agreements are subject to regulatory approvals and closing conditions, including the granting by the MPSC of a CCN with reasonably acceptable terms. See "Requests for Certificate of Convenience and Necessity" in Note 4 for information regarding Evergy Missouri West's application for a CCN for its investment in these renewable generating plants.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Evergy Kansas Central's and Evergy Metro's revenues disaggregated by customer class are summarized in the following tables.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3"/>
          </w:tcPr>
          <w:p>
            <w:pPr>
              <w:jc w:val="center"/>
              <w:ind w:right="171"/>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left="2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780" w:type="dxa"/>
            <w:vAlign w:val="bottom"/>
            <w:tcBorders>
              <w:top w:val="single" w:sz="8" w:color="auto"/>
            </w:tcBorders>
          </w:tcPr>
          <w:p>
            <w:pPr>
              <w:spacing w:after="0"/>
              <w:rPr>
                <w:sz w:val="16"/>
                <w:szCs w:val="16"/>
                <w:color w:val="auto"/>
              </w:rPr>
            </w:pPr>
          </w:p>
        </w:tc>
      </w:tr>
      <w:tr>
        <w:trPr>
          <w:trHeight w:val="229"/>
        </w:trPr>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80" w:type="dxa"/>
            <w:vAlign w:val="bottom"/>
          </w:tcPr>
          <w:p>
            <w:pPr>
              <w:spacing w:after="0"/>
              <w:rPr>
                <w:sz w:val="19"/>
                <w:szCs w:val="19"/>
                <w:color w:val="auto"/>
              </w:rPr>
            </w:pPr>
          </w:p>
        </w:tc>
        <w:tc>
          <w:tcPr>
            <w:tcW w:w="14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Pr>
          <w:p>
            <w:pPr>
              <w:spacing w:after="0"/>
              <w:rPr>
                <w:sz w:val="19"/>
                <w:szCs w:val="19"/>
                <w:color w:val="auto"/>
              </w:rPr>
            </w:pPr>
          </w:p>
        </w:tc>
      </w:tr>
      <w:tr>
        <w:trPr>
          <w:trHeight w:val="238"/>
        </w:trPr>
        <w:tc>
          <w:tcPr>
            <w:tcW w:w="6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733.9</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1,735.7</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1,746.5</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598.8</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1,502.9</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180.3</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485.8</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33.5</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1,525.7</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3,757.9</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3,837.2</w:t>
            </w:r>
          </w:p>
        </w:tc>
      </w:tr>
      <w:tr>
        <w:trPr>
          <w:trHeight w:val="22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103.3</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243.1</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128.9</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391.2</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21.3</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1,764.3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4,413.5</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4,477.8</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45.6</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207.9</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1,809.9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4,621.4</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w:t>
            </w:r>
          </w:p>
        </w:tc>
      </w:tr>
      <w:tr>
        <w:trPr>
          <w:trHeight w:val="45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75"/>
        </w:trPr>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3"/>
          </w:tcPr>
          <w:p>
            <w:pPr>
              <w:jc w:val="center"/>
              <w:ind w:right="171"/>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15"/>
                <w:szCs w:val="15"/>
                <w:color w:val="auto"/>
              </w:rPr>
            </w:pPr>
          </w:p>
        </w:tc>
        <w:tc>
          <w:tcPr>
            <w:tcW w:w="146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780" w:type="dxa"/>
            <w:vAlign w:val="bottom"/>
          </w:tcPr>
          <w:p>
            <w:pPr>
              <w:spacing w:after="0"/>
              <w:rPr>
                <w:sz w:val="15"/>
                <w:szCs w:val="15"/>
                <w:color w:val="auto"/>
              </w:rPr>
            </w:pPr>
          </w:p>
        </w:tc>
      </w:tr>
      <w:tr>
        <w:trPr>
          <w:trHeight w:val="234"/>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3"/>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80" w:type="dxa"/>
            <w:vAlign w:val="bottom"/>
          </w:tcPr>
          <w:p>
            <w:pPr>
              <w:spacing w:after="0"/>
              <w:rPr>
                <w:sz w:val="20"/>
                <w:szCs w:val="20"/>
                <w:color w:val="auto"/>
              </w:rPr>
            </w:pPr>
          </w:p>
        </w:tc>
        <w:tc>
          <w:tcPr>
            <w:tcW w:w="14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Pr>
          <w:p>
            <w:pPr>
              <w:spacing w:after="0"/>
              <w:rPr>
                <w:sz w:val="20"/>
                <w:szCs w:val="20"/>
                <w:color w:val="auto"/>
              </w:rPr>
            </w:pPr>
          </w:p>
        </w:tc>
      </w:tr>
      <w:tr>
        <w:trPr>
          <w:trHeight w:val="238"/>
        </w:trPr>
        <w:tc>
          <w:tcPr>
            <w:tcW w:w="6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311.2</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743.3</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242.5</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618.9</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113.8</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310.9</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674.0</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1,691.2</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70.5</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213.3</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119.9</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362.7</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865.2</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2,269.9</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58.7</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886.0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2,328.6</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right"/>
              <w:ind w:right="391"/>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780" w:type="dxa"/>
            <w:vAlign w:val="bottom"/>
            <w:tcBorders>
              <w:top w:val="single" w:sz="8" w:color="auto"/>
            </w:tcBorders>
          </w:tcPr>
          <w:p>
            <w:pPr>
              <w:spacing w:after="0"/>
              <w:rPr>
                <w:sz w:val="15"/>
                <w:szCs w:val="15"/>
                <w:color w:val="auto"/>
              </w:rPr>
            </w:pPr>
          </w:p>
        </w:tc>
      </w:tr>
      <w:tr>
        <w:trPr>
          <w:trHeight w:val="234"/>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Pr>
          <w:p>
            <w:pPr>
              <w:spacing w:after="0"/>
              <w:rPr>
                <w:sz w:val="20"/>
                <w:szCs w:val="20"/>
                <w:color w:val="auto"/>
              </w:rPr>
            </w:pPr>
          </w:p>
        </w:tc>
      </w:tr>
      <w:tr>
        <w:trPr>
          <w:trHeight w:val="238"/>
        </w:trPr>
        <w:tc>
          <w:tcPr>
            <w:tcW w:w="6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259.5</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601.5</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w:t>
            </w:r>
          </w:p>
        </w:tc>
      </w:tr>
      <w:tr>
        <w:trPr>
          <w:trHeight w:val="22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251.0</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610.4</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23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102.6</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553.2</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1,323.1</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w:t>
            </w:r>
          </w:p>
        </w:tc>
      </w:tr>
      <w:tr>
        <w:trPr>
          <w:trHeight w:val="22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591.7</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1,367.0</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w:t>
            </w:r>
          </w:p>
        </w:tc>
      </w:tr>
      <w:tr>
        <w:trPr>
          <w:trHeight w:val="229"/>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147.8</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615.9</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1,514.8</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RECEIVABLES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receivables are detailed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8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179.7</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148.5</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338.3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64.7</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131.2</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190.9</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67.5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94.5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1080"/>
        </w:trPr>
        <w:tc>
          <w:tcPr>
            <w:tcW w:w="4280" w:type="dxa"/>
            <w:vAlign w:val="bottom"/>
          </w:tcPr>
          <w:p>
            <w:pPr>
              <w:spacing w:after="0"/>
              <w:rPr>
                <w:sz w:val="24"/>
                <w:szCs w:val="24"/>
                <w:color w:val="auto"/>
              </w:rPr>
            </w:pPr>
          </w:p>
        </w:tc>
        <w:tc>
          <w:tcPr>
            <w:tcW w:w="35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9"/>
          <w:szCs w:val="19"/>
          <w:color w:val="auto"/>
        </w:rPr>
        <w:t>The Evergy Companies' other receivables as of September 30, 2025, and December 31, 2024,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4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7"/>
                <w:szCs w:val="17"/>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99.0</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32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90.2</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3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 in the Evergy Companies' allowance for credit losses is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16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15.7</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8.7</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11.5</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7.8</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3.8</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Accounts Receivable</w:t>
      </w:r>
    </w:p>
    <w:p>
      <w:pPr>
        <w:spacing w:after="0" w:line="2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4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60" w:type="dxa"/>
            <w:vAlign w:val="bottom"/>
          </w:tcPr>
          <w:p>
            <w:pPr>
              <w:spacing w:after="0"/>
              <w:rPr>
                <w:sz w:val="17"/>
                <w:szCs w:val="17"/>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3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425.0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31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215.0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37"/>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3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bl>
    <w:p>
      <w:pPr>
        <w:spacing w:after="0" w:line="27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In April 2025, Evergy Kansas Central, Evergy Metro and Evergy Missouri West extended the expiration of each receivable sale facility from November 2025 to April 2028. Evergy Kansas Central's facility allows up to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$185.0 million in aggregate outstanding principal amount to be borrowed at any time. To the extent Evergy Kansas Central has qualifying accounts receivable and subject to the lender's discretion, Evergy Kansas Central's facility allows for an additional $65.0 million in aggregate outstanding principal amount to be borrowed at any time. Evergy Metro's facility allows up to $130.0 million in aggregate outstanding principal amount to be borrowed at any time. To the extent Evergy Metro has qualifying accounts receivable and subject to the lender's discretion, Evergy Metro's facility allows for an additional $70.0 million in aggregate outstanding principal amount to be borrowed at any time. Evergy Missouri West's facility allows up to $50.0 million in aggregate outstanding principal amount to be borrowed at any time. To the extent Evergy Missouri West has qualifying accounts receivable and subject to the lender's discretion, Evergy Missouri West's facility allows for an additional $65.0 million in aggregate outstanding principal amount to be borrowed at any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KCC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Central's 2025 Rate Case Proceeding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January 2025, Evergy Kansas Central filed an application with the KCC to request an increase to its retail revenues of approximately</w:t>
      </w:r>
    </w:p>
    <w:p>
      <w:pPr>
        <w:spacing w:after="0" w:line="6"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20"/>
          <w:szCs w:val="20"/>
          <w:color w:val="auto"/>
        </w:rPr>
        <w:t>$196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w:t>
      </w:r>
    </w:p>
    <w:p>
      <w:pPr>
        <w:spacing w:after="0" w:line="19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In July 2025, Evergy Kansas Central, KCC staff and other intervenors reached a unanimous settlement agreement to settle all issues in the case. The unanimous settlement agreement provides for an increase to retail revenues of $128.0 million after rebasing property tax expense and not including costs recoverable through KCC-approved riders for Evergy Kansas Central. As part of the settlement agreement, Evergy Kansas Central agreed to participate in an earnings review surveillance report for each calendar year beginning 2025 through the time Evergy Kansas Central files its next general rate case and new base rates become effective as a result of that case. Under this mechanism, Evergy Kansas Central’s jurisdiction is required to refund customers 50% of annual earnings in excess of a 9.7% return on equity. In September 2025, the KCC approved the unanimous settlement agreement and new rates took effect in October 2025.</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As of September 30, 2025, Evergy Kansas Central estimates its 2025 annual earnings will not result in a refund obligation under the earnings review mechanism. Evergy Kansas Central expects to file its 2025 earnings calculation with the KCC in March 2026. The final refund obligation for 2025, if any, will be decided by the KCC and could vary from the current estimate.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Applications for Predetermination</w:t>
      </w:r>
    </w:p>
    <w:p>
      <w:pPr>
        <w:spacing w:after="0" w:line="2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 KCC uses a process referred to as ‘predetermination’ to establish ratemaking principles and treatments for certain utility investments before they are included in a utility’s rate base. The process helps balance the interest of utilities and customers by ensuring broad agreement to the reasonableness of the investment and regulatory certainty regarding the recovery of costs associated with the investment. Investment in utility projects may be dependent on acceptable regulatory treatment determined in the predetermination process.</w:t>
      </w:r>
    </w:p>
    <w:p>
      <w:pPr>
        <w:spacing w:after="0" w:line="1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In November 2024, Evergy Kansas Central requested predetermination from the KCC for its planned natural gas plant investments and Kansas Sky solar investment. In April 2025, Evergy Kansas Central and intervenors in the case reached a non-unanimous partial settlement agreement regarding its planned natural gas plant investments and a unanimous partial settlement agreement regarding the Kansas Sky solar investment.</w:t>
      </w:r>
    </w:p>
    <w:p>
      <w:pPr>
        <w:spacing w:after="0" w:line="18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In July 2025, the KCC approved the non-unanimous partial settlement agreement for the natural gas plant investments establishing that Evergy Kansas Central's investment in its planned natural gas plants is prudent. This agreement will permit Evergy Kansas Central to implement a CWIP rider one year after construction of each plant begins and Evergy Kansas Central will recover through the CWIP rider the return on up to 100% of amounts recorded to CWIP for each plant, not to exceed definitive cost estimates established by the KCC unless otherwise ordered by the KCC. Evergy Kansas Central will be permitted to update rates charged through the CWIP rider every six months. Evergy Kansas Central will be permitted to collect these amounts through the CWIP rider until new base rates reflecting Evergy Kansas Central's investment in the natural gas plants take effect. Evergy Kansas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Central will not be able to accrue AFUDC on these amounts once the CWIP rider becomes effective and is included in customer rates. When new base rates reflecting Evergy Kansas Central's investment in each plant take effect, those base rates will include a deferral for depreciation expense incurred and carrying costs on any unrecovered portion of Evergy Kansas Central's investment in natural gas plants incurred between the time the natural gas plants are placed in service and the time the investment in the natural gas plants is included in base rates. Investments above certain amounts established in the settlement agreement will be subject to a prudence review.</w:t>
      </w:r>
    </w:p>
    <w:p>
      <w:pPr>
        <w:spacing w:after="0" w:line="18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In July 2025, the KCC approved the unanimous partial settlement agreement for the Kansas Sky solar investment. After the investment is placed in service and prior to the effective date of rates that include the investment, Evergy Kansas Central will be permitted to defer to a regulatory asset and recover over the remaining life of the Kansas Sky solar investment depreciation expense, carrying costs and other costs incurred. Thereafter, Evergy Kansas Central’s investment in Kansas Sky will be recovered through a levelized revenue requirement for the first thirty years of the life of the generation site, after which the levelized revenue requirement will be reevaluated.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2025 Transmission Delivery Charge (TDC)</w:t>
      </w:r>
    </w:p>
    <w:p>
      <w:pPr>
        <w:spacing w:after="0" w:line="26"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20"/>
          <w:szCs w:val="20"/>
          <w:color w:val="auto"/>
        </w:rPr>
        <w:t>In April 2025, the KCC issued an order adjusting Evergy Kansas Central's retail prices to include updated transmission costs as reflected in the Federal Energy Regulatory Commission (FERC) transmission formula rate (TFR). The new prices were effective in May 2025 and are expected to increase Evergy Kansas Central's annual retail revenues by $54.8 million when compared to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2025 TDC</w:t>
      </w:r>
    </w:p>
    <w:p>
      <w:pPr>
        <w:spacing w:after="0" w:line="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In April 2025, the KCC issued an order adjusting Evergy Metro's retail prices to include updated transmission costs as reflected in the FERC TFR. The new prices were effective in May 2025 and are expected to increase Evergy Metro's annual retail revenues by $4.8 million when compared to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MPSC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West's 2024 Rate Case Proceeding</w:t>
      </w:r>
    </w:p>
    <w:p>
      <w:pPr>
        <w:spacing w:after="0" w:line="13" w:lineRule="exact"/>
        <w:rPr>
          <w:sz w:val="20"/>
          <w:szCs w:val="20"/>
          <w:color w:val="auto"/>
        </w:rPr>
      </w:pPr>
    </w:p>
    <w:p>
      <w:pPr>
        <w:jc w:val="both"/>
        <w:ind w:right="520"/>
        <w:spacing w:after="0" w:line="253" w:lineRule="auto"/>
        <w:rPr>
          <w:sz w:val="20"/>
          <w:szCs w:val="20"/>
          <w:color w:val="auto"/>
        </w:rPr>
      </w:pPr>
      <w:r>
        <w:rPr>
          <w:rFonts w:ascii="Times New Roman" w:cs="Times New Roman" w:eastAsia="Times New Roman" w:hAnsi="Times New Roman"/>
          <w:sz w:val="20"/>
          <w:szCs w:val="20"/>
          <w:color w:val="auto"/>
        </w:rPr>
        <w:t>In January 2025, Evergy Missouri West implemented new rates approved by the MPSC in December 2024 providing for an increase to Evergy Missouri West's retail revenues of approximately $55 million after lowering base rates for fuel and purchased power expense of approximately $49 million and rebasing property tax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Requests for Certificate of Convenience and Necessity</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Missouri utilities must request a CCN from the MPSC to authorize them to build certain utility projects. The CCN process authorizes utilities to build projects and can provide assurance that the project is prudent and necessary. Investment in projects is dependent upon the granting by the MPSC of a CCN with reasonably acceptable terms.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2024, Evergy Missouri West filed applications for CCNs for its planned renewable and natural gas plant investments. In May 2025, Evergy Missouri West entered into a unanimous stipulation and agreement with the MPSC staff and other intervenors that would grant Evergy Missouri West’s CCNs to construct, install, own, operate, maintain and otherwise control and manage Sunflower Sky and Foxtrot solar generating facilities. In May 2025, Evergy Missouri West entered into a non-unanimous stipulation and agreement with the MPSC staff and other intervenors that would grant Evergy Missouri West’s CCNs to construct, install, own, operate, maintain and otherwise control and manage its planned natural gas plant investments.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July 2025, the MPSC approved the unanimous stipulation and agreement for Sunflower Sky and Foxtrot solar generating facilities granting Evergy Missouri West's CCN request for its planned renewable plant investments. Evergy Missouri West plans to utilize PISA, as applicable, for its planned renewable plant investments.</w:t>
      </w:r>
    </w:p>
    <w:p>
      <w:pPr>
        <w:spacing w:after="0" w:line="174"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0"/>
          <w:szCs w:val="20"/>
          <w:color w:val="auto"/>
        </w:rPr>
        <w:t>In July 2025, the MPSC approved the non-unanimous stipulation and agreement for the natural gas plant investments granting Evergy Missouri West's CCN and establishing that Evergy Missouri West’s planned investments in the natural gas plants are decisionally prudent. Evergy Missouri West intends to utilize the SB 4 CWIP inclusion provision and PISA, as applicable, for its planned investments in the natural gas plants.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FERC Proceedings</w:t>
      </w:r>
    </w:p>
    <w:p>
      <w:pPr>
        <w:spacing w:after="0" w:line="3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Annual Update</w:t>
      </w:r>
    </w:p>
    <w:p>
      <w:pPr>
        <w:spacing w:after="0" w:line="32" w:lineRule="exact"/>
        <w:rPr>
          <w:sz w:val="20"/>
          <w:szCs w:val="20"/>
          <w:color w:val="auto"/>
        </w:rPr>
      </w:pPr>
    </w:p>
    <w:p>
      <w:pPr>
        <w:ind w:right="1080"/>
        <w:spacing w:after="0" w:line="253" w:lineRule="auto"/>
        <w:rPr>
          <w:sz w:val="20"/>
          <w:szCs w:val="20"/>
          <w:color w:val="auto"/>
        </w:rPr>
      </w:pPr>
      <w:r>
        <w:rPr>
          <w:rFonts w:ascii="Times New Roman" w:cs="Times New Roman" w:eastAsia="Times New Roman" w:hAnsi="Times New Roman"/>
          <w:sz w:val="20"/>
          <w:szCs w:val="20"/>
          <w:color w:val="auto"/>
        </w:rPr>
        <w:t>Most recently, the updated TFR is expected to increase Evergy Kansas Central's annual transmission revenues by approximately $21.6 million, effective in January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Formal Complaint</w:t>
      </w:r>
    </w:p>
    <w:p>
      <w:pPr>
        <w:spacing w:after="0" w:line="2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In February 2023, certain Evergy Kansas Central TFR customers submitted a formal complaint with FERC requesting the refund of over-collections related to the capital structure calculation in determining Evergy Kansas Central's Annual Transmission Revenue Requirement for the 2018 and 2019 rate years. As of September 30, 2025, and December 31, 2024, Evergy and Evergy Kansas Central had recorded a regulatory liability of $9.5 million and $7.1 million, respectively, related to the 2018 and 2019 rate year refund request. Evergy and Evergy Kansas Central are awaiting a response from FERC.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TFR Annual Update</w:t>
      </w:r>
    </w:p>
    <w:p>
      <w:pPr>
        <w:spacing w:after="0" w:line="32" w:lineRule="exact"/>
        <w:rPr>
          <w:sz w:val="20"/>
          <w:szCs w:val="20"/>
          <w:color w:val="auto"/>
        </w:rPr>
      </w:pPr>
    </w:p>
    <w:p>
      <w:pPr>
        <w:ind w:right="700"/>
        <w:spacing w:after="0" w:line="267" w:lineRule="auto"/>
        <w:rPr>
          <w:sz w:val="20"/>
          <w:szCs w:val="20"/>
          <w:color w:val="auto"/>
        </w:rPr>
      </w:pPr>
      <w:r>
        <w:rPr>
          <w:rFonts w:ascii="Times New Roman" w:cs="Times New Roman" w:eastAsia="Times New Roman" w:hAnsi="Times New Roman"/>
          <w:sz w:val="20"/>
          <w:szCs w:val="20"/>
          <w:color w:val="auto"/>
        </w:rPr>
        <w:t>Most recently, the updated TFR is expected to decrease Evergy Metro's annual transmission revenues by approximately $2.4 million, effective in January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GOODWILL</w:t>
      </w:r>
    </w:p>
    <w:p>
      <w:pPr>
        <w:spacing w:after="0" w:line="12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GAAP requires goodwill to be tested for impairment annually and when an event occurs indicating the possibility that an impairment exists. Evergy's impairment test for the $2,336.6 million of goodwill that was recorded as a result of the merger that created Evergy was conducted as of May 1, 2025.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PENSION PLANS AND POST-RETIREMENT BENEFITS</w:t>
      </w:r>
    </w:p>
    <w:p>
      <w:pPr>
        <w:spacing w:after="0" w:line="112"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w:t>
      </w:r>
    </w:p>
    <w:p>
      <w:pPr>
        <w:spacing w:after="0" w:line="16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Evergy and its subsidiaries also provide certain post-retirement health care and life insurance benefits for substantially all retired employees of Evergy Kansas Central and Evergy Metro and their respective shares of Wolf Creek Generating Station's (Wolf Creek) post-retirement benefit plans.</w:t>
      </w:r>
    </w:p>
    <w:p>
      <w:pPr>
        <w:spacing w:after="0" w:line="18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7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The following tables provide the components of net periodic benefit costs prior to the effects of capitalization and sharing with joint owners of power plants.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Evergy</w:t>
            </w:r>
          </w:p>
        </w:tc>
        <w:tc>
          <w:tcPr>
            <w:tcW w:w="200" w:type="dxa"/>
            <w:vAlign w:val="bottom"/>
          </w:tcPr>
          <w:p>
            <w:pPr>
              <w:spacing w:after="0"/>
              <w:rPr>
                <w:sz w:val="16"/>
                <w:szCs w:val="16"/>
                <w:color w:val="auto"/>
              </w:rPr>
            </w:pPr>
          </w:p>
        </w:tc>
        <w:tc>
          <w:tcPr>
            <w:tcW w:w="980" w:type="dxa"/>
            <w:vAlign w:val="bottom"/>
            <w:vMerge w:val="restart"/>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16"/>
                <w:szCs w:val="16"/>
                <w:color w:val="auto"/>
              </w:rPr>
            </w:pPr>
          </w:p>
        </w:tc>
        <w:tc>
          <w:tcPr>
            <w:tcW w:w="8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0" w:type="dxa"/>
            <w:vAlign w:val="bottom"/>
          </w:tcPr>
          <w:p>
            <w:pPr>
              <w:spacing w:after="0"/>
              <w:rPr>
                <w:sz w:val="1"/>
                <w:szCs w:val="1"/>
                <w:color w:val="auto"/>
              </w:rPr>
            </w:pPr>
          </w:p>
        </w:tc>
      </w:tr>
      <w:tr>
        <w:trPr>
          <w:trHeight w:val="18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6"/>
                <w:szCs w:val="16"/>
                <w:color w:val="auto"/>
              </w:rPr>
            </w:pPr>
          </w:p>
        </w:tc>
        <w:tc>
          <w:tcPr>
            <w:tcW w:w="10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Kansas</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16"/>
                <w:szCs w:val="16"/>
                <w:color w:val="auto"/>
              </w:rPr>
            </w:pPr>
          </w:p>
        </w:tc>
        <w:tc>
          <w:tcPr>
            <w:tcW w:w="98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(0.2)</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64"/>
        </w:trPr>
        <w:tc>
          <w:tcPr>
            <w:tcW w:w="40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(2.4)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(0.7)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200" w:type="dxa"/>
            <w:vAlign w:val="bottom"/>
          </w:tcPr>
          <w:p>
            <w:pPr>
              <w:spacing w:after="0"/>
              <w:rPr>
                <w:sz w:val="16"/>
                <w:szCs w:val="16"/>
                <w:color w:val="auto"/>
              </w:rPr>
            </w:pPr>
          </w:p>
        </w:tc>
        <w:tc>
          <w:tcPr>
            <w:tcW w:w="980" w:type="dxa"/>
            <w:vAlign w:val="bottom"/>
            <w:vMerge w:val="restart"/>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21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16"/>
                <w:szCs w:val="16"/>
                <w:color w:val="auto"/>
              </w:rPr>
            </w:pPr>
          </w:p>
        </w:tc>
        <w:tc>
          <w:tcPr>
            <w:tcW w:w="8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0" w:type="dxa"/>
            <w:vAlign w:val="bottom"/>
          </w:tcPr>
          <w:p>
            <w:pPr>
              <w:spacing w:after="0"/>
              <w:rPr>
                <w:sz w:val="1"/>
                <w:szCs w:val="1"/>
                <w:color w:val="auto"/>
              </w:rPr>
            </w:pPr>
          </w:p>
        </w:tc>
      </w:tr>
      <w:tr>
        <w:trPr>
          <w:trHeight w:val="175"/>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 2025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b w:val="1"/>
                <w:bCs w:val="1"/>
                <w:color w:val="auto"/>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60" w:type="dxa"/>
            <w:vAlign w:val="bottom"/>
          </w:tcPr>
          <w:p>
            <w:pPr>
              <w:spacing w:after="0"/>
              <w:rPr>
                <w:sz w:val="15"/>
                <w:szCs w:val="15"/>
                <w:color w:val="auto"/>
              </w:rPr>
            </w:pPr>
          </w:p>
        </w:tc>
        <w:tc>
          <w:tcPr>
            <w:tcW w:w="98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300" w:type="dxa"/>
            <w:vAlign w:val="bottom"/>
          </w:tcPr>
          <w:p>
            <w:pPr>
              <w:spacing w:after="0"/>
              <w:rPr>
                <w:sz w:val="19"/>
                <w:szCs w:val="19"/>
                <w:color w:val="auto"/>
              </w:rPr>
            </w:pPr>
          </w:p>
        </w:tc>
        <w:tc>
          <w:tcPr>
            <w:tcW w:w="10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55"/>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w w:val="99"/>
              </w:rPr>
              <w:t>Net periodic benefit costs before regulatory adjustment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intercompany allocations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Pr>
          <w:p>
            <w:pPr>
              <w:spacing w:after="0"/>
              <w:rPr>
                <w:sz w:val="21"/>
                <w:szCs w:val="21"/>
                <w:color w:val="auto"/>
              </w:rPr>
            </w:pPr>
          </w:p>
        </w:tc>
        <w:tc>
          <w:tcPr>
            <w:tcW w:w="10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20" w:type="dxa"/>
            <w:vAlign w:val="bottom"/>
          </w:tcPr>
          <w:p>
            <w:pPr>
              <w:spacing w:after="0"/>
              <w:rPr>
                <w:sz w:val="16"/>
                <w:szCs w:val="16"/>
                <w:color w:val="auto"/>
              </w:rPr>
            </w:pPr>
          </w:p>
        </w:tc>
        <w:tc>
          <w:tcPr>
            <w:tcW w:w="98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19"/>
                <w:szCs w:val="19"/>
                <w:color w:val="auto"/>
              </w:rPr>
            </w:pPr>
          </w:p>
        </w:tc>
        <w:tc>
          <w:tcPr>
            <w:tcW w:w="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56"/>
        </w:trPr>
        <w:tc>
          <w:tcPr>
            <w:tcW w:w="3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Pr>
          <w:p>
            <w:pPr>
              <w:spacing w:after="0"/>
              <w:rPr>
                <w:sz w:val="21"/>
                <w:szCs w:val="21"/>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20" w:type="dxa"/>
            <w:vAlign w:val="bottom"/>
          </w:tcPr>
          <w:p>
            <w:pPr>
              <w:spacing w:after="0"/>
              <w:rPr>
                <w:sz w:val="16"/>
                <w:szCs w:val="16"/>
                <w:color w:val="auto"/>
              </w:rPr>
            </w:pPr>
          </w:p>
        </w:tc>
        <w:tc>
          <w:tcPr>
            <w:tcW w:w="98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 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580" w:type="dxa"/>
            <w:vAlign w:val="bottom"/>
          </w:tcPr>
          <w:p>
            <w:pPr>
              <w:spacing w:after="0"/>
              <w:rPr>
                <w:sz w:val="19"/>
                <w:szCs w:val="19"/>
                <w:color w:val="auto"/>
              </w:rPr>
            </w:pPr>
          </w:p>
        </w:tc>
        <w:tc>
          <w:tcPr>
            <w:tcW w:w="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21"/>
                <w:szCs w:val="21"/>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 to date September 30, 2025, Evergy, Evergy Kansas Central and Evergy Metro made cash pension contributions of $61.7 million,</w:t>
      </w:r>
    </w:p>
    <w:p>
      <w:pPr>
        <w:spacing w:after="0" w:line="2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$31.7 million and $30.0 million, respectively. Evergy expects to make additional cash pension contributions of $4.3 million, paid by Evergy Metro, in 2025 to satisfy the Employee Retirement Income Security Act of 1974, as amended, funding requirements and KCC and MPSC rate orders.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 to date September 30, 2025, Evergy, Evergy Kansas Central and Evergy Metro made post-retirement benefit contributions of</w:t>
      </w:r>
    </w:p>
    <w:p>
      <w:pPr>
        <w:spacing w:after="0" w:line="22"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20"/>
          <w:szCs w:val="20"/>
          <w:color w:val="auto"/>
        </w:rPr>
        <w:t>$0.3 million, $0.2 million and $0.1 million, respectively. Evergy, Evergy Kansas Central and Evergy Metro expect to make additional contributions in 2025 of $0.2 million, $0.1 million and $0.1 million, respectively, to the post-retirement benefit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SHORT-TERM BORROWINGS AND SHORT-TERM BANK LINES OF CREDIT</w:t>
      </w:r>
    </w:p>
    <w:p>
      <w:pPr>
        <w:spacing w:after="0" w:line="11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color w:val="auto"/>
        </w:rPr>
        <w:t>The Evergy Companies' $2.5 billion master credit facility expires in 2028.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also subject to changes in ratings by the credit rating agencies.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As of September 30, 2025, Evergy, Evergy Kansas Central, Evergy Metro and Evergy Missouri West were in compliance with this covenant.</w:t>
      </w:r>
    </w:p>
    <w:p>
      <w:pPr>
        <w:spacing w:after="0" w:line="192"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committed credit facilities (excluding receivable sale facilities discussed in Note 3) available to the Evergy Companies as of September 30, 2025, and December 31, 2024.</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bottom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18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Borrowings</w:t>
            </w:r>
          </w:p>
        </w:tc>
        <w:tc>
          <w:tcPr>
            <w:tcW w:w="208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Rate on Short-</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Paper</w:t>
            </w:r>
          </w:p>
        </w:tc>
        <w:tc>
          <w:tcPr>
            <w:tcW w:w="134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8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Bonds</w:t>
      </w:r>
    </w:p>
    <w:p>
      <w:pPr>
        <w:spacing w:after="0" w:line="32"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20"/>
          <w:szCs w:val="20"/>
          <w:color w:val="auto"/>
        </w:rPr>
        <w:t>In March 2025, Evergy Kansas Central issued, at a discount, $300.0 million of 5.25% First Mortgage Bonds, maturing in 2035. Proceeds were used to pay down commercial paper and for general corporate purposes.</w:t>
      </w:r>
    </w:p>
    <w:p>
      <w:pPr>
        <w:spacing w:after="0" w:line="161"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In August 2025, Evergy Metro issued, at a discount, $400.0 million of 5.125% Mortgage Bonds, maturing in 2035. Proceeds were used to repay its 3.65% Senior Notes at maturity and for general corporate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and Senior Notes</w:t>
      </w:r>
    </w:p>
    <w:p>
      <w:pPr>
        <w:spacing w:after="0" w:line="3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20"/>
          <w:szCs w:val="20"/>
          <w:color w:val="auto"/>
        </w:rPr>
        <w:t>In March 2025, Evergy Kansas Central issued, at a discount, $300.0 million of 4.70% Notes, maturing in 2028. Proceeds were used to pay down commercial paper and for general corporate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August 2025, Evergy Metro repaid its $350.0 million of 3.65% Senior Notes at maturity.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August 2025, Evergy Missouri West repaid its $36.0 million of 3.49% Senior Notes at maturity.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Pollution Control Bonds</w:t>
      </w:r>
    </w:p>
    <w:p>
      <w:pPr>
        <w:spacing w:after="0" w:line="3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20"/>
          <w:szCs w:val="20"/>
          <w:color w:val="auto"/>
        </w:rPr>
        <w:t>In July 2025, Evergy Metro remarketed its unsecured Series 2008 Environmental Improvement Revenue Refunding (EIRR) bonds maturing in 2038 totaling $23.4 million at a fixed rate of 4.05% through June 2030.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DERIVATIVE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Price Risk</w:t>
      </w:r>
    </w:p>
    <w:p>
      <w:pPr>
        <w:spacing w:after="0" w:line="12"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9"/>
          <w:szCs w:val="19"/>
          <w:color w:val="auto"/>
        </w:rPr>
        <w:t>The Evergy Companies engage in the wholesale and retail sale of electricity as part of their regulated electric operations.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 From time to time, this may include entering into interest rate swap agreements to mitigate exposure to interest rate fluctuations associated with forecasted debt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w:t>
      </w:r>
    </w:p>
    <w:p>
      <w:pPr>
        <w:spacing w:after="0" w:line="12" w:lineRule="exact"/>
        <w:rPr>
          <w:sz w:val="20"/>
          <w:szCs w:val="20"/>
          <w:color w:val="auto"/>
        </w:rPr>
      </w:pPr>
    </w:p>
    <w:p>
      <w:pPr>
        <w:jc w:val="both"/>
        <w:ind w:right="340"/>
        <w:spacing w:after="0" w:line="249" w:lineRule="auto"/>
        <w:rPr>
          <w:sz w:val="20"/>
          <w:szCs w:val="20"/>
          <w:color w:val="auto"/>
        </w:rPr>
      </w:pPr>
      <w:r>
        <w:rPr>
          <w:rFonts w:ascii="Times New Roman" w:cs="Times New Roman" w:eastAsia="Times New Roman" w:hAnsi="Times New Roman"/>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for Derivative Instruments</w:t>
      </w:r>
    </w:p>
    <w:p>
      <w:pPr>
        <w:spacing w:after="0" w:line="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as (i) economic hedges or trading contracts (non-hedging derivatives) or (ii) cash flow hedges, which are recorded as assets or liabilities on the consolidated balance sheets at fair value. See Note 10 for additional information on the Evergy Companies' methods for assessing the fair value of derivative instruments.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Changes in the fair value of derivative instruments designated as economic hedges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w:t>
      </w:r>
    </w:p>
    <w:p>
      <w:pPr>
        <w:spacing w:after="0" w:line="186"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Changes in the fair value of derivative instruments designated as trading contracts (non-hedging derivatives) are recorded in operating revenues on the Evergy Companies' statements of income and comprehensive income.</w:t>
      </w:r>
    </w:p>
    <w:p>
      <w:pPr>
        <w:spacing w:after="0" w:line="17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Changes in the fair value of interest rate swaps designated as cash flow hedges are initially recorded in Other Comprehensive Income (OCI). These amounts are subsequently reclassified into earnings as an adjustment to interest expense over the same period that the hedged interest payments affect earnings. The Evergy Companies classify cash flows from derivative instruments accounted for as a cash flow hedge in the same category as the cash flows from the items being hedged.</w:t>
      </w:r>
    </w:p>
    <w:p>
      <w:pPr>
        <w:spacing w:after="0" w:line="172"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gross notional contract amount by commodity type for non-hedging derivative instruments is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Borders>
              <w:top w:val="single" w:sz="8" w:color="auto"/>
            </w:tcBorders>
          </w:tcPr>
          <w:p>
            <w:pPr>
              <w:spacing w:after="0"/>
              <w:rPr>
                <w:sz w:val="21"/>
                <w:szCs w:val="21"/>
                <w:color w:val="auto"/>
              </w:rPr>
            </w:pPr>
          </w:p>
        </w:tc>
        <w:tc>
          <w:tcPr>
            <w:tcW w:w="440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400" w:type="dxa"/>
            <w:vAlign w:val="bottom"/>
            <w:tcBorders>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Notional volume unit of measure</w:t>
            </w:r>
          </w:p>
        </w:tc>
        <w:tc>
          <w:tcPr>
            <w:tcW w:w="19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4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8"/>
                <w:szCs w:val="18"/>
                <w:color w:val="auto"/>
              </w:rPr>
            </w:pPr>
          </w:p>
        </w:tc>
      </w:tr>
      <w:tr>
        <w:trPr>
          <w:trHeight w:val="234"/>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0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7"/>
              </w:rPr>
              <w:t>MWhs</w:t>
            </w:r>
          </w:p>
        </w:tc>
        <w:tc>
          <w:tcPr>
            <w:tcW w:w="196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78.7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MMBtu</w:t>
            </w:r>
          </w:p>
        </w:tc>
        <w:tc>
          <w:tcPr>
            <w:tcW w:w="19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68.9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29"/>
        </w:trPr>
        <w:tc>
          <w:tcPr>
            <w:tcW w:w="3600" w:type="dxa"/>
            <w:vAlign w:val="bottom"/>
            <w:shd w:val="clear" w:color="auto" w:fill="CCEEFF"/>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Evergy Kansas Central</w:t>
            </w:r>
          </w:p>
        </w:tc>
        <w:tc>
          <w:tcPr>
            <w:tcW w:w="44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0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7"/>
              </w:rPr>
              <w:t>MWhs</w:t>
            </w:r>
          </w:p>
        </w:tc>
        <w:tc>
          <w:tcPr>
            <w:tcW w:w="196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45.2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MMBtu</w:t>
            </w:r>
          </w:p>
        </w:tc>
        <w:tc>
          <w:tcPr>
            <w:tcW w:w="19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68.9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3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4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3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00" w:type="dxa"/>
            <w:vAlign w:val="bottom"/>
            <w:tcBorders>
              <w:bottom w:val="single" w:sz="8" w:color="auto"/>
            </w:tcBorders>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7"/>
              </w:rPr>
              <w:t>MWhs</w:t>
            </w:r>
          </w:p>
        </w:tc>
        <w:tc>
          <w:tcPr>
            <w:tcW w:w="196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25.0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values of Evergy's open non-hedging derivative positions and balance sheet classifications are summarized in the following tables.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values below are gross values before netting agreements and netting of cash collateral.</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28.6</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33.8</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67.4</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54.7</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33.8</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52.7</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067"/>
        </w:trPr>
        <w:tc>
          <w:tcPr>
            <w:tcW w:w="3480" w:type="dxa"/>
            <w:vAlign w:val="bottom"/>
          </w:tcPr>
          <w:p>
            <w:pPr>
              <w:spacing w:after="0"/>
              <w:rPr>
                <w:sz w:val="24"/>
                <w:szCs w:val="24"/>
                <w:color w:val="auto"/>
              </w:rPr>
            </w:pPr>
          </w:p>
        </w:tc>
        <w:tc>
          <w:tcPr>
            <w:tcW w:w="452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The following tables present the line items on the Evergy Companies' consolidated balance sheets where non-hedging derivative assets and liabilities are reported. The gross amounts offset in the tables below show the effect of master netting arrangements and include collateral posted to offset the net position.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71"/>
              <w:spacing w:after="0" w:line="202" w:lineRule="exact"/>
              <w:rPr>
                <w:sz w:val="20"/>
                <w:szCs w:val="20"/>
                <w:color w:val="auto"/>
              </w:rPr>
            </w:pPr>
            <w:r>
              <w:rPr>
                <w:rFonts w:ascii="Times New Roman" w:cs="Times New Roman" w:eastAsia="Times New Roman" w:hAnsi="Times New Roman"/>
                <w:sz w:val="18"/>
                <w:szCs w:val="18"/>
                <w:b w:val="1"/>
                <w:bCs w:val="1"/>
                <w:color w:val="auto"/>
              </w:rPr>
              <w:t>Evergy Kansas</w:t>
            </w:r>
          </w:p>
        </w:tc>
        <w:tc>
          <w:tcPr>
            <w:tcW w:w="3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right="17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38"/>
        </w:trPr>
        <w:tc>
          <w:tcPr>
            <w:tcW w:w="58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right="291"/>
              <w:spacing w:after="0"/>
              <w:rPr>
                <w:sz w:val="20"/>
                <w:szCs w:val="20"/>
                <w:color w:val="auto"/>
              </w:rPr>
            </w:pPr>
            <w:r>
              <w:rPr>
                <w:rFonts w:ascii="Times New Roman" w:cs="Times New Roman" w:eastAsia="Times New Roman" w:hAnsi="Times New Roman"/>
                <w:sz w:val="16"/>
                <w:szCs w:val="16"/>
                <w:color w:val="auto"/>
              </w:rPr>
              <w:t>(millions)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amounts of gain (loss) recognized in income for the change in fair value of derivatives not designated as hedging instruments for the Evergy Companies.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Year to Date</w:t>
            </w: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 - Location of</w:t>
            </w:r>
          </w:p>
        </w:tc>
        <w:tc>
          <w:tcPr>
            <w:tcW w:w="2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Contract type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8"/>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22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gridSpan w:val="2"/>
          </w:tcPr>
          <w:p>
            <w:pPr>
              <w:jc w:val="right"/>
              <w:ind w:right="570"/>
              <w:spacing w:after="0"/>
              <w:rPr>
                <w:sz w:val="20"/>
                <w:szCs w:val="20"/>
                <w:color w:val="auto"/>
              </w:rPr>
            </w:pPr>
            <w:r>
              <w:rPr>
                <w:rFonts w:ascii="Times New Roman" w:cs="Times New Roman" w:eastAsia="Times New Roman" w:hAnsi="Times New Roman"/>
                <w:sz w:val="16"/>
                <w:szCs w:val="16"/>
                <w:color w:val="auto"/>
              </w:rPr>
              <w:t>(millions)</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Commodity</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9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29.8</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29.8</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Commodity</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9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29.8</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9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29.8</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gross notional contract amount by type for hedging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Hedging derivatives - Cash flow hedge</w:t>
            </w:r>
          </w:p>
        </w:tc>
        <w:tc>
          <w:tcPr>
            <w:tcW w:w="3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Notional volume unit of measure</w:t>
            </w:r>
          </w:p>
        </w:tc>
        <w:tc>
          <w:tcPr>
            <w:tcW w:w="9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7"/>
        </w:trPr>
        <w:tc>
          <w:tcPr>
            <w:tcW w:w="3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3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USD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75.0</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288" w:lineRule="exact"/>
        <w:rPr>
          <w:sz w:val="20"/>
          <w:szCs w:val="20"/>
          <w:color w:val="auto"/>
        </w:rPr>
      </w:pPr>
    </w:p>
    <w:p>
      <w:pPr>
        <w:jc w:val="both"/>
        <w:ind w:right="60"/>
        <w:spacing w:after="0" w:line="283" w:lineRule="auto"/>
        <w:rPr>
          <w:sz w:val="20"/>
          <w:szCs w:val="20"/>
          <w:color w:val="auto"/>
        </w:rPr>
      </w:pPr>
      <w:r>
        <w:rPr>
          <w:rFonts w:ascii="Times New Roman" w:cs="Times New Roman" w:eastAsia="Times New Roman" w:hAnsi="Times New Roman"/>
          <w:sz w:val="20"/>
          <w:szCs w:val="20"/>
          <w:color w:val="auto"/>
        </w:rPr>
        <w:t>The fair value of Evergy's open hedging derivative positions and balance sheet classifications are summarized in the following table. The fair values represent both the gross and net impact of netting agreements and the netting of cash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Hedging derivatives - Cash flow hedge</w:t>
            </w:r>
          </w:p>
        </w:tc>
        <w:tc>
          <w:tcPr>
            <w:tcW w:w="45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500" w:type="dxa"/>
            <w:vAlign w:val="bottom"/>
            <w:shd w:val="clear" w:color="auto" w:fill="CCEEFF"/>
          </w:tcPr>
          <w:p>
            <w:pPr>
              <w:spacing w:after="0"/>
              <w:rPr>
                <w:sz w:val="19"/>
                <w:szCs w:val="19"/>
                <w:color w:val="auto"/>
              </w:rPr>
            </w:pPr>
          </w:p>
        </w:tc>
        <w:tc>
          <w:tcPr>
            <w:tcW w:w="4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assets - long-term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4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5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27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September 30, 2025, if counterparty groups completely failed to perform on contracts, Evergy's and Evergy Kansas Central's maximum exposure related to derivative assets was $33.1 million. As of September 30, 2025, the potential loss after the consideration of applicable master netting arrangements and collateral received for Evergy and Evergy Kansas Central was $25.2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of the Evergy Companies' derivative instruments contain collateral provisions that are tied to the Evergy Companies' credit ratings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may require the posting of collateral for various reasons, including if the Evergy Companies' credit ratings were to fall below investment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grade. Substantially all of these derivative instruments relate to Evergy Kansas Central's non-regulated energy marketing activities.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fair value of all derivative instruments with credit-risk-related contingent features that were in a liability position as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September 30, 2025, was $36.5 million for which Evergy and Evergy Kansas Central have posted $2.5 million collateral in the normal course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business. If the credit-risk-related contingent features underlying these agreements were triggered as of September 30, 2025, Evergy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Kansas Central could be required to post an additional $32.6 million of collateral to their counterparties.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Values of Financial Instruments</w:t>
      </w:r>
    </w:p>
    <w:p>
      <w:pPr>
        <w:spacing w:after="0" w:line="2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8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8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7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Long-Term Debt</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Evergy</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13,062.9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12,460.9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11,535.0</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5,180.0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4,583.5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4,031.7</w:t>
            </w:r>
          </w:p>
        </w:tc>
      </w:tr>
      <w:tr>
        <w:trPr>
          <w:trHeight w:val="236"/>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3,271.2</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3,124.9</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3,223.4</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2,966.3</w:t>
            </w:r>
          </w:p>
        </w:tc>
      </w:tr>
    </w:tbl>
    <w:p>
      <w:pPr>
        <w:spacing w:after="0" w:line="44"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current maturities.</w:t>
      </w:r>
    </w:p>
    <w:p>
      <w:pPr>
        <w:jc w:val="both"/>
        <w:ind w:left="180" w:right="220" w:hanging="172"/>
        <w:spacing w:after="0"/>
        <w:tabs>
          <w:tab w:leader="none" w:pos="16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Book value as of September 30, 2025, and December 31, 2024, includes $77.5 million and $81.7 million, respectively, of fair value adjustments recorded in connection with purchase accounting for the merger that created Evergy,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include balances of financial assets and liabilities measured at fair value on a recurring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4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NAV</w:t>
            </w:r>
          </w:p>
        </w:tc>
      </w:tr>
      <w:tr>
        <w:trPr>
          <w:trHeight w:val="208"/>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46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equity funds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100.9</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100.9</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Core bond fund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68.4</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High-yield bond fund</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35.1</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49.8</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16.8</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456.1</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381.2</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193"/>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funds</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23.5</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40.8</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33.1</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520.4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425.0</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33.1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19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38.3</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38.1</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424.2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424.2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56.4</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56.4</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Agency</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535.7</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483.3</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52.4</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11.7</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559.7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491.7</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64.1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4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NAV</w:t>
            </w:r>
          </w:p>
        </w:tc>
      </w:tr>
      <w:tr>
        <w:trPr>
          <w:trHeight w:val="208"/>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5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interest rate swaps</w:t>
            </w:r>
            <w:r>
              <w:rPr>
                <w:rFonts w:ascii="Times New Roman" w:cs="Times New Roman" w:eastAsia="Times New Roman" w:hAnsi="Times New Roman"/>
                <w:sz w:val="21"/>
                <w:szCs w:val="21"/>
                <w:color w:val="auto"/>
                <w:vertAlign w:val="superscript"/>
              </w:rPr>
              <w:t>(b)</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5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interest rate swaps</w:t>
            </w:r>
            <w:r>
              <w:rPr>
                <w:rFonts w:ascii="Times New Roman" w:cs="Times New Roman" w:eastAsia="Times New Roman" w:hAnsi="Times New Roman"/>
                <w:sz w:val="21"/>
                <w:szCs w:val="21"/>
                <w:color w:val="auto"/>
                <w:vertAlign w:val="superscript"/>
              </w:rPr>
              <w:t>(b)</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991.8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864.5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52.4</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5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5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45.5</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33.1</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6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interest rate swaps</w:t>
            </w:r>
            <w:r>
              <w:rPr>
                <w:rFonts w:ascii="Times New Roman" w:cs="Times New Roman" w:eastAsia="Times New Roman" w:hAnsi="Times New Roman"/>
                <w:sz w:val="21"/>
                <w:szCs w:val="21"/>
                <w:color w:val="auto"/>
                <w:vertAlign w:val="superscript"/>
              </w:rPr>
              <w:t>(b)</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46.9</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33.3</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14.0</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1,090.2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924.6</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97.4</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14.0</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19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5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interest rate swaps</w:t>
            </w:r>
            <w:r>
              <w:rPr>
                <w:rFonts w:ascii="Times New Roman" w:cs="Times New Roman" w:eastAsia="Times New Roman" w:hAnsi="Times New Roman"/>
                <w:sz w:val="21"/>
                <w:szCs w:val="21"/>
                <w:color w:val="auto"/>
                <w:vertAlign w:val="superscript"/>
              </w:rPr>
              <w:t>(b)</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38.3</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4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Domestic equity funds</w:t>
            </w:r>
          </w:p>
        </w:tc>
        <w:tc>
          <w:tcPr>
            <w:tcW w:w="1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81.6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81.6</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Core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66.7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High-yield bond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33.7</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33.7</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407.9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337.1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income funds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23.4</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36.4</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467.7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391.1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368.8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368.8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55.3</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42.7</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471.9</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427.1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44.8</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498.9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434.9</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55.9</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3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9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3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879.8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764.2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45.7</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40.5</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47.0</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977.1</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834.0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96.5</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44.2</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With the exception of investments measured at NAV, fair value is based on quoted market prices of the investments held by the trust and/or valuation models.</w:t>
      </w:r>
    </w:p>
    <w:p>
      <w:pPr>
        <w:ind w:left="180" w:right="20" w:hanging="172"/>
        <w:spacing w:after="0" w:line="249" w:lineRule="auto"/>
        <w:tabs>
          <w:tab w:leader="none" w:pos="168"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spacing w:after="0" w:line="3" w:lineRule="exact"/>
        <w:rPr>
          <w:rFonts w:ascii="Times New Roman" w:cs="Times New Roman" w:eastAsia="Times New Roman" w:hAnsi="Times New Roman"/>
          <w:sz w:val="20"/>
          <w:szCs w:val="20"/>
          <w:color w:val="auto"/>
          <w:vertAlign w:val="superscript"/>
        </w:rPr>
      </w:pPr>
    </w:p>
    <w:p>
      <w:pPr>
        <w:ind w:left="180" w:right="420" w:hanging="172"/>
        <w:spacing w:after="0" w:line="225" w:lineRule="auto"/>
        <w:tabs>
          <w:tab w:leader="none" w:pos="175"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8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2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14"/>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Length of</w:t>
            </w:r>
          </w:p>
        </w:tc>
      </w:tr>
      <w:tr>
        <w:trPr>
          <w:trHeight w:val="238"/>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 fund</w:t>
            </w:r>
            <w:r>
              <w:rPr>
                <w:rFonts w:ascii="Times New Roman" w:cs="Times New Roman" w:eastAsia="Times New Roman" w:hAnsi="Times New Roman"/>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securities fund</w:t>
            </w:r>
            <w:r>
              <w:rPr>
                <w:rFonts w:ascii="Times New Roman" w:cs="Times New Roman" w:eastAsia="Times New Roman" w:hAnsi="Times New Roman"/>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67" w:lineRule="exact"/>
        <w:rPr>
          <w:sz w:val="20"/>
          <w:szCs w:val="20"/>
          <w:color w:val="auto"/>
        </w:rPr>
      </w:pPr>
    </w:p>
    <w:p>
      <w:pPr>
        <w:ind w:left="180" w:right="540" w:hanging="172"/>
        <w:spacing w:after="0" w:line="230" w:lineRule="auto"/>
        <w:tabs>
          <w:tab w:leader="none" w:pos="175"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investment is in four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spacing w:after="0" w:line="1"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a holdback on final redemptions.</w:t>
      </w:r>
    </w:p>
    <w:p>
      <w:pPr>
        <w:spacing w:after="0" w:line="19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net unrealized gains (losses) for the Evergy Companies' nuclear decommissioning trusts and rabbi trusts.</w:t>
      </w:r>
    </w:p>
    <w:p>
      <w:pPr>
        <w:spacing w:after="0" w:line="149"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510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5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80" w:type="dxa"/>
            <w:vAlign w:val="bottom"/>
            <w:tcBorders>
              <w:top w:val="single" w:sz="8" w:color="auto"/>
            </w:tcBorders>
          </w:tcPr>
          <w:p>
            <w:pPr>
              <w:spacing w:after="0"/>
              <w:rPr>
                <w:sz w:val="19"/>
                <w:szCs w:val="19"/>
                <w:color w:val="auto"/>
              </w:rPr>
            </w:pPr>
          </w:p>
        </w:tc>
      </w:tr>
      <w:tr>
        <w:trPr>
          <w:trHeight w:val="234"/>
        </w:trPr>
        <w:tc>
          <w:tcPr>
            <w:tcW w:w="5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80" w:type="dxa"/>
            <w:vAlign w:val="bottom"/>
            <w:gridSpan w:val="2"/>
          </w:tcPr>
          <w:p>
            <w:pPr>
              <w:jc w:val="right"/>
              <w:ind w:right="330"/>
              <w:spacing w:after="0"/>
              <w:rPr>
                <w:sz w:val="20"/>
                <w:szCs w:val="20"/>
                <w:color w:val="auto"/>
              </w:rPr>
            </w:pPr>
            <w:r>
              <w:rPr>
                <w:rFonts w:ascii="Times New Roman" w:cs="Times New Roman" w:eastAsia="Times New Roman" w:hAnsi="Times New Roman"/>
                <w:sz w:val="20"/>
                <w:szCs w:val="20"/>
                <w:b w:val="1"/>
                <w:bCs w:val="1"/>
                <w:color w:val="auto"/>
                <w:w w:val="97"/>
              </w:rPr>
              <w:t>September 30</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r>
      <w:tr>
        <w:trPr>
          <w:trHeight w:val="238"/>
        </w:trPr>
        <w:tc>
          <w:tcPr>
            <w:tcW w:w="5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86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54.5</w:t>
            </w:r>
          </w:p>
        </w:tc>
        <w:tc>
          <w:tcPr>
            <w:tcW w:w="10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39.9</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860" w:type="dxa"/>
            <w:vAlign w:val="bottom"/>
          </w:tcPr>
          <w:p>
            <w:pPr>
              <w:spacing w:after="0"/>
              <w:rPr>
                <w:sz w:val="19"/>
                <w:szCs w:val="19"/>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trusts - equity securities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0.8</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ind w:right="64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56.3</w:t>
            </w:r>
          </w:p>
        </w:tc>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45.8</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106.5</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860" w:type="dxa"/>
            <w:vAlign w:val="bottom"/>
          </w:tcPr>
          <w:p>
            <w:pPr>
              <w:jc w:val="right"/>
              <w:ind w:right="64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20.8</w:t>
            </w:r>
          </w:p>
        </w:tc>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19.9</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47.0</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 equity securities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0.7</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ind w:right="64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21.5</w:t>
            </w:r>
          </w:p>
        </w:tc>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21.2</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860" w:type="dxa"/>
            <w:vAlign w:val="bottom"/>
          </w:tcPr>
          <w:p>
            <w:pPr>
              <w:jc w:val="right"/>
              <w:ind w:right="64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33.7</w:t>
            </w:r>
          </w:p>
        </w:tc>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53.0</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34.7</w:t>
            </w:r>
          </w:p>
        </w:tc>
        <w:tc>
          <w:tcPr>
            <w:tcW w:w="10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24.1</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56.6</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0"/>
          <w:szCs w:val="20"/>
          <w:color w:val="auto"/>
        </w:rPr>
        <w:t>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w:t>
      </w:r>
    </w:p>
    <w:p>
      <w:pPr>
        <w:spacing w:after="0" w:line="1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9"/>
          <w:szCs w:val="19"/>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State Implementation Plans (ITSIP)</w:t>
      </w:r>
    </w:p>
    <w:p>
      <w:pPr>
        <w:spacing w:after="0" w:line="2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2015, the Environmental Protection Agency (EPA) lowered the Ozone National Ambient Air Quality Standards (NAAQS) from 75 ppb to 70 ppb. States were required to submit ITSIPs in 2018 to comply with the "Good Neighbor Provision" of the Clean Air Act (CAA) as it applies to the revised NAAQS. The EPA did not act on these ITSIP submissions by the deadline established in the CAA and entered consent decrees establishing deadlines for the EPA to take final action on various ITSIPs. In February 2022, the EPA published a proposed rule to disapprove the ITSIPs submitted by nineteen states including Missouri and Oklahoma. In April 2022, the EPA published an approval of the Kansas ITSIP in the Federal Register. The Missouri Department of Natural Resources (MDNR) submitted a supplemental ITSIP to the EPA in November 2022. In February 2023, the EPA published a final rule disapproving the ITSIPs submitted by nineteen states, including the final disapproval of the Missouri and Oklahoma ITSIPs. In April 2023, the Attorneys General of Missouri and Oklahoma filed Petitions for Review in the U.S. Court of Appeals for the Eighth Circuit (Eighth Circuit) and the U.S. Court of Appeals for the Tenth Circuit (Tenth Circuit), respectively, challenging the EPA's disapproval. In May 2023, the Eighth Circuit granted a stay of the EPA's disapproval of the Missouri ITSIP. Similarly, in July 2023, the Tenth Circuit granted a stay of the EPA's disapproval of the Oklahoma ITSIP. In August 2024, the EPA published in the Federal Register a proposed rule to disapprove the supplemental ITSIP that Missouri submitted in November 2022. In January 2024, the EPA proposed to disapprove the previously-approved ITSIP for Kansas and ITSIPs submitted by four other states. To date, the EPA has not taken final action in this rulemaking. Disapproval of ITSIPs provides the EPA with authority to implement an interstate transport federal implementation plan (ITFIP) to replace them. As described below, the EPA's ITFIP has been stayed and may be withdrawn. In the event that the ITSIPs for Missouri, Oklahoma and Kansas were disapproved and the EPA's ITFIP took effect, the impact on the Evergy Companies' operations and the cost to comply could be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Federal Implementation Plans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April 2022, the EPA published in the Federal Register the proposed ITFIP to resolve outstanding "Good Neighbor" obligations with respect to the 2015 Ozone NAAQS for twenty-six states including Missouri and Oklahoma. This ITFIP would establish a revised Cross-State Air Pollution Rule (CSAPR) ozone season nitrogen oxide (NOx) emissions trading program for Electric Generating Units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included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which included reduced ozone season NOx budgets for EGUs in Missouri, Oklahoma and other states, and included other features and requirements that were in the proposed version of the rule. Because the EPA's authority to impose an ITFIP for a state is triggered by the state's failure to submit an ITSIP addressing NAAQS by the statutory deadline or disapproval of an ITSIP, the EPA lacks authority under the CAA to impose an ITFIP on a state for which an ITSIP disapproval has been stayed by the courts. Accordingly, the EPA issued interim final rules staying the effectiveness of the ITFIP in both Missouri and Oklahoma while the stays issued by the Eighth and Tenth Circuits in the ITSIP disapproval cases remain in place. During this time, both states will continue to operate under the existing CSAPR program. While Kansas was not originally included in the ITFIP, in January 2024, the EPA issued a proposal to include Kansas in the ITFIP. In June 2024, the U.S. Supreme Court issued an order granting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emergency motions for stay filed by state and industry petitioners of the final ITFIP pending further review of the ITFIP by the U.S. Court of Appeals for the D.C. Circuit (D.C. Circuit). In March 2025, the EPA announced plans to end the Good Neighbor Rule for the 2015 Ozone NAAQS. In April 2025, the D.C. Circuit granted an EPA request to hold all challenges to the ITFIP in indefinite abeyance. If the ITFIP ultimately takes effect as promulgated for Missouri, Kansas and Oklahoma following the pending litigation or the EPA is unable to end the program as announced, the impact on the Evergy Companies' operations and the cost to comply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Particulate Matter National Ambient Air Quality Standards</w:t>
      </w:r>
    </w:p>
    <w:p>
      <w:pPr>
        <w:spacing w:after="0" w:line="3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9"/>
          <w:szCs w:val="19"/>
          <w:color w:val="auto"/>
        </w:rPr>
        <w:t>In March 2024, the EPA published in the Federal Register the final rule which strengthens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(particulate matter less than 2.5 microns in diameter) NAAQS by lowering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from 12.0 µg/m3 (micrograms per cubic meter) to 9.0 µg/m3. The final rule took effect in May 2024. In August 2024, the EPA released the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ambient monitor design values for calendar years 2021 through 2023. These design values are to be used by each state governor for recommending to the EPA attainment designations for their states. In February 2025, the Kansas Governor sent recommendations to the EPA to designate the entire state of Kansas as either attainment or attainment/unclassifiable for the 2024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In March 2025, the EPA announced it plans to reconsider the 2024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As a result of the EPA's plans to reconsider this NAAQS, the Missouri Governor delayed submitting area designations to the EPA. While the EPA is required to issue final designations for all states, including Kansas and Missouri, by February 2026, the issuance of final designations is in question based on the EPA's plans to reconsider this NAAQS. Due to the uncertainty of the attainment status of portions of the service territory and potential reconsideration of the NAAQS, the Evergy Companies are unable to accurately assess the impacts on their operations or consolidated financial results, but the cost to comply with lower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could be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Regional Haze Rule</w:t>
      </w:r>
    </w:p>
    <w:p>
      <w:pPr>
        <w:spacing w:after="0" w:line="3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state implementation plans (SIPs) every ten years and the first round was due in 2007. For the second ten-year implementation period, the EPA issued a final rule revision in 2017 that allowed states to submit their SIP revisions by July 2021.</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Missouri SIP revision does not require any additional reductions from the Evergy Companies' generating units in the state. MDNR submitted the Missouri SIP revision to the EPA in August 2022, however, they failed to do so by the EPA's revised submittal deadline in August 2022. As a result, in August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In July 2024, the EPA published in the Federal Register a proposal to partially approve and partially disapprove Missouri's Regional Haze SIP revision.</w:t>
      </w:r>
    </w:p>
    <w:p>
      <w:pPr>
        <w:spacing w:after="0" w:line="17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Kansas SIP revision did not include any additional emission reductions by electric utilities based on the significant reductions that were achieved during the first implementation period. The Kansas Department of Health and Environment (KDHE) submitted the Kansas SIP revision in July 2021. In August 2024, the EPA issued the final disapproval of the Kansas SIP revision for failing to conduct a four-factor analysis for at least two emission sources in Kansas. In response to the August 2024 final disapproval, in October 2025, KDHE placed a supplemental Kansas SIP revision on public notice. In this supplement, the KDHE performed additional analyses for two Kansas emission sources, including Evergy's La Cygne Station, and determined no additional requirements should be necessary for any Kansas emission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9"/>
          <w:szCs w:val="19"/>
          <w:color w:val="auto"/>
        </w:rPr>
        <w:t>In March 2025, the EPA announced plans to restructure the Regional Haze Program and in October 2025, the EPA published a Notice of Proposed Advanced Rulemaking requesting comments to assist in the development of regulatory changes to the current Regional Haze</w:t>
      </w:r>
    </w:p>
    <w:p>
      <w:pPr>
        <w:spacing w:after="0" w:line="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Program. Due to uncertainty regarding the status of the Regional Haze Program and when or if a Kansas or Missouri revised SIP or FIP is finalized, the overall costs of implementing the rules could be material to the Evergy Companies.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Greenhouse Gases</w:t>
      </w:r>
    </w:p>
    <w:p>
      <w:pPr>
        <w:spacing w:after="0" w:line="3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9"/>
          <w:szCs w:val="19"/>
          <w:color w:val="auto"/>
        </w:rPr>
        <w:t>Burning coal and other fossil fuels releases carbon dioxide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and other gases referred to as greenhouse gases (GHG). Various regulations under the CAA limit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and other GHG emissions, and in addition, other measures are being imposed or offered by individual states, municipalities and regional agreements with the goal of reducing GHG emissions. In April 2024, the EPA finalized the GHG regulations and GHG guidelines that apply to new and existing fossil-fuel fired EGUs. The final GHG regulation establishes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limitations on emissions from new and reconstructed stationary combustion turbines. The GHG guidelines set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 limitations for existing coal, oil and gas-fired steam generating units. For new and reconstructed stationary combustion turbines, the emission limitations were developed by applying the Best System of Emission Reduction (BSER) to three distinct subcategories (low load, intermediate load and base load) taking into consideration the annual capacity factor of the stationary combustion turbine. For intermediate and base load stationary combustion turbines, BSER is assumed to be the utilization of highly efficient combustion turbine technology. Base load stationary combustion turbines are also required to consider the emissions reduction associated with the application of carbon capture and sequestration (CCS) beginning in 2032. For existing coal-fired EGUs, the emission limitations were established by applying the BSER to two subcategories (medium and long-term). For medium-term existing coal-fired units, which are units retiring between 2032 and 2038, the BSER established emission limitation is based on co-firing natural gas beginning in 2030. For units operating in 2039 and after, BSER is the application of CCS starting in 2032. In July 2024, the D.C. Circuit denied motions of stay filed by various states, industry and trade organizations; however, the D.C. Circuit has ordered expedited review of the challenges to the final regulations and guidelines. In December 2024, a three-judge panel of the D.C. Circuit heard oral arguments on challenges to the merits of the rule. In March 2025, the EPA announced it plans to reconsider the GHG regulation and guidelines. While the EPA reconsiders the GHG regulation and guidelines, the D.C. Circuit granted an unopposed motion to hold the case challenging the merits of the rule in abeyance. In June 2025, the EPA published a proposed rule to repeal both the 2015 GHG emission standards for new fossil-fuel fired EGUs and the April 2024 GHG emission standards for new and existing fossil-fuel fired EGUs. In the same June 2025 proposed rule, the EPA included an alternative proposal to repeal the most burdensome requirements of the 2024 rule including the elimination of CCS as BSER. In July 2025, the EPA proposed to rescind the 2009 GHG Endangerment Finding (Endangerment Finding). The Endangerment Finding applies to GHG emissions from new motor vehicles and also provides justification for declaring GHG emissions as a threat to public health and welfare, thereby establishing the basis for regulating GHG emission under the CAA. If the Endangerment Finding is rescinded there would be no justification for regulating GHG emissions from the power sector.</w:t>
      </w:r>
    </w:p>
    <w:p>
      <w:pPr>
        <w:spacing w:after="0" w:line="206"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20"/>
          <w:szCs w:val="20"/>
          <w:color w:val="auto"/>
        </w:rPr>
        <w:t>Due to uncertainty regarding which of these proposed rules will be finalized and the ongoing judicial review, in addition to the uncertainty regarding the potential rescission of the Endangerment Finding, the Evergy Companies are unable to accurately assess the impacts on their operations or consolidated financial results, but the cost to comply could be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Coal Combustion Residuals (CCRs)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The cost to comply with these proposed determinations by the EPA could be material.</w:t>
      </w:r>
    </w:p>
    <w:p>
      <w:pPr>
        <w:spacing w:after="0" w:line="19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color w:val="auto"/>
        </w:rPr>
        <w:t>In April 2024, the EPA finalized an expansion to the CCR regulations focused on legacy surface impoundments and historic placements of CCR. This regulation expands applicability of the 2015 CCR regulation to inactive landfills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and beneficial use sites not previously regulated. Litigation could impact the timing or cost to comply. In March 2025, the EPA announced its plans to update regulations of CCRs, and in July 2025, issued a proposed rulemaking extending deadlines for compliance with various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aspects of the CCR legacy rule. The EPA has indicated a second rulemaking modifying CCR requirements should be anticipated later in 2025 or 2026, however specific details of any planned revisions have not been provided.</w:t>
      </w:r>
    </w:p>
    <w:p>
      <w:pPr>
        <w:spacing w:after="0" w:line="16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Evergy Companies have recorded asset retirement obligations (AROs) for their current estimates for the closure of ash disposal ponds, landfills and other historical placements of CCR. The revision of these AROs may be required in the future due to information collected in the April 2024 CCR regulation's Facility Evaluation Reports (FERs), changes in existing CCR regulations, the results of groundwater monitoring of CCR units,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Montrose Station CCRs</w:t>
      </w:r>
    </w:p>
    <w:p>
      <w:pPr>
        <w:spacing w:after="0" w:line="3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In 2025, three lawsuits, including one seeking class certification, were filed in the Circuit Court of Henry County, Missouri against Evergy Metro and two other defendants alleging unspecified damages resulting from the defendants' alleged unlawful and negligent spreading of CCRs associated with the Montrose Station coal ash landfill. Montrose Station was a coal-fired generating facility which was operated by Evergy Metro until its closure in 2018. The cases are at preliminary stages and Evergy and Evergy Metro are unable to assess the outcome or reasonably estimate any possible damages with respect to the claims. However, Evergy and Evergy Metro believe the claims are without merit and intend to vigorously defend themselves.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Nuclear Antitrust Class Action</w:t>
      </w:r>
    </w:p>
    <w:p>
      <w:pPr>
        <w:spacing w:after="0" w:line="3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In July 2025, a class action complaint was filed in the U.S. District Court for the District of Maryland alleging violations of the Sherman Antitrust Act in establishing wages for employees at nuclear facilities since 2003. The complaint names 28 defendants, including all 26 owner operators of nuclear facilities in the United States, or affiliated entities, including Wolf Creek Nuclear Operating Corporation, which owns and operates Wolf Creek, a nuclear facility in Kansas. Evergy indirectly owns 94% of Wolf Creek, with Evergy Kansas Central and Evergy Metro each owning 47% of the nuclear facility. This case is at a preliminary stage and the Evergy Companies are unable to assess the outcome or reasonably estimate any possible damages with respect to the claims.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RELATED PARTY TRANSACTIONS AND RELATIONSHIPS</w:t>
      </w:r>
    </w:p>
    <w:p>
      <w:pPr>
        <w:spacing w:after="0" w:line="112"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9"/>
          <w:szCs w:val="19"/>
          <w:color w:val="auto"/>
        </w:rPr>
        <w:t>In the normal course of business, Evergy Kansas Central, Evergy Metro and Evergy Missouri West engage in related party transactions with one another. In addition, Evergy Kansas Central, Evergy Metro and Evergy Missouri West are engaging in the construction of jointly-owned generation facilities. A summary of these related party transactions and the amounts associated with them is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Jointly-Owned Plants and Shared Services</w:t>
      </w:r>
    </w:p>
    <w:p>
      <w:pPr>
        <w:spacing w:after="0" w:line="32"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2"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operating expenses and capital costs billed for jointly-owned plants and shared services are detailed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left="9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left="370"/>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00" w:type="dxa"/>
            <w:vAlign w:val="bottom"/>
            <w:tcBorders>
              <w:top w:val="single" w:sz="8" w:color="auto"/>
            </w:tcBorders>
          </w:tcPr>
          <w:p>
            <w:pPr>
              <w:spacing w:after="0"/>
              <w:rPr>
                <w:sz w:val="17"/>
                <w:szCs w:val="17"/>
                <w:color w:val="auto"/>
              </w:rPr>
            </w:pPr>
          </w:p>
        </w:tc>
      </w:tr>
      <w:tr>
        <w:trPr>
          <w:trHeight w:val="234"/>
        </w:trPr>
        <w:tc>
          <w:tcPr>
            <w:tcW w:w="4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r>
      <w:tr>
        <w:trPr>
          <w:trHeight w:val="238"/>
        </w:trPr>
        <w:tc>
          <w:tcPr>
            <w:tcW w:w="47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4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Missouri West</w:t>
            </w:r>
          </w:p>
        </w:tc>
        <w:tc>
          <w:tcPr>
            <w:tcW w:w="14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47.3</w:t>
            </w:r>
          </w:p>
        </w:tc>
        <w:tc>
          <w:tcPr>
            <w:tcW w:w="10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116.9</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Missouri West</w:t>
            </w:r>
          </w:p>
        </w:tc>
        <w:tc>
          <w:tcPr>
            <w:tcW w:w="14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102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5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79.4</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Metro</w:t>
            </w: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38.2</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Kansas Central</w:t>
            </w:r>
          </w:p>
        </w:tc>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29.5</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33.9</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97.6</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Net Receivables and Payables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and Evergy Metro's related party net receivables and payables.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48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50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payable to Evergy</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payable to Evergy Metro</w:t>
            </w:r>
          </w:p>
        </w:tc>
        <w:tc>
          <w:tcPr>
            <w:tcW w:w="2500" w:type="dxa"/>
            <w:vAlign w:val="bottom"/>
          </w:tcPr>
          <w:p>
            <w:pPr>
              <w:spacing w:after="0"/>
              <w:rPr>
                <w:sz w:val="19"/>
                <w:szCs w:val="19"/>
                <w:color w:val="auto"/>
              </w:rPr>
            </w:pPr>
          </w:p>
        </w:tc>
        <w:tc>
          <w:tcPr>
            <w:tcW w:w="1500" w:type="dxa"/>
            <w:vAlign w:val="bottom"/>
          </w:tcPr>
          <w:p>
            <w:pPr>
              <w:jc w:val="center"/>
              <w:ind w:left="771"/>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tcPr>
          <w:p>
            <w:pPr>
              <w:spacing w:after="0"/>
              <w:rPr>
                <w:sz w:val="19"/>
                <w:szCs w:val="19"/>
                <w:color w:val="auto"/>
              </w:rPr>
            </w:pPr>
          </w:p>
        </w:tc>
        <w:tc>
          <w:tcPr>
            <w:tcW w:w="13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23.0</w:t>
            </w:r>
          </w:p>
        </w:tc>
      </w:tr>
      <w:tr>
        <w:trPr>
          <w:trHeight w:val="257"/>
        </w:trPr>
        <w:tc>
          <w:tcPr>
            <w:tcW w:w="54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from Evergy</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Kansas Central</w:t>
            </w:r>
          </w:p>
        </w:tc>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22.9</w:t>
            </w:r>
          </w:p>
        </w:tc>
      </w:tr>
      <w:tr>
        <w:trPr>
          <w:trHeight w:val="236"/>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8"/>
                <w:szCs w:val="18"/>
                <w:color w:val="auto"/>
              </w:rPr>
              <w:t>90.2</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86.2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Money Pool</w:t>
      </w:r>
    </w:p>
    <w:p>
      <w:pPr>
        <w:spacing w:after="0" w:line="32"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6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color w:val="auto"/>
        </w:rPr>
        <w:t>As of September 30, 2025, Evergy Kansas Central had money pool receivables of $3.6 million and $8.7 million from Evergy Metro and Evergy Missouri West, respectively. As of December 31, 2024, Evergy Kansas Central and Evergy Metro had no outstanding receivables or payables under the money pool.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Allocation Agreement</w:t>
      </w:r>
    </w:p>
    <w:p>
      <w:pPr>
        <w:spacing w:after="0" w:line="3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26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7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40" w:type="dxa"/>
            <w:vAlign w:val="bottom"/>
          </w:tcPr>
          <w:p>
            <w:pPr>
              <w:spacing w:after="0"/>
              <w:rPr>
                <w:sz w:val="19"/>
                <w:szCs w:val="19"/>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 from Evergy</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57"/>
        </w:trPr>
        <w:tc>
          <w:tcPr>
            <w:tcW w:w="52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6"/>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 payable to Evergy</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SHAREHOLDERS'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ATM Program</w:t>
      </w:r>
    </w:p>
    <w:p>
      <w:pPr>
        <w:spacing w:after="0" w:line="2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In May 2025, Evergy entered into an equity distribution agreement, pursuant to which Evergy may sell, from time to time, up to an aggregate of $1.2 billion of its common stock through an ATM Program, which may utilize forward sales agreements. Evergy subsequently entered into forward sale agreements under the ATM program and as of September 30, 2025, the ATM Program had approximately $1.1 billion of common stock available for issuance.</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forward sale agreements outstanding as of September 30, 2025, can be settled at Evergy’s discretion on or prior to dates ranging from March 2027 to October 2027. On a settlement date or dates, if Evergy elects to physically settle a forward sale agreement, Evergy will issue shares of common stock to the counterparties at the then-applicable forward sale price. The initial forward sale price for the outstanding agreements ranged from $71.29 to $72.76, with a weighted average initial forward sale price of $72.08. The initial forward sale price is subject to adjustment on a daily basis based on an interest rate factor and decreased on certain dates by predetermined amounts to reflect expected dividend payments. The forward sale agreements will be physically settled unless Evergy elects to settle in cash or to net share settle. At September 30, 2025, Evergy could have settled the forward sale agreements with physical delivery of 1.5 million shares of common stock to the respective counterparties in exchange for cash of $108.7 million. Alternatively, the forward sale agreements could have also been settled at September 30, 2025, with delivery of approximately $5.4 million of cash or approximately 0.1 million shares of common stock to the counterparties, if Evergy elected net cash or net share settlement, respectively.</w:t>
      </w:r>
    </w:p>
    <w:p>
      <w:pPr>
        <w:spacing w:after="0" w:line="19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Evergy completed an additional forward sale transaction in October 2025 resulting in a $72.50 weighted average initial forward sale price for all outstanding agreements and 1.7 million shares that would be issued if all outstanding agreements were physically settled.</w:t>
      </w:r>
    </w:p>
    <w:p>
      <w:pPr>
        <w:spacing w:after="0" w:line="17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Evergy has not received any proceeds related to the outstanding forward sale agreements. The forward sale agreements have been classified as equity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Income Tax Rates</w:t>
      </w:r>
    </w:p>
    <w:p>
      <w:pPr>
        <w:spacing w:after="0" w:line="26"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20"/>
          <w:szCs w:val="20"/>
          <w:color w:val="auto"/>
        </w:rPr>
        <w:t>Effective income tax rates reflected in the financial statements and the reasons for their differences from the statutory federal rates are detailed in the following tables.</w:t>
      </w:r>
    </w:p>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86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2"/>
          </w:tcPr>
          <w:p>
            <w:pPr>
              <w:jc w:val="right"/>
              <w:ind w:right="830"/>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840" w:type="dxa"/>
            <w:vAlign w:val="bottom"/>
            <w:tcBorders>
              <w:top w:val="single" w:sz="8" w:color="auto"/>
            </w:tcBorders>
          </w:tcPr>
          <w:p>
            <w:pPr>
              <w:jc w:val="center"/>
              <w:ind w:left="5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80" w:type="dxa"/>
            <w:vAlign w:val="bottom"/>
            <w:tcBorders>
              <w:top w:val="single" w:sz="8" w:color="auto"/>
            </w:tcBorders>
          </w:tcPr>
          <w:p>
            <w:pPr>
              <w:spacing w:after="0"/>
              <w:rPr>
                <w:sz w:val="16"/>
                <w:szCs w:val="16"/>
                <w:color w:val="auto"/>
              </w:rPr>
            </w:pPr>
          </w:p>
        </w:tc>
      </w:tr>
      <w:tr>
        <w:trPr>
          <w:trHeight w:val="230"/>
        </w:trPr>
        <w:tc>
          <w:tcPr>
            <w:tcW w:w="486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Pr>
          <w:p>
            <w:pPr>
              <w:spacing w:after="0"/>
              <w:rPr>
                <w:sz w:val="19"/>
                <w:szCs w:val="19"/>
                <w:color w:val="auto"/>
              </w:rPr>
            </w:pPr>
          </w:p>
        </w:tc>
        <w:tc>
          <w:tcPr>
            <w:tcW w:w="18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19"/>
                <w:szCs w:val="19"/>
                <w:color w:val="auto"/>
              </w:rPr>
            </w:pPr>
          </w:p>
        </w:tc>
      </w:tr>
      <w:tr>
        <w:trPr>
          <w:trHeight w:val="238"/>
        </w:trPr>
        <w:tc>
          <w:tcPr>
            <w:tcW w:w="48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4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21.0 %</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21.0 %</w:t>
            </w:r>
          </w:p>
        </w:tc>
        <w:tc>
          <w:tcPr>
            <w:tcW w:w="18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21.0 %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COLI policies</w:t>
            </w:r>
          </w:p>
        </w:tc>
        <w:tc>
          <w:tcPr>
            <w:tcW w:w="2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4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(3.7)</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(5.4)</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(4.3)</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(5.3)</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24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(6.8)</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AFUDC equity</w:t>
            </w:r>
          </w:p>
        </w:tc>
        <w:tc>
          <w:tcPr>
            <w:tcW w:w="24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(0.4)</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(0.6)</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4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4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18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0.3</w:t>
            </w:r>
          </w:p>
        </w:tc>
        <w:tc>
          <w:tcPr>
            <w:tcW w:w="184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5.1 %</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4.1 %</w:t>
            </w:r>
          </w:p>
        </w:tc>
        <w:tc>
          <w:tcPr>
            <w:tcW w:w="1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5.5 %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46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6"/>
        </w:trPr>
        <w:tc>
          <w:tcPr>
            <w:tcW w:w="4860" w:type="dxa"/>
            <w:vAlign w:val="bottom"/>
          </w:tcPr>
          <w:p>
            <w:pPr>
              <w:spacing w:after="0"/>
              <w:rPr>
                <w:sz w:val="15"/>
                <w:szCs w:val="15"/>
                <w:color w:val="auto"/>
              </w:rPr>
            </w:pPr>
          </w:p>
        </w:tc>
        <w:tc>
          <w:tcPr>
            <w:tcW w:w="3600" w:type="dxa"/>
            <w:vAlign w:val="bottom"/>
            <w:gridSpan w:val="2"/>
          </w:tcPr>
          <w:p>
            <w:pPr>
              <w:jc w:val="right"/>
              <w:ind w:right="870"/>
              <w:spacing w:after="0" w:line="176"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840" w:type="dxa"/>
            <w:vAlign w:val="bottom"/>
          </w:tcPr>
          <w:p>
            <w:pPr>
              <w:jc w:val="center"/>
              <w:ind w:left="5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80" w:type="dxa"/>
            <w:vAlign w:val="bottom"/>
          </w:tcPr>
          <w:p>
            <w:pPr>
              <w:spacing w:after="0"/>
              <w:rPr>
                <w:sz w:val="15"/>
                <w:szCs w:val="15"/>
                <w:color w:val="auto"/>
              </w:rPr>
            </w:pPr>
          </w:p>
        </w:tc>
      </w:tr>
      <w:tr>
        <w:trPr>
          <w:trHeight w:val="234"/>
        </w:trPr>
        <w:tc>
          <w:tcPr>
            <w:tcW w:w="486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Pr>
          <w:p>
            <w:pPr>
              <w:spacing w:after="0"/>
              <w:rPr>
                <w:sz w:val="20"/>
                <w:szCs w:val="20"/>
                <w:color w:val="auto"/>
              </w:rPr>
            </w:pP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r>
      <w:tr>
        <w:trPr>
          <w:trHeight w:val="238"/>
        </w:trPr>
        <w:tc>
          <w:tcPr>
            <w:tcW w:w="48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4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21.0 %</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21.0 %</w:t>
            </w:r>
          </w:p>
        </w:tc>
        <w:tc>
          <w:tcPr>
            <w:tcW w:w="18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2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2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(2.5)</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2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(9.8)</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(10.2)</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(0.4)</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24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(0.5)</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(0.4)</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0.1</w:t>
            </w:r>
          </w:p>
        </w:tc>
        <w:tc>
          <w:tcPr>
            <w:tcW w:w="184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4.9 %</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3.1 %</w:t>
            </w:r>
          </w:p>
        </w:tc>
        <w:tc>
          <w:tcPr>
            <w:tcW w:w="18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4.7 %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280" w:type="dxa"/>
            <w:vAlign w:val="bottom"/>
            <w:tcBorders>
              <w:top w:val="single" w:sz="8" w:color="auto"/>
            </w:tcBorders>
          </w:tcPr>
          <w:p>
            <w:pPr>
              <w:spacing w:after="0"/>
              <w:rPr>
                <w:sz w:val="15"/>
                <w:szCs w:val="15"/>
                <w:color w:val="auto"/>
              </w:rPr>
            </w:pPr>
          </w:p>
        </w:tc>
        <w:tc>
          <w:tcPr>
            <w:tcW w:w="3180" w:type="dxa"/>
            <w:vAlign w:val="bottom"/>
            <w:tcBorders>
              <w:top w:val="single" w:sz="8" w:color="auto"/>
            </w:tcBorders>
            <w:gridSpan w:val="2"/>
          </w:tcPr>
          <w:p>
            <w:pPr>
              <w:jc w:val="right"/>
              <w:ind w:right="850"/>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840" w:type="dxa"/>
            <w:vAlign w:val="bottom"/>
            <w:tcBorders>
              <w:top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80" w:type="dxa"/>
            <w:vAlign w:val="bottom"/>
            <w:tcBorders>
              <w:top w:val="single" w:sz="8" w:color="auto"/>
            </w:tcBorders>
          </w:tcPr>
          <w:p>
            <w:pPr>
              <w:spacing w:after="0"/>
              <w:rPr>
                <w:sz w:val="15"/>
                <w:szCs w:val="15"/>
                <w:color w:val="auto"/>
              </w:rPr>
            </w:pPr>
          </w:p>
        </w:tc>
      </w:tr>
      <w:tr>
        <w:trPr>
          <w:trHeight w:val="234"/>
        </w:trPr>
        <w:tc>
          <w:tcPr>
            <w:tcW w:w="52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r>
      <w:tr>
        <w:trPr>
          <w:trHeight w:val="238"/>
        </w:trPr>
        <w:tc>
          <w:tcPr>
            <w:tcW w:w="5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19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21.0 %</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21.0 %</w:t>
            </w:r>
          </w:p>
        </w:tc>
        <w:tc>
          <w:tcPr>
            <w:tcW w:w="18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19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(0.1)</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19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(3.3)</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19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(5.1)</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19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(0.7)</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19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19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(0.8)</w:t>
            </w: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(0.8)</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1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0.3</w:t>
            </w:r>
          </w:p>
        </w:tc>
        <w:tc>
          <w:tcPr>
            <w:tcW w:w="184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9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12.4 %</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12.5 %</w:t>
            </w:r>
          </w:p>
        </w:tc>
        <w:tc>
          <w:tcPr>
            <w:tcW w:w="18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12.7 %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SEGMENT INFORMATION</w:t>
      </w:r>
    </w:p>
    <w:p>
      <w:pPr>
        <w:spacing w:after="0" w:line="11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Evergy's chief operating decision maker is Evergy's President and Chief Executive Officer. The chief operating decision maker assesses Evergy's performance based on consolidated net income attributable to Evergy, Inc. (i.e., Evergy operates in a single reportable segment) and uses consolidated net income attributable to Evergy, Inc. to make resource allocation decisions and to compare actual results to budget. The measures of segment assets and expenditures for additions to long-lived assets are reported as total assets on the consolidated balance sheet and additions to property, plant and equipment on the consolidated statement of cash flows, respectively. See Note 1 for additional information regarding the operations of Evergy. This segment information is detailed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3"/>
          </w:tcPr>
          <w:p>
            <w:pPr>
              <w:jc w:val="right"/>
              <w:ind w:right="491"/>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34"/>
        </w:trPr>
        <w:tc>
          <w:tcPr>
            <w:tcW w:w="5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Pr>
          <w:p>
            <w:pPr>
              <w:spacing w:after="0"/>
              <w:rPr>
                <w:sz w:val="20"/>
                <w:szCs w:val="20"/>
                <w:color w:val="auto"/>
              </w:rPr>
            </w:pPr>
          </w:p>
        </w:tc>
      </w:tr>
      <w:tr>
        <w:trPr>
          <w:trHeight w:val="238"/>
        </w:trPr>
        <w:tc>
          <w:tcPr>
            <w:tcW w:w="5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7"/>
        </w:trPr>
        <w:tc>
          <w:tcPr>
            <w:tcW w:w="5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1,809.9</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1,811.4</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4,621.4</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393.1</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433.7</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1,078.8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110.7</w:t>
            </w:r>
          </w:p>
        </w:tc>
        <w:tc>
          <w:tcPr>
            <w:tcW w:w="54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99.7</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322.0</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Operations and customer</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150.2</w:t>
            </w:r>
          </w:p>
        </w:tc>
        <w:tc>
          <w:tcPr>
            <w:tcW w:w="54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147.0</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459.7</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36.6</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112.2</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segment items, including benefit costs</w:t>
            </w:r>
            <w:r>
              <w:rPr>
                <w:rFonts w:ascii="Times New Roman" w:cs="Times New Roman" w:eastAsia="Times New Roman" w:hAnsi="Times New Roman"/>
                <w:sz w:val="10"/>
                <w:szCs w:val="10"/>
                <w:color w:val="auto"/>
              </w:rPr>
              <w:t>(a)</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66.0</w:t>
            </w:r>
          </w:p>
        </w:tc>
        <w:tc>
          <w:tcPr>
            <w:tcW w:w="54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69.7</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168.0</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290.3</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282.3</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866.8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104.5</w:t>
            </w:r>
          </w:p>
        </w:tc>
        <w:tc>
          <w:tcPr>
            <w:tcW w:w="54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116.6</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320.0</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2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143.9</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458.3</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w:t>
            </w:r>
          </w:p>
        </w:tc>
        <w:tc>
          <w:tcPr>
            <w:tcW w:w="54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45.6</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475.0</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465.6</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771.3</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r>
    </w:tbl>
    <w:p>
      <w:pPr>
        <w:ind w:left="20" w:right="240" w:firstLine="6"/>
        <w:spacing w:after="0" w:line="246" w:lineRule="auto"/>
        <w:tabs>
          <w:tab w:leader="none" w:pos="163"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items include benefits expense associated with Operations, Customer and Support employees, regulatory amortization expense, expense associated with energy efficiency programs and bad debt expense, among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3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2024 Form 10-K. None of the registrants make any representation as to information related solely to Evergy, Evergy Kansas Central or Evergy Metro other than itself.</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SUMMARY</w:t>
      </w:r>
    </w:p>
    <w:p>
      <w:pPr>
        <w:spacing w:after="0" w:line="220"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46" w:lineRule="exact"/>
        <w:rPr>
          <w:sz w:val="20"/>
          <w:szCs w:val="20"/>
          <w:color w:val="auto"/>
        </w:rPr>
      </w:pPr>
    </w:p>
    <w:p>
      <w:pPr>
        <w:ind w:left="660" w:right="100" w:hanging="328"/>
        <w:spacing w:after="0" w:line="28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is an integrated, regulated electric utility that provides electricity to customers in the states of Missouri and Kansas.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is an integrated, regulated electric utility that provides electricity to customers in the state of Missouri.</w:t>
      </w:r>
    </w:p>
    <w:p>
      <w:pPr>
        <w:spacing w:after="0" w:line="121"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6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Central's 2025 Rate Case Proceeding</w:t>
      </w:r>
    </w:p>
    <w:p>
      <w:pPr>
        <w:spacing w:after="0" w:line="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January 2025, Evergy Kansas Central filed an application with the KCC to request an increase to its retail revenues of approximately $196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In July 2025, Evergy Kansas Central, the KCC staff and other intervenors in the case reached a unanimous settlement agreement to settle all outstanding issues in the case. The unanimous settlement provides for an increase to retail revenues of $128.0 million after rebasing property tax expense and not including costs recoverable through KCC-approved riders for Evergy Kansas Central. In September 2025, the KCC approved the unanimous settlement agreement and new rates took effect in October 2025. See Note 4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Large Load Power Service (LLPS) Rate Plan</w:t>
      </w:r>
    </w:p>
    <w:p>
      <w:pPr>
        <w:spacing w:after="0" w:line="3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In February 2025, Evergy Kansas Central and Evergy Metro filed an application with the KCC and Evergy Metro and Evergy Missouri West filed an application with the MPSC seeking expedited approval of new comprehensive LLPS rate plans. The proposed LLPS rate plans are designed to establish a tariff framework for large load customers while including protections for existing customers.</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In August 2025, Evergy Kansas Central, Evergy Metro, the KCC staff and other intervenors reached a unanimous settlement agreement for the LLPS rate plan. The unanimous settlement agreement is subject to the approval of the KCC. In September 2025, Evergy Metro, Evergy Missouri West and other intervenors agreed to a non-unanimous global stipulation and agreement for the LLPS rate plan. The non-unanimous global stipulation and agreement is subject to the approval of the MPSC. Final orders from the KCC and the MPSC are expected in the fourth quarter of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Tax Reform</w:t>
      </w:r>
    </w:p>
    <w:p>
      <w:pPr>
        <w:spacing w:after="0" w:line="32"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9"/>
          <w:szCs w:val="19"/>
          <w:color w:val="auto"/>
        </w:rPr>
        <w:t>In July 2025, the One Big Beautiful Bill Act (OBBBA) was signed into law by President Trump. The OBBBA contains a wide variety of tax reforms affecting businesses, including changes to clean energy production tax credits which could impact the Evergy Companies' long-term generation resource planning. The Evergy Companies do not expect a material impact to their operations and consolidated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Missouri Legislation</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April 2025, Missouri SB 4 was signed into law by the Governor of Missouri. Most notably, SB 4 establishes new mechanisms for Missouri electric utilities to recover the costs associated with the construction of new natural gas-fired generating units. The utilities will be able to include certain costs of CWIP in rate base. The inclusion of CWIP will be in lieu of AFUDC applicable to the construction of the new natural gas-fired generating units. The MPSC will determine the amount of CWIP that may be included in rate base. Additionally, amounts collected arising from the inclusion of CWIP in rate base are subject to refund under certain circumstances. These provisions are scheduled to expire at the end of 2035.</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Additionally, the law extends Missouri's existing PISA provisions to include certain natural gas-fired generating units as qualifying electric plant and extends the sunset date of these provisions through the end of 2035. These provisions allow electric utilities to defer to a regulatory asset for recovery in a subsequent general rate case 85% of depreciation expense and the associated return on investment for qualifying electric plant rate base additions for assets placed in-service between general rate cases.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Kansas Legislation</w:t>
      </w:r>
    </w:p>
    <w:p>
      <w:pPr>
        <w:spacing w:after="0" w:line="32"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9"/>
          <w:szCs w:val="19"/>
          <w:color w:val="auto"/>
        </w:rPr>
        <w:t>In April 2025, Kansas House Bill (HB) 2107 was signed into law by the Governor of Kansas. Most notably, HB 2107 establishes a two-year statute of limitations for wildfire-related claims against a Kansas electric public utility and a $5.0 million limit for punitive damages awarded under a fire claim. The law also requires the plaintiff to establish the burden of proof for fire claims by a preponderance of evidence.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Investments</w:t>
      </w:r>
    </w:p>
    <w:p>
      <w:pPr>
        <w:spacing w:after="0" w:line="26" w:lineRule="exact"/>
        <w:rPr>
          <w:sz w:val="20"/>
          <w:szCs w:val="20"/>
          <w:color w:val="auto"/>
        </w:rPr>
      </w:pPr>
    </w:p>
    <w:p>
      <w:pPr>
        <w:ind w:right="420"/>
        <w:spacing w:after="0" w:line="251" w:lineRule="auto"/>
        <w:rPr>
          <w:sz w:val="20"/>
          <w:szCs w:val="20"/>
          <w:color w:val="auto"/>
        </w:rPr>
      </w:pPr>
      <w:r>
        <w:rPr>
          <w:rFonts w:ascii="Times New Roman" w:cs="Times New Roman" w:eastAsia="Times New Roman" w:hAnsi="Times New Roman"/>
          <w:sz w:val="20"/>
          <w:szCs w:val="20"/>
          <w:color w:val="auto"/>
        </w:rPr>
        <w:t>The Evergy Companies use a triennial IRP, a detailed analysis that estimates factors that influence the future supply and demand for electricity, to inform the manner in which they supply electricity. The most recent IRPs incorporate the latest SPP resource adequacy requirements and anticipated load growth. Based on these and other factors, the IRP indicated the addition of new supply side resources, including combined and simple cycle natural gas plants, would be needed.</w:t>
      </w:r>
    </w:p>
    <w:p>
      <w:pPr>
        <w:spacing w:after="0" w:line="19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color w:val="auto"/>
        </w:rPr>
        <w:t>In October 2024, Evergy announced its plan to construct two combined-cycle natural gas plants located in Kansas. Evergy Kansas Central and Evergy Missouri West will jointly-own each plant and expect each plant to have an initial generating capacity of approximately 705 MW. The first plant is expected to begin operations by summer of 2029 and the second plant is expected to begin operations by summer of 2030.</w:t>
      </w:r>
    </w:p>
    <w:p>
      <w:pPr>
        <w:spacing w:after="0" w:line="15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Additionally, Evergy Missouri West plans to construct a 440 MW simple-cycle natural gas plant located in Missouri. The plant is expected to begin operations in 2030.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2024, Evergy Kansas Central and Evergy Missouri West requested predetermination from the KCC and a CCN from the MPSC, respectively, for their planned natural gas investments. In July 2025, the KCC approved a non-unanimous partial settlement agreement regarding Evergy Kansas Central's investments in its planned natural gas plants. In July 2025, the MPSC approved a non-unanimous stipulation and agreement regarding Evergy Missouri West's investments in its planned natural gas plants. See "Applications for Predetermination" and "Requests for Certificate of Convenience and Necessity" in Note 4 to the consolidated financial statements for information regarding Evergy Kansas Central's and Evergy Missouri West's applications for predetermination and CCN for their investments in these natural gas plants.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Plant Investments</w:t>
      </w:r>
    </w:p>
    <w:p>
      <w:pPr>
        <w:spacing w:after="0" w:line="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Evergy Kansas Central intends to construct and own an approximately 159 MW solar generation facility to be located in Kansas called Kansas Sky. Kansas Sky is expected to begin operations by summer of 2027 and construction is subject to the granting by the KCC of predetermination with reasonably acceptable terms and other closing conditions. In July 2025, the KCC approved a unanimous partial settlement agreement for the Kansas Sky solar investment. See "Applications for Predetermination" in Note 4 to the consolidated financial statements for additional information regarding Evergy Kansas Central's application for predetermination for its investment in this renewable generating plant.</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In 2024, Evergy Missouri West entered into agreements to own two solar generation facilities currently under development. The first facility, to be called Sunflower Sky, is a solar generation facility to be located in Kansas with an expected generating capacity of approximately 65 MW. In September 2025, Evergy Missouri West acquired the Sunflower Sky solar facility assets from the developer and will complete construction of the facility. The second facility, to be called Foxtrot, is a solar generation facility to be located in Missouri with an expected generating capacity of approximately 100 MW. In November 2025, Evergy Missouri West acquired the Foxtrot solar facility assets from the developer and will complete construction of the facility. The solar generation facilities are expected to begin operations by summer of 2027. In July 2025, the MPSC approved a unanimous stipulation and agreement regarding Evergy Missouri West's planned investments in the solar generation facilities. See "Requests for Certificate of Convenience and Necessity" in Note 4 to the consolidated financial statements for information regarding Evergy Missouri West's application for a CCN for its investment in these renewable generating plants.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Proceedings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to the consolidated financial statements for information regarding other regulatory proceedings.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Wolf Creek Refueling Outage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Wolf Creek's most recent refueling outage began in October 2025 and the unit is expected to return to service in November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Overview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net income and diluted EPS.</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9"/>
        </w:trPr>
        <w:tc>
          <w:tcPr>
            <w:tcW w:w="3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3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3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465.6</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r>
      <w:tr>
        <w:trPr>
          <w:trHeight w:val="237"/>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bl>
    <w:p>
      <w:pPr>
        <w:spacing w:after="0" w:line="2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Net income attributable to Evergy, Inc. increased for the three months ended September 30, 2025, compared to the same period in 2024, primarily due to new Evergy Missouri West retail rates effective in January 2025 and higher retail sales in the third quarter of 2025 driven by higher weather-normalized demand; partially offset by higher interest and depreciation expenses and lower proceeds from corporate-owned life insurance (COLI).</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Diluted EPS was nearly flat for the three months ended September 30, 2025, compared to the same period in 2024, with the increase in net income attributable to Evergy, Inc. discussed above mostly offset by a $0.03 per share decrease due to dilution from Evergy's convertible notes.</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Net income attributable to Evergy, Inc. decreased year to date September 30, 2025, compared to the same period in 2024, primarily due to higher interest, depreciation and operating and maintenance expenses, lower proceeds from COLI and losses from investments in early-stage clean energy and energy solution companies; partially offset by new Evergy Missouri West retail rates effective in January 2025 and higher transmission revenues.</w:t>
      </w:r>
    </w:p>
    <w:p>
      <w:pPr>
        <w:spacing w:after="0" w:line="17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Diluted EPS decreased year to date September 30, 2025, compared to the same period in 2024, primarily due to the decrease in net income attributable to Evergy, Inc. discussed above and a $0.04 per share decrease due to dilution from Evergy's convertible notes.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regarding the change in net income, refer to the Evergy Results of Operations section within this MD&amp;A.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Utility Gross Margin (non-GAAP)</w:t>
      </w:r>
    </w:p>
    <w:p>
      <w:pPr>
        <w:spacing w:after="0" w:line="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Utility gross margin (non-GAAP) is intended to aid an investor's overall understanding of results. Management believes that utility gross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provides a meaningful basis for evaluating the Evergy Companies' operations across periods because utility gross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excludes the revenue effect of fluctuations in fuel and purchased power costs and SPP network transmission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Utility gross margin (non-GAAP) is used internally to measure performance against budget and in reports for management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Board. Utility gross margin (non-GAAP) should be viewed as a supplement to, and not a substitute for, gross margin, which is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most directly comparable financial measure prepared in accordance with GAAP. Gross margin under GAAP is defined as the excess of sales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cost of goods sold.</w:t>
      </w:r>
    </w:p>
    <w:p>
      <w:pPr>
        <w:spacing w:after="0" w:line="20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Earnings (non-GAAP) and Adjusted EPS (non-GAAP)</w:t>
      </w:r>
    </w:p>
    <w:p>
      <w:pPr>
        <w:spacing w:after="0" w:line="3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Management believes that adjusted earnings (non-GAAP) and adjusted EPS (non-GAAP) are representative measures of Evergy's recurring earnings, assist in the comparability of results and are consistent with how management reviews performance.</w:t>
      </w:r>
    </w:p>
    <w:p>
      <w:pPr>
        <w:spacing w:after="0" w:line="18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Evergy's adjusted earnings (non-GAAP) and adjusted EPS (non-GAAP) for the three months ended and year to date September 30, 2025, were $475.1 million or $2.03 per share and $794.0 million or $3.41 per share, respectively. For the three months ended and year to date September 30, 2024, Evergy's adjusted earnings (non-GAAP) and adjusted EPS (non-GAAP) were $465.6 million or $2.02 per share and $797.3 million or $3.46 per share,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20"/>
          <w:szCs w:val="20"/>
          <w:color w:val="auto"/>
        </w:rPr>
        <w:t>In addition to net income attributable to Evergy, Inc. and diluted EPS, Evergy's management uses adjusted earnings (non-GAAP) and adjusted EPS (non-GAAP) to evaluate earnings and EPS without:</w:t>
      </w:r>
    </w:p>
    <w:p>
      <w:pPr>
        <w:spacing w:after="0" w:line="38" w:lineRule="exact"/>
        <w:rPr>
          <w:sz w:val="20"/>
          <w:szCs w:val="20"/>
          <w:color w:val="auto"/>
        </w:rPr>
      </w:pPr>
    </w:p>
    <w:p>
      <w:pPr>
        <w:ind w:left="660" w:right="780" w:hanging="328"/>
        <w:spacing w:after="0" w:line="283" w:lineRule="auto"/>
        <w:tabs>
          <w:tab w:leader="none" w:pos="65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unrealized losses and impairment losses from non-regulated investments in early-stage clean energy and energy solution companies and costs related to the disposal of these investments; and</w:t>
      </w:r>
    </w:p>
    <w:p>
      <w:pPr>
        <w:spacing w:after="0" w:line="3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mark-to-market impacts of economic hedges related to Evergy Kansas Central's 8% ownership share of JEC.</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8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following tables provide a reconciliation between net income attributable to Evergy, Inc. and diluted EPS as determined in accordance with GAAP and adjusted earnings (non-GAAP) and adjusted EPS (non-GAAP),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80"/>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4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Losses from investments in early-stage clean energy and energy solution companies,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pre-tax</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465.6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4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Losses from investments in early-stage clean energy and energy solution companies,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pre-tax</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Mark-to-market impact of JEC economic hedges, pre-tax</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3"/>
                <w:szCs w:val="23"/>
                <w:color w:val="auto"/>
                <w:vertAlign w:val="superscript"/>
              </w:rPr>
              <w:t>(c)</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794.0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797.3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hanging="172"/>
        <w:spacing w:after="0" w:line="239" w:lineRule="auto"/>
        <w:tabs>
          <w:tab w:leader="none" w:pos="17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unrealized losses and impairment losses year to date September 30, 2025, of $29.0 million from non-regulated investments in early-stage clean energy and energy solution companies that are included in investment earnings (loss) on the consolidated statements of comprehensive income and $0.1 million for the three months ended and year to date September 30, 2025, of costs related to the disposal of these investments that are included in operating and maintenance expense on the consolidated statements of comprehensive income. Evergy has initiated a process to dispose of these investments.</w:t>
      </w:r>
    </w:p>
    <w:p>
      <w:pPr>
        <w:ind w:left="180" w:right="160" w:hanging="172"/>
        <w:spacing w:after="0" w:line="233" w:lineRule="auto"/>
        <w:tabs>
          <w:tab w:leader="none" w:pos="168"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ind w:left="160" w:hanging="152"/>
        <w:spacing w:after="0" w:line="211" w:lineRule="auto"/>
        <w:tabs>
          <w:tab w:leader="none" w:pos="16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an income tax effect calculated at a statutory rate of approximately 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11 to the consolidated financial statements for information regarding environmental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RELATED PARTY TRANSACTIONS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to the consolidated financial statements for information regarding related party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EVERGY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4"/>
          </w:tcPr>
          <w:p>
            <w:pPr>
              <w:jc w:val="center"/>
              <w:ind w:left="4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8"/>
        </w:trPr>
        <w:tc>
          <w:tcPr>
            <w:tcW w:w="4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1,809.9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1,811.4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4,621.4</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393.1</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433.7</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1,078.8</w:t>
            </w: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99.7</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252.8</w:t>
            </w:r>
          </w:p>
        </w:tc>
        <w:tc>
          <w:tcPr>
            <w:tcW w:w="26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251.6</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739.9</w:t>
            </w:r>
          </w:p>
        </w:tc>
        <w:tc>
          <w:tcPr>
            <w:tcW w:w="2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282.3</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116.6</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320.0</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23"/>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627.5</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1,293.9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143.9</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in earnings of equity method investees, net of</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478.0</w:t>
            </w:r>
          </w:p>
        </w:tc>
        <w:tc>
          <w:tcPr>
            <w:tcW w:w="26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468.6</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780.5</w:t>
            </w: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475.0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465.6</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771.3</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tables summarize Evergy's gross margin (GAAP) and MWhs sold and reconcile Evergy's gross margin (GAAP) to Evergy's utility gross margin (non-GAAP). See "Executive Summary - Non-GAAP Measures", above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4,967</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5,323</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2,188</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1,525.7</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12,501</w:t>
            </w:r>
          </w:p>
        </w:tc>
        <w:tc>
          <w:tcPr>
            <w:tcW w:w="11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284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4,701</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1,809.9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17,202</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407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782.4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1,278.0</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40" w:hanging="161"/>
        <w:spacing w:after="0" w:line="210" w:lineRule="auto"/>
        <w:tabs>
          <w:tab w:leader="none" w:pos="156"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$123.9 million and $124.9 million for the three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18" w:right="399" w:bottom="1440" w:gutter="0" w:footer="0" w:header="0"/>
        </w:sectPr>
      </w:pPr>
    </w:p>
    <w:bookmarkStart w:id="65" w:name="page66"/>
    <w:bookmarkEnd w:id="65"/>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12,570</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188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1,502.9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14,249</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6,143</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3,757.9</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33,032</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177</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32,855</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12,272</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4,621.4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45,304</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1,235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44,069</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1,639.0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3,220.6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3,148.4</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200" w:hanging="161"/>
        <w:spacing w:after="0" w:line="210" w:lineRule="auto"/>
        <w:tabs>
          <w:tab w:leader="none" w:pos="156"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$345.1 million and $321.0 million year to date September 30, 2025 and 2024, respectively.</w:t>
      </w:r>
    </w:p>
    <w:p>
      <w:pPr>
        <w:spacing w:after="0" w:line="322" w:lineRule="exact"/>
        <w:rPr>
          <w:sz w:val="20"/>
          <w:szCs w:val="20"/>
          <w:color w:val="auto"/>
        </w:rPr>
      </w:pPr>
    </w:p>
    <w:p>
      <w:pPr>
        <w:ind w:left="1"/>
        <w:spacing w:after="0" w:line="268" w:lineRule="auto"/>
        <w:rPr>
          <w:sz w:val="20"/>
          <w:szCs w:val="20"/>
          <w:color w:val="auto"/>
        </w:rPr>
      </w:pPr>
      <w:r>
        <w:rPr>
          <w:rFonts w:ascii="Times New Roman" w:cs="Times New Roman" w:eastAsia="Times New Roman" w:hAnsi="Times New Roman"/>
          <w:sz w:val="20"/>
          <w:szCs w:val="20"/>
          <w:color w:val="auto"/>
        </w:rPr>
        <w:t>Evergy's gross margin (GAAP) increased $30.0 million for the three months ended September 30, 2025, compared to the same period in 2024 and Evergy's utility gross margin (non-GAAP) increased $28.1 million for the three months ended September 30, 2025, compared to the same period in 2024, both measures were driven by:</w:t>
      </w:r>
    </w:p>
    <w:p>
      <w:pPr>
        <w:spacing w:after="0" w:line="53" w:lineRule="exact"/>
        <w:rPr>
          <w:sz w:val="20"/>
          <w:szCs w:val="20"/>
          <w:color w:val="auto"/>
        </w:rPr>
      </w:pPr>
    </w:p>
    <w:p>
      <w:pPr>
        <w:ind w:left="641" w:hanging="308"/>
        <w:spacing w:after="0"/>
        <w:tabs>
          <w:tab w:leader="none" w:pos="64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$33.9 million increase from new Evergy Missouri West retail rates effective in January 2025; and</w:t>
      </w:r>
    </w:p>
    <w:p>
      <w:pPr>
        <w:spacing w:after="0" w:line="121" w:lineRule="exact"/>
        <w:rPr>
          <w:rFonts w:ascii="Times New Roman" w:cs="Times New Roman" w:eastAsia="Times New Roman" w:hAnsi="Times New Roman"/>
          <w:sz w:val="20"/>
          <w:szCs w:val="20"/>
          <w:color w:val="auto"/>
        </w:rPr>
      </w:pPr>
    </w:p>
    <w:p>
      <w:pPr>
        <w:ind w:left="661" w:right="20" w:hanging="328"/>
        <w:spacing w:after="0" w:line="269" w:lineRule="auto"/>
        <w:tabs>
          <w:tab w:leader="none" w:pos="64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$8.1 million increase primarily due to higher retail sales driven by higher weather-normalized residential and commercial demand; partially offset by</w:t>
      </w:r>
    </w:p>
    <w:p>
      <w:pPr>
        <w:spacing w:after="0" w:line="64"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$13.9 million decrease in revenue from the Kansas property tax rider, which is offset in taxes other than income tax.</w:t>
      </w:r>
    </w:p>
    <w:p>
      <w:pPr>
        <w:spacing w:after="0" w:line="1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increase in Evergy's gross margin (GAAP) was also impacted by:</w:t>
      </w:r>
    </w:p>
    <w:p>
      <w:pPr>
        <w:spacing w:after="0" w:line="121" w:lineRule="exact"/>
        <w:rPr>
          <w:sz w:val="20"/>
          <w:szCs w:val="20"/>
          <w:color w:val="auto"/>
        </w:rPr>
      </w:pPr>
    </w:p>
    <w:p>
      <w:pPr>
        <w:ind w:left="641" w:hanging="308"/>
        <w:spacing w:after="0"/>
        <w:tabs>
          <w:tab w:leader="none" w:pos="64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$12.1 million decrease in taxes other than income tax as further described below; partially offset by</w:t>
      </w:r>
    </w:p>
    <w:p>
      <w:pPr>
        <w:spacing w:after="0" w:line="121"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$8.0 million increase in depreciation and amortization as further described below; and</w:t>
      </w:r>
    </w:p>
    <w:p>
      <w:pPr>
        <w:spacing w:after="0" w:line="107" w:lineRule="exact"/>
        <w:rPr>
          <w:rFonts w:ascii="Times New Roman" w:cs="Times New Roman" w:eastAsia="Times New Roman" w:hAnsi="Times New Roman"/>
          <w:sz w:val="20"/>
          <w:szCs w:val="20"/>
          <w:color w:val="auto"/>
        </w:rPr>
      </w:pPr>
    </w:p>
    <w:p>
      <w:pPr>
        <w:ind w:left="661" w:right="100" w:hanging="328"/>
        <w:spacing w:after="0" w:line="283"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 million increase in operating and maintenance expenses which are determined to be directly attributable to revenue producing activities.</w:t>
      </w:r>
    </w:p>
    <w:p>
      <w:pPr>
        <w:spacing w:after="0" w:line="38" w:lineRule="exact"/>
        <w:rPr>
          <w:sz w:val="20"/>
          <w:szCs w:val="20"/>
          <w:color w:val="auto"/>
        </w:rPr>
      </w:pPr>
    </w:p>
    <w:p>
      <w:pPr>
        <w:ind w:left="1" w:right="140"/>
        <w:spacing w:after="0" w:line="268" w:lineRule="auto"/>
        <w:rPr>
          <w:sz w:val="20"/>
          <w:szCs w:val="20"/>
          <w:color w:val="auto"/>
        </w:rPr>
      </w:pPr>
      <w:r>
        <w:rPr>
          <w:rFonts w:ascii="Times New Roman" w:cs="Times New Roman" w:eastAsia="Times New Roman" w:hAnsi="Times New Roman"/>
          <w:sz w:val="20"/>
          <w:szCs w:val="20"/>
          <w:color w:val="auto"/>
        </w:rPr>
        <w:t>Evergy's gross margin (GAAP) increased $72.2 million year to date September 30, 2025, compared to the same period in 2024 and Evergy's utility gross margin (non-GAAP) increased $72.2 million year to date September 30, 2025, compared to the same period in 2024, both measures were driven by:</w:t>
      </w:r>
    </w:p>
    <w:p>
      <w:pPr>
        <w:spacing w:after="0" w:line="53" w:lineRule="exact"/>
        <w:rPr>
          <w:sz w:val="20"/>
          <w:szCs w:val="20"/>
          <w:color w:val="auto"/>
        </w:rPr>
      </w:pPr>
    </w:p>
    <w:p>
      <w:pPr>
        <w:ind w:left="641" w:hanging="308"/>
        <w:spacing w:after="0"/>
        <w:tabs>
          <w:tab w:leader="none" w:pos="64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$82.7 million increase from new Evergy Missouri West retail rates effective in January 2025; and</w:t>
      </w:r>
    </w:p>
    <w:p>
      <w:pPr>
        <w:spacing w:after="0" w:line="121" w:lineRule="exact"/>
        <w:rPr>
          <w:rFonts w:ascii="Times New Roman" w:cs="Times New Roman" w:eastAsia="Times New Roman" w:hAnsi="Times New Roman"/>
          <w:sz w:val="20"/>
          <w:szCs w:val="20"/>
          <w:color w:val="auto"/>
        </w:rPr>
      </w:pPr>
    </w:p>
    <w:p>
      <w:pPr>
        <w:ind w:left="661" w:right="340" w:hanging="328"/>
        <w:spacing w:after="0" w:line="269" w:lineRule="auto"/>
        <w:tabs>
          <w:tab w:leader="none" w:pos="64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$30.3 million increase in transmission revenue primarily due to updated transmission costs reflected in Evergy Kansas Central's FERC TFR effective in January 2025; partially offset by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80" w:firstLine="332"/>
        <w:spacing w:after="0" w:line="359" w:lineRule="auto"/>
        <w:tabs>
          <w:tab w:leader="none" w:pos="63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$29.6 million decrease in revenue from the Kansas property tax rider, which is offset in taxes other than income tax. Additionally, the increase in Evergy's gross margin (GAAP) was also impacted by:</w:t>
      </w: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$23.3 million decrease in taxes other than income tax as further described below; and</w:t>
      </w:r>
    </w:p>
    <w:p>
      <w:pPr>
        <w:spacing w:after="0" w:line="121"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$5.0 million decrease in operating and maintenance expenses which are determined to be directly attributable to revenue producing activities; offset by</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$28.3 million increase in depreciation and amortization as further described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and Maintenance</w:t>
      </w:r>
    </w:p>
    <w:p>
      <w:pPr>
        <w:spacing w:after="0" w:line="2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Evergy's operating and maintenance expense increased $19.1 million year to date September 30, 2025, compared to the same period in 2024, primarily driven by:</w:t>
      </w:r>
    </w:p>
    <w:p>
      <w:pPr>
        <w:spacing w:after="0" w:line="6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$15.2 million increase in general and administrative labor and employee benefits expense, including higher medical claims;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$5.6 million increase in credit loss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2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Evergy's depreciation and amortization increased $8.0 million for the three months ended September 30, 2025 and $28.3 million year to date September 30, 2025, compared to the same periods in 2024, primarily due to capital additions.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Taxes Other than Income Tax</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Evergy's taxes other than income tax decreased $12.1 million for the three months ended September 30, 2025 and $23.3 million year to date September 30, 2025, compared to the same periods in 2024, primarily driven by a 2024 over-collection of property taxes in Kansas and subsequent amortization of a refund to customers through the Kansas property tax rider, which is offset in utility gross margin; partially offset by higher assessed property tax values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p>
      <w:pPr>
        <w:spacing w:after="0" w:line="32"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Evergy's other income, net for the three months ended September 30, 2024, became other expense, net for the three months ended September 30, 2025, resulting in a $7.4 million increase in net other expense, primarily driven by recording lower Evergy Kansas Central COLI benefits in the third quarter of 2025.</w:t>
      </w:r>
    </w:p>
    <w:p>
      <w:pPr>
        <w:spacing w:after="0" w:line="8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Evergy's other income, net year to date September 30, 2024, became other expense, net year to date September 30, 2025, resulting in a $23.1 million increase in net other expense, primarily driven by:</w:t>
      </w:r>
    </w:p>
    <w:p>
      <w:pPr>
        <w:spacing w:after="0" w:line="65" w:lineRule="exact"/>
        <w:rPr>
          <w:sz w:val="20"/>
          <w:szCs w:val="20"/>
          <w:color w:val="auto"/>
        </w:rPr>
      </w:pPr>
    </w:p>
    <w:p>
      <w:pPr>
        <w:ind w:left="660" w:right="440" w:hanging="328"/>
        <w:spacing w:after="0" w:line="269"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$29.0 million of unrealized losses and impairment losses from non-regulated investments in early-stage clean energy and energy solution companies;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$7.8 million increase primarily due to recording lower Evergy Kansas Central COLI benefits in 2025; partially offset by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$11.6 million of income related to the sale of a commercial solar generation project completed in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32"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20"/>
          <w:szCs w:val="20"/>
          <w:color w:val="auto"/>
        </w:rPr>
        <w:t>Evergy's interest expense increased $8.1 million for the three months ended September 30, 2025, compared to the same period in 2024, primarily driven by:</w:t>
      </w:r>
    </w:p>
    <w:p>
      <w:pPr>
        <w:spacing w:after="0" w:line="80"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$18.3 million increase due to issuances of long-term debt; partially offset by</w:t>
      </w:r>
    </w:p>
    <w:p>
      <w:pPr>
        <w:spacing w:after="0" w:line="121" w:lineRule="exact"/>
        <w:rPr>
          <w:rFonts w:ascii="Times New Roman" w:cs="Times New Roman" w:eastAsia="Times New Roman" w:hAnsi="Times New Roman"/>
          <w:sz w:val="20"/>
          <w:szCs w:val="20"/>
          <w:color w:val="auto"/>
        </w:rPr>
      </w:pPr>
    </w:p>
    <w:p>
      <w:pPr>
        <w:ind w:left="660" w:right="500" w:hanging="328"/>
        <w:spacing w:after="0" w:line="269"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$5.8 million decrease due to increases in carrying costs deferred to a regulatory asset in accordance with PISA due to a higher outstanding balance of qualified PISA additions;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$5.7 million decrease due to the repayment of long-term debt.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Evergy's interest expense increased $37.6 million year to date September 30, 2025, compared to the same period in 2024, primarily driven by:</w:t>
      </w:r>
    </w:p>
    <w:p>
      <w:pPr>
        <w:spacing w:after="0" w:line="38"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$57.3 million increase due to issuances of long-term debt; and</w:t>
      </w:r>
    </w:p>
    <w:p>
      <w:pPr>
        <w:spacing w:after="0" w:line="121" w:lineRule="exact"/>
        <w:rPr>
          <w:rFonts w:ascii="Times New Roman" w:cs="Times New Roman" w:eastAsia="Times New Roman" w:hAnsi="Times New Roman"/>
          <w:sz w:val="20"/>
          <w:szCs w:val="20"/>
          <w:color w:val="auto"/>
        </w:rPr>
      </w:pPr>
    </w:p>
    <w:p>
      <w:pPr>
        <w:ind w:left="660" w:right="260" w:hanging="328"/>
        <w:spacing w:after="0" w:line="269"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$4.5 million increase due to lower debt AFUDC primarily driven by lower CWIP balances and lower short-term interest rates in 2025; partially offset by</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$15.5 million decrease due to the repayment of long-term debt; and</w:t>
      </w:r>
    </w:p>
    <w:p>
      <w:pPr>
        <w:spacing w:after="0" w:line="121" w:lineRule="exact"/>
        <w:rPr>
          <w:rFonts w:ascii="Times New Roman" w:cs="Times New Roman" w:eastAsia="Times New Roman" w:hAnsi="Times New Roman"/>
          <w:sz w:val="20"/>
          <w:szCs w:val="20"/>
          <w:color w:val="auto"/>
        </w:rPr>
      </w:pPr>
    </w:p>
    <w:p>
      <w:pPr>
        <w:ind w:left="660" w:right="400" w:hanging="328"/>
        <w:spacing w:after="0" w:line="269"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$14.6 million decrease due to increases in carrying costs deferred to a regulatory asset in accordance with PISA due to Evergy Kansas Central and Evergy Metro electing into Kansas PISA beginning July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Evergy's income tax expense increased $6.0 million for the three months ended September 30, 2025, compared to the same period in 2024, primarily driven by:</w:t>
      </w:r>
    </w:p>
    <w:p>
      <w:pPr>
        <w:spacing w:after="0" w:line="74"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$3.4 million increase primarily due to higher pre-tax income in the third quarter of 2025;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 million increase primarily due to lower recognition of amortization of excess deferred income taxes.</w:t>
      </w:r>
    </w:p>
    <w:p>
      <w:pPr>
        <w:spacing w:after="0" w:line="121"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Evergy's income tax expense increased $10.9 million year to date September 30, 2025, compared to the same period in 2024, primarily driven by an $8.3 million increase due to lower recognition of amortization of excess deferred income taxes.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LIQUIDITY AND CAPITAL RESOURCES</w:t>
      </w:r>
    </w:p>
    <w:p>
      <w:pPr>
        <w:spacing w:after="0" w:line="23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Evergy relies primarily upon cash from operations, short-term borrowings, long-term debt and equity and equity-like issuances and its existing cash and cash equivalents to fund its capital requirements. Evergy's capital requirements primarily consist of capital expenditures, payment of contractual obligations and other commitments, and the payment of dividends to shareholders. Evergy expects cash flows to be sufficient to meet existing short-term capital requirements. See the Evergy Companies' combined 2024 Form 10-K for more information on Evergy's sources and uses of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Borrowings</w:t>
      </w:r>
    </w:p>
    <w:p>
      <w:pPr>
        <w:spacing w:after="0" w:line="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As of September 30, 2025, Evergy had $1,263.5 million of available borrowing capacity under its master credit facility. The available borrowing capacity under the master credit facility consisted of $254.2 million for Evergy, Inc., $495.3 million for Evergy Kansas Central, $402.1 million for Evergy Metro and $111.9 million for Evergy Missouri West. The Evergy Companies' borrowing capacity under the master credit facility also supports their issuance of commercial paper. See Note 7 to the consolidated financial statements for more information regarding the master credit facility.</w:t>
      </w:r>
    </w:p>
    <w:p>
      <w:pPr>
        <w:spacing w:after="0" w:line="1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Debt Issuances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to the consolidated financial statements for information regarding significant debt issuances.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Ratings</w:t>
      </w:r>
    </w:p>
    <w:p>
      <w:pPr>
        <w:spacing w:after="0" w:line="32"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20"/>
          <w:szCs w:val="20"/>
          <w:color w:val="auto"/>
        </w:rPr>
        <w:t>In April 2025, Moody's Investor Service changed Evergy Missouri West's outlook from Negative to Stable and lowered credit ratings as detailed in the following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20" w:type="dxa"/>
            <w:vAlign w:val="bottom"/>
            <w:tcBorders>
              <w:top w:val="single" w:sz="8" w:color="auto"/>
            </w:tcBorders>
          </w:tcPr>
          <w:p>
            <w:pPr>
              <w:spacing w:after="0"/>
              <w:rPr>
                <w:sz w:val="21"/>
                <w:szCs w:val="21"/>
                <w:color w:val="auto"/>
              </w:rPr>
            </w:pPr>
          </w:p>
        </w:tc>
        <w:tc>
          <w:tcPr>
            <w:tcW w:w="5180" w:type="dxa"/>
            <w:vAlign w:val="bottom"/>
            <w:tcBorders>
              <w:top w:val="single" w:sz="8" w:color="auto"/>
            </w:tcBorders>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Moody's</w:t>
            </w:r>
          </w:p>
        </w:tc>
      </w:tr>
      <w:tr>
        <w:trPr>
          <w:trHeight w:val="240"/>
        </w:trPr>
        <w:tc>
          <w:tcPr>
            <w:tcW w:w="542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jc w:val="center"/>
              <w:ind w:left="3230"/>
              <w:spacing w:after="0" w:line="240" w:lineRule="exact"/>
              <w:rPr>
                <w:sz w:val="20"/>
                <w:szCs w:val="20"/>
                <w:color w:val="auto"/>
              </w:rPr>
            </w:pPr>
            <w:r>
              <w:rPr>
                <w:rFonts w:ascii="Times New Roman" w:cs="Times New Roman" w:eastAsia="Times New Roman" w:hAnsi="Times New Roman"/>
                <w:sz w:val="18"/>
                <w:szCs w:val="18"/>
                <w:b w:val="1"/>
                <w:bCs w:val="1"/>
                <w:color w:val="auto"/>
                <w:w w:val="97"/>
              </w:rPr>
              <w:t>Investors Service</w:t>
            </w:r>
            <w:r>
              <w:rPr>
                <w:rFonts w:ascii="Times New Roman" w:cs="Times New Roman" w:eastAsia="Times New Roman" w:hAnsi="Times New Roman"/>
                <w:sz w:val="23"/>
                <w:szCs w:val="23"/>
                <w:b w:val="1"/>
                <w:bCs w:val="1"/>
                <w:color w:val="auto"/>
                <w:w w:val="97"/>
                <w:vertAlign w:val="superscript"/>
              </w:rPr>
              <w:t>(a)</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Missouri West</w:t>
            </w:r>
          </w:p>
        </w:tc>
        <w:tc>
          <w:tcPr>
            <w:tcW w:w="5180" w:type="dxa"/>
            <w:vAlign w:val="bottom"/>
            <w:shd w:val="clear" w:color="auto" w:fill="CCEEFF"/>
          </w:tcPr>
          <w:p>
            <w:pPr>
              <w:spacing w:after="0"/>
              <w:rPr>
                <w:sz w:val="19"/>
                <w:szCs w:val="19"/>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Credit Rating</w:t>
            </w:r>
          </w:p>
        </w:tc>
        <w:tc>
          <w:tcPr>
            <w:tcW w:w="5180" w:type="dxa"/>
            <w:vAlign w:val="bottom"/>
          </w:tcPr>
          <w:p>
            <w:pPr>
              <w:jc w:val="center"/>
              <w:ind w:left="3230"/>
              <w:spacing w:after="0"/>
              <w:rPr>
                <w:sz w:val="20"/>
                <w:szCs w:val="20"/>
                <w:color w:val="auto"/>
              </w:rPr>
            </w:pPr>
            <w:r>
              <w:rPr>
                <w:rFonts w:ascii="Times New Roman" w:cs="Times New Roman" w:eastAsia="Times New Roman" w:hAnsi="Times New Roman"/>
                <w:sz w:val="18"/>
                <w:szCs w:val="18"/>
                <w:color w:val="auto"/>
              </w:rPr>
              <w:t>Baa3</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Debt</w:t>
            </w:r>
          </w:p>
        </w:tc>
        <w:tc>
          <w:tcPr>
            <w:tcW w:w="5180" w:type="dxa"/>
            <w:vAlign w:val="bottom"/>
            <w:shd w:val="clear" w:color="auto" w:fill="CCEEFF"/>
          </w:tcPr>
          <w:p>
            <w:pPr>
              <w:jc w:val="center"/>
              <w:ind w:left="3230"/>
              <w:spacing w:after="0"/>
              <w:rPr>
                <w:sz w:val="20"/>
                <w:szCs w:val="20"/>
                <w:color w:val="auto"/>
              </w:rPr>
            </w:pPr>
            <w:r>
              <w:rPr>
                <w:rFonts w:ascii="Times New Roman" w:cs="Times New Roman" w:eastAsia="Times New Roman" w:hAnsi="Times New Roman"/>
                <w:sz w:val="18"/>
                <w:szCs w:val="18"/>
                <w:color w:val="auto"/>
              </w:rPr>
              <w:t>Baa1</w:t>
            </w:r>
          </w:p>
        </w:tc>
      </w:tr>
      <w:tr>
        <w:trPr>
          <w:trHeight w:val="237"/>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5180" w:type="dxa"/>
            <w:vAlign w:val="bottom"/>
            <w:tcBorders>
              <w:bottom w:val="single" w:sz="8" w:color="auto"/>
            </w:tcBorders>
          </w:tcPr>
          <w:p>
            <w:pPr>
              <w:jc w:val="center"/>
              <w:ind w:left="3230"/>
              <w:spacing w:after="0"/>
              <w:rPr>
                <w:sz w:val="20"/>
                <w:szCs w:val="20"/>
                <w:color w:val="auto"/>
              </w:rPr>
            </w:pPr>
            <w:r>
              <w:rPr>
                <w:rFonts w:ascii="Times New Roman" w:cs="Times New Roman" w:eastAsia="Times New Roman" w:hAnsi="Times New Roman"/>
                <w:sz w:val="18"/>
                <w:szCs w:val="18"/>
                <w:color w:val="auto"/>
              </w:rPr>
              <w:t>P-3</w:t>
            </w:r>
          </w:p>
        </w:tc>
      </w:tr>
    </w:tbl>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A securities rating is not a recommendation to buy, sell or hold securities and may be subject to revision or withdrawal at any time by the assigning rating agency.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6 to the consolidated financial statements for information regarding Evergy's pension and post-retirement plan contributions.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ATM Program</w:t>
      </w:r>
    </w:p>
    <w:p>
      <w:pPr>
        <w:spacing w:after="0" w:line="3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In May 2025, Evergy entered into an equity distribution agreement, pursuant to which Evergy may sell, from time to time, up to an aggregate of $1.2 billion of its common stock through an ATM Program, which may utilize optional forward sales agreements. Evergy subsequently entered into forward sale agreements under the ATM program and as of September 30, 2025, the ATM Program had approximately</w:t>
      </w:r>
    </w:p>
    <w:p>
      <w:pPr>
        <w:spacing w:after="0" w:line="1"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20"/>
          <w:szCs w:val="20"/>
          <w:color w:val="auto"/>
        </w:rPr>
        <w:t>$1.1 billion of common stock available for issuance. As of September 30, 2025, Evergy has not received any proceeds related to the ATM Program. See Note 13 to the consolidated financial statements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6" w:lineRule="exact"/>
        <w:rPr>
          <w:sz w:val="20"/>
          <w:szCs w:val="20"/>
          <w:color w:val="auto"/>
        </w:rPr>
      </w:pPr>
    </w:p>
    <w:p>
      <w:pPr>
        <w:jc w:val="both"/>
        <w:ind w:right="300"/>
        <w:spacing w:after="0" w:line="249" w:lineRule="auto"/>
        <w:rPr>
          <w:sz w:val="20"/>
          <w:szCs w:val="20"/>
          <w:color w:val="auto"/>
        </w:rPr>
      </w:pPr>
      <w:r>
        <w:rPr>
          <w:rFonts w:ascii="Times New Roman" w:cs="Times New Roman" w:eastAsia="Times New Roman" w:hAnsi="Times New Roman"/>
          <w:sz w:val="20"/>
          <w:szCs w:val="20"/>
          <w:color w:val="auto"/>
        </w:rPr>
        <w:t>As of September 30, 2025, Evergy was in compliance with all debt covenants under the master credit facility and certain debt instruments that contain restrictions that require the maintenance of certain capitalization and leverage ratios.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Evergy's cash flows from operating, investing and financing activities.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7"/>
                <w:szCs w:val="17"/>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6" w:lineRule="exact"/>
        <w:rPr>
          <w:sz w:val="20"/>
          <w:szCs w:val="20"/>
          <w:color w:val="auto"/>
        </w:rPr>
      </w:pPr>
    </w:p>
    <w:p>
      <w:pPr>
        <w:jc w:val="both"/>
        <w:ind w:right="440"/>
        <w:spacing w:after="0" w:line="256" w:lineRule="auto"/>
        <w:rPr>
          <w:sz w:val="20"/>
          <w:szCs w:val="20"/>
          <w:color w:val="auto"/>
        </w:rPr>
      </w:pPr>
      <w:r>
        <w:rPr>
          <w:rFonts w:ascii="Times New Roman" w:cs="Times New Roman" w:eastAsia="Times New Roman" w:hAnsi="Times New Roman"/>
          <w:sz w:val="20"/>
          <w:szCs w:val="20"/>
          <w:color w:val="auto"/>
        </w:rPr>
        <w:t>Evergy's cash flows from operating activities increased $123.1 million year to date September 30, 2025, compared to the same period in 2024, primarily driven by an increase in cash receipts for retail electric sales in 2025 and a decrease in payments made for a Wolf Creek refueling outage in 2024.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Investing Activities</w:t>
      </w:r>
    </w:p>
    <w:p>
      <w:pPr>
        <w:spacing w:after="0" w:line="3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Evergy's cash flows used in investing activities increased $111.7 million year to date September 30, 2025, compared to the same period in 2024, primarily driven by a $110.0 million increase in additions to property, plant and equipment, due to increased spending for a variety of capital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2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Evergy's cash flows from financing activities decreased $26.7 million year to date September 30, 2025, compared to the same period in 2024, primarily driven by:</w:t>
      </w:r>
    </w:p>
    <w:p>
      <w:pPr>
        <w:spacing w:after="0" w:line="60" w:lineRule="exact"/>
        <w:rPr>
          <w:sz w:val="20"/>
          <w:szCs w:val="20"/>
          <w:color w:val="auto"/>
        </w:rPr>
      </w:pPr>
    </w:p>
    <w:p>
      <w:pPr>
        <w:ind w:left="660" w:right="480" w:hanging="328"/>
        <w:spacing w:after="0" w:line="28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$447.9 million decrease in short-term borrowings primarily due to the Evergy Kansas Central repayment of commercial paper borrowings with proceeds from long-term debt issuances; partially offset by</w:t>
      </w:r>
    </w:p>
    <w:p>
      <w:pPr>
        <w:spacing w:after="0" w:line="38" w:lineRule="exact"/>
        <w:rPr>
          <w:rFonts w:ascii="Times New Roman" w:cs="Times New Roman" w:eastAsia="Times New Roman" w:hAnsi="Times New Roman"/>
          <w:sz w:val="20"/>
          <w:szCs w:val="20"/>
          <w:color w:val="auto"/>
        </w:rPr>
      </w:pPr>
    </w:p>
    <w:p>
      <w:pPr>
        <w:ind w:left="660" w:right="140" w:hanging="328"/>
        <w:spacing w:after="0" w:line="26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$382.6 million increase due to lower retirements of long-term debt, primarily comprised of Evergy Metro's repayment of $350.0 million of 3.65% Senior Notes in August 2025 and Evergy Missouri West's $36.0 million of 3.49% Senior Notes in August 2025, as compared to Evergy's repayment of $800.0 million of 2.45% Senior Notes in September 2024; and</w:t>
      </w:r>
    </w:p>
    <w:p>
      <w:pPr>
        <w:spacing w:after="0" w:line="53" w:lineRule="exact"/>
        <w:rPr>
          <w:rFonts w:ascii="Times New Roman" w:cs="Times New Roman" w:eastAsia="Times New Roman" w:hAnsi="Times New Roman"/>
          <w:sz w:val="20"/>
          <w:szCs w:val="20"/>
          <w:color w:val="auto"/>
        </w:rPr>
      </w:pPr>
    </w:p>
    <w:p>
      <w:pPr>
        <w:ind w:left="660" w:right="440" w:hanging="328"/>
        <w:spacing w:after="0" w:line="28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$27.0 million increase due to proceeds from refundable advances for construction related to the procurement of long-lead time materials.</w:t>
      </w:r>
    </w:p>
    <w:p>
      <w:pPr>
        <w:spacing w:after="0" w:line="14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3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Kansas Central is presented in a reduced disclosure format in accordance with General Instruction (H)(2)(a) to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comparative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2,328.6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406.9</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352.5</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431.9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643.4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453.3</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444.1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Kansas Central 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5,275</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5,750</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3,859</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1,691.2</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14,913</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15,056</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213.3</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7,750</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2,328.6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22,663</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823.2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1,619.9</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200" w:hanging="161"/>
        <w:spacing w:after="0" w:line="226" w:lineRule="auto"/>
        <w:tabs>
          <w:tab w:leader="none" w:pos="142"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$179.8 million and $166.0 million year to date September 30, 2025 and 2024, respectively.</w:t>
      </w:r>
    </w:p>
    <w:p>
      <w:pPr>
        <w:spacing w:after="0" w:line="189" w:lineRule="exact"/>
        <w:rPr>
          <w:sz w:val="20"/>
          <w:szCs w:val="20"/>
          <w:color w:val="auto"/>
        </w:rPr>
      </w:pPr>
    </w:p>
    <w:p>
      <w:pPr>
        <w:ind w:left="1"/>
        <w:spacing w:after="0" w:line="261" w:lineRule="auto"/>
        <w:rPr>
          <w:sz w:val="20"/>
          <w:szCs w:val="20"/>
          <w:color w:val="auto"/>
        </w:rPr>
      </w:pPr>
      <w:r>
        <w:rPr>
          <w:rFonts w:ascii="Times New Roman" w:cs="Times New Roman" w:eastAsia="Times New Roman" w:hAnsi="Times New Roman"/>
          <w:sz w:val="20"/>
          <w:szCs w:val="20"/>
          <w:color w:val="auto"/>
        </w:rPr>
        <w:t>Evergy Kansas Central's gross margin (GAAP) increased $5.9 million year to date September 30, 2025, compared to the same period in 2024, and Evergy Kansas Central's utility gross margin (non-GAAP) decreased $20.2 million year to date September 30, 2025, compared to the same period in 2024, both measures were driven by:</w:t>
      </w:r>
    </w:p>
    <w:p>
      <w:pPr>
        <w:spacing w:after="0" w:line="73" w:lineRule="exact"/>
        <w:rPr>
          <w:sz w:val="20"/>
          <w:szCs w:val="20"/>
          <w:color w:val="auto"/>
        </w:rPr>
      </w:pPr>
    </w:p>
    <w:p>
      <w:pPr>
        <w:ind w:left="661" w:right="340" w:hanging="328"/>
        <w:spacing w:after="0" w:line="269" w:lineRule="auto"/>
        <w:tabs>
          <w:tab w:leader="none" w:pos="64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$22.6 million increase in transmission revenue primarily due to updated transmission costs reflected in Evergy Kansas Central's FERC TFR effective in January 2025; partially offset by</w:t>
      </w:r>
    </w:p>
    <w:p>
      <w:pPr>
        <w:spacing w:after="0" w:line="64"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$24.5 million decrease in revenue from the Kansas property tax rider, which is offset in taxes other than income tax; and</w:t>
      </w:r>
    </w:p>
    <w:p>
      <w:pPr>
        <w:spacing w:after="0" w:line="121" w:lineRule="exact"/>
        <w:rPr>
          <w:rFonts w:ascii="Times New Roman" w:cs="Times New Roman" w:eastAsia="Times New Roman" w:hAnsi="Times New Roman"/>
          <w:sz w:val="20"/>
          <w:szCs w:val="20"/>
          <w:color w:val="auto"/>
        </w:rPr>
      </w:pPr>
    </w:p>
    <w:p>
      <w:pPr>
        <w:ind w:left="661" w:right="160" w:hanging="328"/>
        <w:spacing w:after="0" w:line="261" w:lineRule="auto"/>
        <w:tabs>
          <w:tab w:leader="none" w:pos="64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$18.3 million decrease primarily due to lower retail sales driven by unfavorable weather (cooling degree days decreased 15%, partially offset by a 24% increase in heating degree days); partially offset by higher weather-normalized residential and commercial demand.</w:t>
      </w:r>
    </w:p>
    <w:p>
      <w:pPr>
        <w:spacing w:after="0" w:line="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increase in Evergy Kansas Central's gross margin (GAAP) was also impacted by:</w:t>
      </w:r>
    </w:p>
    <w:p>
      <w:pPr>
        <w:spacing w:after="0" w:line="121" w:lineRule="exact"/>
        <w:rPr>
          <w:sz w:val="20"/>
          <w:szCs w:val="20"/>
          <w:color w:val="auto"/>
        </w:rPr>
      </w:pPr>
    </w:p>
    <w:p>
      <w:pPr>
        <w:ind w:left="641" w:hanging="308"/>
        <w:spacing w:after="0"/>
        <w:tabs>
          <w:tab w:leader="none" w:pos="64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$18.5 million decrease in taxes other than income tax as described further below; and</w:t>
      </w:r>
    </w:p>
    <w:p>
      <w:pPr>
        <w:spacing w:after="0" w:line="121" w:lineRule="exact"/>
        <w:rPr>
          <w:rFonts w:ascii="Times New Roman" w:cs="Times New Roman" w:eastAsia="Times New Roman" w:hAnsi="Times New Roman"/>
          <w:sz w:val="20"/>
          <w:szCs w:val="20"/>
          <w:color w:val="auto"/>
        </w:rPr>
      </w:pPr>
    </w:p>
    <w:p>
      <w:pPr>
        <w:ind w:left="661" w:right="120" w:hanging="328"/>
        <w:spacing w:after="0" w:line="261" w:lineRule="auto"/>
        <w:tabs>
          <w:tab w:leader="none" w:pos="64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$17.2 million decrease in operating and maintenance expenses which are determined to be directly attributable to revenue producing activities primarily driven by a $9.9 million decrease in transmission and distribution operating and maintenance expense as further described below; partially offset by</w:t>
      </w:r>
    </w:p>
    <w:p>
      <w:pPr>
        <w:spacing w:after="0" w:line="59"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$9.6 million increase in depreciation and amortization as described further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Operating and Maintenance</w:t>
      </w:r>
    </w:p>
    <w:p>
      <w:pPr>
        <w:spacing w:after="0" w:line="3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Evergy Kansas Central's operating and maintenance expense decreased $3.4 million year to date September 30, 2025, compared to the same period in 2024, primarily driven by:</w:t>
      </w:r>
    </w:p>
    <w:p>
      <w:pPr>
        <w:spacing w:after="0" w:line="80" w:lineRule="exact"/>
        <w:rPr>
          <w:sz w:val="20"/>
          <w:szCs w:val="20"/>
          <w:color w:val="auto"/>
        </w:rPr>
      </w:pPr>
    </w:p>
    <w:p>
      <w:pPr>
        <w:ind w:left="660" w:right="180" w:hanging="328"/>
        <w:spacing w:after="0" w:line="261"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$9.9 million decrease in transmission and distribution operating and maintenance expenses primarily driven by a $10.1 million decrease in non-labor expense primarily due to a $4.5 million increase in costs billed for common use assets primarily from Evergy Kansas Central to Evergy Missouri West and a $2.7 million decrease in vegetation management costs; partially offset by</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$6.1 million increase in general and administrative labor and employee benefits expense, including higher medical claims;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 million increase in credit loss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Depreciation and Amortization</w:t>
      </w:r>
    </w:p>
    <w:p>
      <w:pPr>
        <w:spacing w:after="0" w:line="26"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20"/>
          <w:szCs w:val="20"/>
          <w:color w:val="auto"/>
        </w:rPr>
        <w:t>Evergy Kansas Central's depreciation and amortization expense increased $9.6 million year to date September 30, 2025, compared to the same period in 2024, primarily due to capital additions.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Taxes Other than Income Tax</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Evergy Kansas Central's taxes other than income tax decreased $18.5 million year to date September 30, 2025, compared to the same period in 2024, primarily driven by a 2024 over-collection of property taxes in Kansas and subsequent amortization of a refund to customers through the Kansas property tax rider, which is offset in utility gross margin; partially offset by higher assessed property tax values in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Other Income, Net</w:t>
      </w:r>
    </w:p>
    <w:p>
      <w:pPr>
        <w:spacing w:after="0" w:line="32"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Evergy Kansas Central's other income, net decreased $5.3 million year to date September 30, 2025, compared to the same period in 2024, primarily driven by a $7.4 million decrease due to recording lower Evergy Kansas Central COLI benefits in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Interest Expense</w:t>
      </w:r>
    </w:p>
    <w:p>
      <w:pPr>
        <w:spacing w:after="0" w:line="26"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Evergy Kansas Central's interest expense increased $5.7 million year to date September 30, 2025, compared to the same period in 2024, primarily driven by:</w:t>
      </w:r>
    </w:p>
    <w:p>
      <w:pPr>
        <w:spacing w:after="0" w:line="60"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$16.5 million increase due to issuances of long-term debt; and</w:t>
      </w:r>
    </w:p>
    <w:p>
      <w:pPr>
        <w:spacing w:after="0" w:line="121"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$4.0 million increase due to lower debt AFUDC primarily driven by lower CWIP balances and short-term interest rates in 2025; partially offset by</w:t>
      </w:r>
    </w:p>
    <w:p>
      <w:pPr>
        <w:spacing w:after="0" w:line="38" w:lineRule="exact"/>
        <w:rPr>
          <w:rFonts w:ascii="Times New Roman" w:cs="Times New Roman" w:eastAsia="Times New Roman" w:hAnsi="Times New Roman"/>
          <w:sz w:val="20"/>
          <w:szCs w:val="20"/>
          <w:color w:val="auto"/>
        </w:rPr>
      </w:pPr>
    </w:p>
    <w:p>
      <w:pPr>
        <w:ind w:left="660" w:right="46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$12.0 million decrease due to increases in carrying costs deferred to a regulatory asset in accordance with PISA due to Evergy Kansas Central electing into Kansas PISA beginning July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Income Tax Expense</w:t>
      </w:r>
    </w:p>
    <w:p>
      <w:pPr>
        <w:spacing w:after="0" w:line="3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20"/>
          <w:szCs w:val="20"/>
          <w:color w:val="auto"/>
        </w:rPr>
        <w:t>Evergy Kansas Central's income tax expense increased $9.3 million year to date September 30, 2025, compared to the same period in 2024, primarily driven by:</w:t>
      </w:r>
    </w:p>
    <w:p>
      <w:pPr>
        <w:spacing w:after="0" w:line="53"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$5.8 million increase due to lower recognition of amortization of excess deferred income taxes;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$4.3 million increase due to lower recognition of wind income tax credits in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Metro is presented in a reduced disclosure format in accordance with General Instruction (H)(2)(a) to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Metro's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1,514.8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432.6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224.3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304.6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106.6</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446.7</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105.1</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297.5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Metro Gross Margin (GAAP) and Utility Gross Margin (non-GAAP)</w:t>
      </w:r>
    </w:p>
    <w:p>
      <w:pPr>
        <w:spacing w:after="0" w:line="32" w:lineRule="exact"/>
        <w:rPr>
          <w:sz w:val="20"/>
          <w:szCs w:val="20"/>
          <w:color w:val="auto"/>
        </w:rPr>
      </w:pPr>
    </w:p>
    <w:p>
      <w:pPr>
        <w:jc w:val="both"/>
        <w:ind w:left="1" w:right="2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4,419</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610.4</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5,697</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1,286</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1,323.1</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11,433</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166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4,196</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496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1,514.8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15,629</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662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514.6</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304.6</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1,072.0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09803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right="140" w:hanging="161"/>
        <w:spacing w:after="0" w:line="227" w:lineRule="auto"/>
        <w:tabs>
          <w:tab w:leader="none" w:pos="142"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$67.9 million and $59.6 million year to date September 30, 2025 and 2024, respectively.</w:t>
      </w:r>
    </w:p>
    <w:p>
      <w:pPr>
        <w:spacing w:after="0" w:line="172" w:lineRule="exact"/>
        <w:rPr>
          <w:sz w:val="20"/>
          <w:szCs w:val="20"/>
          <w:color w:val="auto"/>
        </w:rPr>
      </w:pPr>
    </w:p>
    <w:p>
      <w:pPr>
        <w:ind w:left="1" w:right="180"/>
        <w:spacing w:after="0" w:line="268" w:lineRule="auto"/>
        <w:rPr>
          <w:sz w:val="20"/>
          <w:szCs w:val="20"/>
          <w:color w:val="auto"/>
        </w:rPr>
      </w:pPr>
      <w:r>
        <w:rPr>
          <w:rFonts w:ascii="Times New Roman" w:cs="Times New Roman" w:eastAsia="Times New Roman" w:hAnsi="Times New Roman"/>
          <w:sz w:val="20"/>
          <w:szCs w:val="20"/>
          <w:color w:val="auto"/>
        </w:rPr>
        <w:t>Evergy Metro's gross margin (GAAP) increased $8.4 million year to date September 30, 2025, compared to the same period in 2024, and Evergy Metro's utility gross margin (non-GAAP) increased $10.2 million year to date September 30, 2025, compared to the same period in 2024, both measures were driven by:</w:t>
      </w:r>
    </w:p>
    <w:p>
      <w:pPr>
        <w:spacing w:after="0" w:line="53" w:lineRule="exact"/>
        <w:rPr>
          <w:sz w:val="20"/>
          <w:szCs w:val="20"/>
          <w:color w:val="auto"/>
        </w:rPr>
      </w:pPr>
    </w:p>
    <w:p>
      <w:pPr>
        <w:ind w:left="641" w:hanging="308"/>
        <w:spacing w:after="0"/>
        <w:tabs>
          <w:tab w:leader="none" w:pos="64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$10.8 million increase primarily due to higher retail sales driven by favorable weather (heating degree days increased 17%); and</w:t>
      </w:r>
    </w:p>
    <w:p>
      <w:pPr>
        <w:spacing w:after="0" w:line="121"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$4.4 million increase in transmission revenue; partially offset by</w:t>
      </w:r>
    </w:p>
    <w:p>
      <w:pPr>
        <w:spacing w:after="0" w:line="107" w:lineRule="exact"/>
        <w:rPr>
          <w:rFonts w:ascii="Times New Roman" w:cs="Times New Roman" w:eastAsia="Times New Roman" w:hAnsi="Times New Roman"/>
          <w:sz w:val="20"/>
          <w:szCs w:val="20"/>
          <w:color w:val="auto"/>
        </w:rPr>
      </w:pPr>
    </w:p>
    <w:p>
      <w:pPr>
        <w:ind w:left="1" w:right="980" w:firstLine="332"/>
        <w:spacing w:after="0" w:line="366" w:lineRule="auto"/>
        <w:tabs>
          <w:tab w:leader="none" w:pos="63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$5.0 million decrease in revenue from the Kansas property tax rider, which is offset in taxes other than income tax; and Additionally, the increase in Evergy Metro's gross margin (GAAP) was also impacted by:</w:t>
      </w:r>
    </w:p>
    <w:p>
      <w:pPr>
        <w:ind w:left="641" w:hanging="308"/>
        <w:spacing w:after="0"/>
        <w:tabs>
          <w:tab w:leader="none" w:pos="64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$5.3 million decrease in taxes other than income tax, as further described below; partially offset by</w:t>
      </w:r>
    </w:p>
    <w:p>
      <w:pPr>
        <w:spacing w:after="0" w:line="107" w:lineRule="exact"/>
        <w:rPr>
          <w:rFonts w:ascii="Times New Roman" w:cs="Times New Roman" w:eastAsia="Times New Roman" w:hAnsi="Times New Roman"/>
          <w:sz w:val="20"/>
          <w:szCs w:val="20"/>
          <w:color w:val="auto"/>
        </w:rPr>
      </w:pPr>
    </w:p>
    <w:p>
      <w:pPr>
        <w:ind w:left="661" w:right="40" w:hanging="328"/>
        <w:spacing w:after="0" w:line="283" w:lineRule="auto"/>
        <w:tabs>
          <w:tab w:leader="none" w:pos="6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$5.7 million increase in operating and maintenance expenses which are determined to be directly attributable to revenue producing activities; and</w:t>
      </w:r>
    </w:p>
    <w:p>
      <w:pPr>
        <w:spacing w:after="0" w:line="38"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 million increase in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18"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Operating and Maintenance</w:t>
      </w:r>
    </w:p>
    <w:p>
      <w:pPr>
        <w:spacing w:after="0" w:line="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Evergy Metro's operating and maintenance expense increased $14.0 million year to date September 30, 2025, compared to the same period in 2024, primarily driven by:</w:t>
      </w:r>
    </w:p>
    <w:p>
      <w:pPr>
        <w:spacing w:after="0" w:line="80"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$10.0 million increase in general and administrative labor and employee benefits expense, including higher medical claims;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 million increase in credit loss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Taxes Other than Income Tax</w:t>
      </w:r>
    </w:p>
    <w:p>
      <w:pPr>
        <w:spacing w:after="0" w:line="32"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9"/>
          <w:szCs w:val="19"/>
          <w:color w:val="auto"/>
        </w:rPr>
        <w:t>Evergy Metro's taxes other than income tax decreased $5.3 million year to date September 30, 2025, compared to the same period in 2024, primarily driven by a 2024 over-collection of property taxes in Kansas and subsequent amortization of a refund to customers through the Kansas property tax rider, which is offset in utility gross margin; partially offset by higher assessed property tax values in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Interest Expense</w:t>
      </w:r>
    </w:p>
    <w:p>
      <w:pPr>
        <w:spacing w:after="0" w:line="32"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20"/>
          <w:szCs w:val="20"/>
          <w:color w:val="auto"/>
        </w:rPr>
        <w:t>Evergy Metro's interest expense decreased $6.9 million year to date September 30, 2025, compared to the same period in 2024, primarily driven by:</w:t>
      </w:r>
    </w:p>
    <w:p>
      <w:pPr>
        <w:spacing w:after="0" w:line="53" w:lineRule="exact"/>
        <w:rPr>
          <w:sz w:val="20"/>
          <w:szCs w:val="20"/>
          <w:color w:val="auto"/>
        </w:rPr>
      </w:pPr>
    </w:p>
    <w:p>
      <w:pPr>
        <w:ind w:left="660" w:right="40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$8.7 million decrease due to increases in carrying costs deferred to a regulatory asset in accordance with PISA due to a higher outstanding balance of qualified PISA additions and Evergy Metro electing into Kansas PISA beginning July 2024; and</w:t>
      </w:r>
    </w:p>
    <w:p>
      <w:pPr>
        <w:spacing w:after="0" w:line="38" w:lineRule="exact"/>
        <w:rPr>
          <w:rFonts w:ascii="Times New Roman" w:cs="Times New Roman" w:eastAsia="Times New Roman" w:hAnsi="Times New Roman"/>
          <w:sz w:val="20"/>
          <w:szCs w:val="20"/>
          <w:color w:val="auto"/>
        </w:rPr>
      </w:pPr>
    </w:p>
    <w:p>
      <w:pPr>
        <w:ind w:left="660" w:right="6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$5.5 million decrease in interest expense on short-term borrowings primarily due to lower weighted-average interest rates; partially offset by</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$6.9 million increase due to issuances of long-term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2024 Form 10-K and therefore are not represented here.</w:t>
      </w:r>
    </w:p>
    <w:p>
      <w:pPr>
        <w:spacing w:after="0" w:line="1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2024 Form 10-K. Evergy's exposure to market risk has not changed materially since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Evergy maintains a set of disclosure controls and procedures designed to provide reasonable assurance that information required to be disclosed by the Securities Exchange Act of 1934, as amended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There has been no change in Evergy's internal control over financial reporting (as defined in Rules 13a-15(f) and 15d-15(f) of the Exchange Act) that occurred during the quarterly period ended September 30, 2025, that has materially affected, or is reasonably likely to materially affect, its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regarding required disclosure. 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There has been no change in Evergy Kansas Central's internal control over financial reporting (as defined in Rules 13a-15(f) and 15d-15(f) of the Exchange Act) that occurred during the quarterly period ended September 30, 2025, that has materially affected, or is reasonably likely to materially affect, its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0"/>
          <w:szCs w:val="20"/>
          <w:color w:val="auto"/>
        </w:rPr>
        <w:t>There has been no change in Evergy Metro's internal control over financial reporting (as defined in Rules 13a-15(f) and 15d-15(f) of the Exchange Act) that occurred during the quarterly period ended September 30, 2025, that has materially affected, or is reasonably likely to materially affect, its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Proceedings</w:t>
      </w:r>
    </w:p>
    <w:p>
      <w:pPr>
        <w:spacing w:after="0" w:line="32"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20"/>
          <w:szCs w:val="20"/>
          <w:color w:val="auto"/>
        </w:rPr>
        <w:t>The Evergy Companies are parties to various lawsuits and regulatory proceedings in the ordinary course of their respective businesses. For information regarding material lawsuits and proceedings, see Notes 4 and 11 to the consolidated financial statements.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2024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2024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2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The following table provides information regarding purchases by Evergy of its equity securities that are registered pursuant to Section 12 of the Exchange Act during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8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left="3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36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940" w:type="dxa"/>
            <w:vAlign w:val="bottom"/>
          </w:tcPr>
          <w:p>
            <w:pPr>
              <w:jc w:val="center"/>
              <w:ind w:left="3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6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75"/>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2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43"/>
        </w:trPr>
        <w:tc>
          <w:tcPr>
            <w:tcW w:w="1980" w:type="dxa"/>
            <w:vAlign w:val="bottom"/>
            <w:tcBorders>
              <w:bottom w:val="single" w:sz="8" w:color="auto"/>
            </w:tcBorders>
            <w:vMerge w:val="continue"/>
          </w:tcPr>
          <w:p>
            <w:pPr>
              <w:spacing w:after="0"/>
              <w:rPr>
                <w:sz w:val="21"/>
                <w:szCs w:val="21"/>
                <w:color w:val="auto"/>
              </w:rPr>
            </w:pPr>
          </w:p>
        </w:tc>
        <w:tc>
          <w:tcPr>
            <w:tcW w:w="2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(a)</w:t>
            </w:r>
          </w:p>
        </w:tc>
        <w:tc>
          <w:tcPr>
            <w:tcW w:w="5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9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3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w:t>
            </w:r>
          </w:p>
        </w:tc>
        <w:tc>
          <w:tcPr>
            <w:tcW w:w="27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809</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67.94</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w:t>
            </w:r>
          </w:p>
        </w:tc>
        <w:tc>
          <w:tcPr>
            <w:tcW w:w="2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717</w:t>
            </w:r>
          </w:p>
        </w:tc>
        <w:tc>
          <w:tcPr>
            <w:tcW w:w="50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72.14</w:t>
            </w:r>
          </w:p>
        </w:tc>
        <w:tc>
          <w:tcPr>
            <w:tcW w:w="19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w:t>
            </w:r>
          </w:p>
        </w:tc>
        <w:tc>
          <w:tcPr>
            <w:tcW w:w="27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1,526</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69.92</w:t>
            </w:r>
          </w:p>
        </w:tc>
        <w:tc>
          <w:tcPr>
            <w:tcW w:w="1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shares Evergy purchased for withholding taxes related to the vesting of RSUs.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6"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94" w:lineRule="exact"/>
        <w:rPr>
          <w:sz w:val="20"/>
          <w:szCs w:val="20"/>
          <w:color w:val="auto"/>
        </w:rPr>
      </w:pPr>
    </w:p>
    <w:p>
      <w:pPr>
        <w:ind w:right="880"/>
        <w:spacing w:after="0" w:line="283"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Trading Plans of Directors and Executive Officers</w:t>
      </w:r>
    </w:p>
    <w:p>
      <w:pPr>
        <w:spacing w:after="0" w:line="2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For the three months ended September 30, 2025, no director or officer has adopted, terminated or modified a Rule 10b5-1 plan or non-Rule 10b5-1 trading arrangement required to be disclosed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ITEM 6. EXHIBITS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8"/>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9"/>
            <w:vMerge w:val="restart"/>
          </w:tcPr>
          <w:p>
            <w:pPr>
              <w:jc w:val="right"/>
              <w:ind w:right="2480"/>
              <w:spacing w:after="0"/>
              <w:rPr>
                <w:sz w:val="20"/>
                <w:szCs w:val="20"/>
                <w:color w:val="auto"/>
              </w:rPr>
            </w:pPr>
            <w:r>
              <w:rPr>
                <w:rFonts w:ascii="Times New Roman" w:cs="Times New Roman" w:eastAsia="Times New Roman" w:hAnsi="Times New Roman"/>
                <w:sz w:val="20"/>
                <w:szCs w:val="20"/>
                <w:color w:val="auto"/>
              </w:rPr>
              <w:t>Description of Document</w:t>
            </w:r>
          </w:p>
        </w:tc>
        <w:tc>
          <w:tcPr>
            <w:tcW w:w="2000" w:type="dxa"/>
            <w:vAlign w:val="bottom"/>
            <w:gridSpan w:val="3"/>
            <w:vMerge w:val="restart"/>
          </w:tcPr>
          <w:p>
            <w:pPr>
              <w:ind w:left="960"/>
              <w:spacing w:after="0"/>
              <w:rPr>
                <w:sz w:val="20"/>
                <w:szCs w:val="20"/>
                <w:color w:val="auto"/>
              </w:rPr>
            </w:pPr>
            <w:r>
              <w:rPr>
                <w:rFonts w:ascii="Times New Roman" w:cs="Times New Roman" w:eastAsia="Times New Roman" w:hAnsi="Times New Roman"/>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20"/>
                <w:szCs w:val="20"/>
                <w:color w:val="auto"/>
                <w:w w:val="97"/>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9"/>
            <w:vMerge w:val="continue"/>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4.1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40" w:type="dxa"/>
            <w:vAlign w:val="bottom"/>
            <w:gridSpan w:val="11"/>
          </w:tcPr>
          <w:p>
            <w:pPr>
              <w:spacing w:after="0"/>
              <w:rPr>
                <w:rFonts w:ascii="Times New Roman" w:cs="Times New Roman" w:eastAsia="Times New Roman" w:hAnsi="Times New Roman"/>
                <w:sz w:val="20"/>
                <w:szCs w:val="20"/>
                <w:color w:val="0000FF"/>
              </w:rPr>
            </w:pPr>
            <w:hyperlink r:id="rId134">
              <w:r>
                <w:rPr>
                  <w:rFonts w:ascii="Times New Roman" w:cs="Times New Roman" w:eastAsia="Times New Roman" w:hAnsi="Times New Roman"/>
                  <w:sz w:val="20"/>
                  <w:szCs w:val="20"/>
                  <w:color w:val="0000FF"/>
                </w:rPr>
                <w:t>Twenty-second Supplemental Indenture, dated as of August 15, 2025, between</w:t>
              </w:r>
            </w:hyperlink>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8"/>
          </w:tcPr>
          <w:p>
            <w:pPr>
              <w:spacing w:after="0" w:line="176" w:lineRule="exact"/>
              <w:rPr>
                <w:rFonts w:ascii="Times New Roman" w:cs="Times New Roman" w:eastAsia="Times New Roman" w:hAnsi="Times New Roman"/>
                <w:sz w:val="20"/>
                <w:szCs w:val="20"/>
                <w:color w:val="0000FF"/>
                <w:w w:val="96"/>
              </w:rPr>
            </w:pPr>
            <w:hyperlink r:id="rId134">
              <w:r>
                <w:rPr>
                  <w:rFonts w:ascii="Times New Roman" w:cs="Times New Roman" w:eastAsia="Times New Roman" w:hAnsi="Times New Roman"/>
                  <w:sz w:val="20"/>
                  <w:szCs w:val="20"/>
                  <w:color w:val="0000FF"/>
                  <w:w w:val="96"/>
                </w:rPr>
                <w:t>Evergy Metro and UMB Bank, N.A. (formerly United Missouri Bank of Kansas</w:t>
              </w:r>
            </w:hyperlink>
          </w:p>
        </w:tc>
        <w:tc>
          <w:tcPr>
            <w:tcW w:w="120" w:type="dxa"/>
            <w:vAlign w:val="bottom"/>
            <w:tcBorders>
              <w:bottom w:val="single" w:sz="8" w:color="0000FF"/>
            </w:tcBorders>
          </w:tcPr>
          <w:p>
            <w:pPr>
              <w:spacing w:after="0"/>
              <w:rPr>
                <w:sz w:val="15"/>
                <w:szCs w:val="15"/>
                <w:color w:val="auto"/>
              </w:rPr>
            </w:pPr>
          </w:p>
        </w:tc>
        <w:tc>
          <w:tcPr>
            <w:tcW w:w="500" w:type="dxa"/>
            <w:vAlign w:val="bottom"/>
            <w:gridSpan w:val="2"/>
            <w:vMerge w:val="restart"/>
          </w:tcPr>
          <w:p>
            <w:pPr>
              <w:jc w:val="right"/>
              <w:ind w:right="200"/>
              <w:spacing w:after="0"/>
              <w:rPr>
                <w:rFonts w:ascii="Times New Roman" w:cs="Times New Roman" w:eastAsia="Times New Roman" w:hAnsi="Times New Roman"/>
                <w:sz w:val="20"/>
                <w:szCs w:val="20"/>
                <w:color w:val="0000FF"/>
              </w:rPr>
            </w:pPr>
            <w:hyperlink r:id="rId134">
              <w:r>
                <w:rPr>
                  <w:rFonts w:ascii="Times New Roman" w:cs="Times New Roman" w:eastAsia="Times New Roman" w:hAnsi="Times New Roman"/>
                  <w:sz w:val="20"/>
                  <w:szCs w:val="20"/>
                  <w:color w:val="0000FF"/>
                </w:rPr>
                <w:t>4.1</w:t>
              </w:r>
            </w:hyperlink>
          </w:p>
        </w:tc>
        <w:tc>
          <w:tcPr>
            <w:tcW w:w="20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40" w:type="dxa"/>
            <w:vAlign w:val="bottom"/>
            <w:gridSpan w:val="9"/>
          </w:tcPr>
          <w:p>
            <w:pPr>
              <w:spacing w:after="0" w:line="183" w:lineRule="exact"/>
              <w:rPr>
                <w:rFonts w:ascii="Times New Roman" w:cs="Times New Roman" w:eastAsia="Times New Roman" w:hAnsi="Times New Roman"/>
                <w:sz w:val="20"/>
                <w:szCs w:val="20"/>
                <w:color w:val="0000FF"/>
                <w:w w:val="98"/>
              </w:rPr>
            </w:pPr>
            <w:hyperlink r:id="rId134">
              <w:r>
                <w:rPr>
                  <w:rFonts w:ascii="Times New Roman" w:cs="Times New Roman" w:eastAsia="Times New Roman" w:hAnsi="Times New Roman"/>
                  <w:sz w:val="20"/>
                  <w:szCs w:val="20"/>
                  <w:color w:val="0000FF"/>
                  <w:w w:val="98"/>
                </w:rPr>
                <w:t>City, N.A.), as trustee, and the form of the global bond included therein (Exhibit</w:t>
              </w:r>
            </w:hyperlink>
          </w:p>
        </w:tc>
        <w:tc>
          <w:tcPr>
            <w:tcW w:w="50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40" w:type="dxa"/>
            <w:vAlign w:val="bottom"/>
            <w:tcBorders>
              <w:top w:val="single" w:sz="8" w:color="0000FF"/>
            </w:tcBorders>
            <w:gridSpan w:val="10"/>
          </w:tcPr>
          <w:p>
            <w:pPr>
              <w:spacing w:after="0" w:line="183" w:lineRule="exact"/>
              <w:rPr>
                <w:rFonts w:ascii="Times New Roman" w:cs="Times New Roman" w:eastAsia="Times New Roman" w:hAnsi="Times New Roman"/>
                <w:sz w:val="20"/>
                <w:szCs w:val="20"/>
                <w:color w:val="0000FF"/>
              </w:rPr>
            </w:pPr>
            <w:hyperlink r:id="rId134">
              <w:r>
                <w:rPr>
                  <w:rFonts w:ascii="Times New Roman" w:cs="Times New Roman" w:eastAsia="Times New Roman" w:hAnsi="Times New Roman"/>
                  <w:sz w:val="20"/>
                  <w:szCs w:val="20"/>
                  <w:color w:val="0000FF"/>
                </w:rPr>
                <w:t>to Evergy Metro's Form 8-K filed on August 15, 2025)</w:t>
              </w:r>
              <w:r>
                <w:rPr>
                  <w:rFonts w:ascii="Times New Roman" w:cs="Times New Roman" w:eastAsia="Times New Roman" w:hAnsi="Times New Roman"/>
                  <w:sz w:val="20"/>
                  <w:szCs w:val="20"/>
                  <w:u w:val="single" w:color="auto"/>
                  <w:color w:val="0000FF"/>
                </w:rPr>
                <w:t>.</w:t>
              </w:r>
            </w:hyperlink>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900" w:type="dxa"/>
            <w:vAlign w:val="bottom"/>
            <w:gridSpan w:val="4"/>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Rule 13a-14(a)/15d-14(a) Certification of W. Bryan Buckler.</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900" w:type="dxa"/>
            <w:vAlign w:val="bottom"/>
            <w:gridSpan w:val="4"/>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W. Bryan Buckler</w:t>
            </w:r>
          </w:p>
        </w:tc>
        <w:tc>
          <w:tcPr>
            <w:tcW w:w="2040" w:type="dxa"/>
            <w:vAlign w:val="bottom"/>
            <w:gridSpan w:val="5"/>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900" w:type="dxa"/>
            <w:vAlign w:val="bottom"/>
            <w:gridSpan w:val="4"/>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Rule 13a-14(a)/15d-14(a) Certification of W. Bryan Buckler</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2520" w:type="dxa"/>
            <w:vAlign w:val="bottom"/>
            <w:tcBorders>
              <w:top w:val="single" w:sz="8" w:color="0000FF"/>
            </w:tcBorders>
            <w:gridSpan w:val="3"/>
          </w:tcPr>
          <w:p>
            <w:pPr>
              <w:spacing w:after="0"/>
              <w:rPr>
                <w:sz w:val="24"/>
                <w:szCs w:val="24"/>
                <w:color w:val="auto"/>
              </w:rPr>
            </w:pPr>
          </w:p>
        </w:tc>
        <w:tc>
          <w:tcPr>
            <w:tcW w:w="2080" w:type="dxa"/>
            <w:vAlign w:val="bottom"/>
            <w:gridSpan w:val="6"/>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4600" w:type="dxa"/>
            <w:vAlign w:val="bottom"/>
            <w:gridSpan w:val="9"/>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Section 1350 Certifications.</w:t>
            </w:r>
          </w:p>
        </w:tc>
        <w:tc>
          <w:tcPr>
            <w:tcW w:w="4620" w:type="dxa"/>
            <w:vAlign w:val="bottom"/>
            <w:gridSpan w:val="10"/>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78"/>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101.INS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w:t>
            </w: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ind w:left="180"/>
              <w:spacing w:after="0" w:line="215"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Times New Roman" w:cs="Times New Roman" w:eastAsia="Times New Roman" w:hAnsi="Times New Roman"/>
          <w:sz w:val="20"/>
          <w:szCs w:val="20"/>
          <w:color w:val="auto"/>
        </w:rPr>
        <w:t>Evergy Metro</w:t>
      </w:r>
    </w:p>
    <w:p>
      <w:pPr>
        <w:spacing w:after="0" w:line="180" w:lineRule="exact"/>
        <w:rPr>
          <w:sz w:val="20"/>
          <w:szCs w:val="20"/>
          <w:color w:val="auto"/>
        </w:rPr>
      </w:pPr>
    </w:p>
    <w:p>
      <w:pPr>
        <w:ind w:right="60" w:firstLine="8"/>
        <w:spacing w:after="0" w:line="261" w:lineRule="auto"/>
        <w:tabs>
          <w:tab w:leader="none" w:pos="1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4" w:lineRule="exact"/>
        <w:rPr>
          <w:sz w:val="20"/>
          <w:szCs w:val="20"/>
          <w:color w:val="auto"/>
        </w:rPr>
      </w:pPr>
    </w:p>
    <w:p>
      <w:pPr>
        <w:jc w:val="both"/>
        <w:ind w:firstLine="8"/>
        <w:spacing w:after="0" w:line="261" w:lineRule="auto"/>
        <w:tabs>
          <w:tab w:leader="none" w:pos="24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540" w:firstLine="8"/>
        <w:spacing w:after="0" w:line="283" w:lineRule="auto"/>
        <w:tabs>
          <w:tab w:leader="none" w:pos="34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instance document does not appear in the interactive data file because its XBRL tags are embedded within the inline XBRL document.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 or arrangement.</w:t>
      </w:r>
    </w:p>
    <w:p>
      <w:pPr>
        <w:spacing w:after="0" w:line="14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Copies of any of the exhibits filed with the SEC in connection with this document may be obtained from Evergy, Evergy Kansas Central or Evergy Metro, as applicable, upon written request.</w:t>
      </w:r>
    </w:p>
    <w:p>
      <w:pPr>
        <w:spacing w:after="0" w:line="79"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87" w:lineRule="exact"/>
        <w:rPr>
          <w:sz w:val="20"/>
          <w:szCs w:val="20"/>
          <w:color w:val="auto"/>
        </w:rPr>
      </w:pPr>
    </w:p>
    <w:p>
      <w:pPr>
        <w:ind w:left="900" w:right="5000" w:hanging="4035"/>
        <w:spacing w:after="0" w:line="268" w:lineRule="auto"/>
        <w:tabs>
          <w:tab w:leader="none" w:pos="88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5, 2025 </w:t>
      </w:r>
      <w:r>
        <w:rPr>
          <w:rFonts w:ascii="Times New Roman" w:cs="Times New Roman" w:eastAsia="Times New Roman" w:hAnsi="Times New Roman"/>
          <w:sz w:val="20"/>
          <w:szCs w:val="20"/>
          <w:u w:val="single" w:color="auto"/>
          <w:color w:val="auto"/>
        </w:rPr>
        <w:t>By: /s/ W. Bryan Buckler</w:t>
      </w:r>
      <w:r>
        <w:rPr>
          <w:rFonts w:ascii="Times New Roman" w:cs="Times New Roman" w:eastAsia="Times New Roman" w:hAnsi="Times New Roman"/>
          <w:sz w:val="20"/>
          <w:szCs w:val="20"/>
          <w:color w:val="auto"/>
        </w:rPr>
        <w:t xml:space="preserve"> (W. Bryan Buckler)</w:t>
      </w:r>
    </w:p>
    <w:p>
      <w:pPr>
        <w:spacing w:after="0" w:line="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87" w:lineRule="exact"/>
        <w:rPr>
          <w:sz w:val="20"/>
          <w:szCs w:val="20"/>
          <w:color w:val="auto"/>
        </w:rPr>
      </w:pPr>
    </w:p>
    <w:p>
      <w:pPr>
        <w:ind w:left="920" w:right="4980" w:hanging="4062"/>
        <w:spacing w:after="0" w:line="268" w:lineRule="auto"/>
        <w:tabs>
          <w:tab w:leader="none" w:pos="9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5, 2025 </w:t>
      </w:r>
      <w:r>
        <w:rPr>
          <w:rFonts w:ascii="Times New Roman" w:cs="Times New Roman" w:eastAsia="Times New Roman" w:hAnsi="Times New Roman"/>
          <w:sz w:val="20"/>
          <w:szCs w:val="20"/>
          <w:u w:val="single" w:color="auto"/>
          <w:color w:val="auto"/>
        </w:rPr>
        <w:t>By: /s/ W. Bryan Buckler</w:t>
      </w:r>
      <w:r>
        <w:rPr>
          <w:rFonts w:ascii="Times New Roman" w:cs="Times New Roman" w:eastAsia="Times New Roman" w:hAnsi="Times New Roman"/>
          <w:sz w:val="20"/>
          <w:szCs w:val="20"/>
          <w:color w:val="auto"/>
        </w:rPr>
        <w:t xml:space="preserve"> (W. Bryan Buckler)</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87" w:lineRule="exact"/>
        <w:rPr>
          <w:sz w:val="20"/>
          <w:szCs w:val="20"/>
          <w:color w:val="auto"/>
        </w:rPr>
      </w:pPr>
    </w:p>
    <w:p>
      <w:pPr>
        <w:ind w:left="920" w:right="4980" w:hanging="4062"/>
        <w:spacing w:after="0" w:line="268" w:lineRule="auto"/>
        <w:tabs>
          <w:tab w:leader="none" w:pos="9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5, 2025 </w:t>
      </w:r>
      <w:r>
        <w:rPr>
          <w:rFonts w:ascii="Times New Roman" w:cs="Times New Roman" w:eastAsia="Times New Roman" w:hAnsi="Times New Roman"/>
          <w:sz w:val="20"/>
          <w:szCs w:val="20"/>
          <w:u w:val="single" w:color="auto"/>
          <w:color w:val="auto"/>
        </w:rPr>
        <w:t>By: /s/ W. Bryan Buckler</w:t>
      </w:r>
      <w:r>
        <w:rPr>
          <w:rFonts w:ascii="Times New Roman" w:cs="Times New Roman" w:eastAsia="Times New Roman" w:hAnsi="Times New Roman"/>
          <w:sz w:val="20"/>
          <w:szCs w:val="20"/>
          <w:color w:val="auto"/>
        </w:rPr>
        <w:t xml:space="preserve"> (W. Bryan Buckler)</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118" w:right="4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04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5, 2025</w:t>
            </w: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192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5, 2025</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5, 2025</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c>
          <w:tcPr>
            <w:tcW w:w="192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5, 2025</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5, 2025</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c>
          <w:tcPr>
            <w:tcW w:w="192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2"/>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571"/>
        <w:spacing w:after="0" w:line="282"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5, 2025</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Inc. (the "Company") for the quarterly period ended September 30,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820" w:hanging="488"/>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5, 2025</w:t>
            </w:r>
          </w:p>
        </w:tc>
      </w:tr>
      <w:tr>
        <w:trPr>
          <w:trHeight w:val="418"/>
        </w:trPr>
        <w:tc>
          <w:tcPr>
            <w:tcW w:w="146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5, 2025</w:t>
            </w:r>
          </w:p>
        </w:tc>
      </w:tr>
    </w:tbl>
    <w:p>
      <w:pPr>
        <w:sectPr>
          <w:pgSz w:w="11900" w:h="16838" w:orient="portrait"/>
          <w:cols w:equalWidth="0" w:num="1">
            <w:col w:w="11240"/>
          </w:cols>
          <w:pgMar w:left="320" w:top="89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Metro, Inc. (the "Company") for the quarterly period ended September 30,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5, 2025</w:t>
            </w:r>
          </w:p>
        </w:tc>
      </w:tr>
      <w:tr>
        <w:trPr>
          <w:trHeight w:val="418"/>
        </w:trPr>
        <w:tc>
          <w:tcPr>
            <w:tcW w:w="150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5, 2025</w:t>
            </w:r>
          </w:p>
        </w:tc>
      </w:tr>
    </w:tbl>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Kansas Central, Inc. (the "Company") for the quarterly period ended September 30,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5, 2025</w:t>
            </w:r>
          </w:p>
        </w:tc>
      </w:tr>
      <w:tr>
        <w:trPr>
          <w:trHeight w:val="418"/>
        </w:trPr>
        <w:tc>
          <w:tcPr>
            <w:tcW w:w="150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5, 2025</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lowerRoman"/>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lvl w:ilvl="1">
      <w:lvlJc w:val="left"/>
      <w:lvlText w:val="(%2)"/>
      <w:numFmt w:val="lowerLetter"/>
      <w:start w:val="1"/>
    </w:lvl>
  </w:abstractNum>
  <w:abstractNum w:abstractNumId="38">
    <w:nsid w:val="6A2342EC"/>
    <w:multiLevelType w:val="hybridMultilevel"/>
    <w:lvl w:ilvl="0">
      <w:lvlJc w:val="left"/>
      <w:lvlText w:val="%1."/>
      <w:numFmt w:val="decimal"/>
      <w:start w:val="1"/>
    </w:lvl>
    <w:lvl w:ilvl="1">
      <w:lvlJc w:val="left"/>
      <w:lvlText w:val="(%2)"/>
      <w:numFmt w:val="lowerLetter"/>
      <w:start w:val="1"/>
    </w:lvl>
  </w:abstractNum>
  <w:abstractNum w:abstractNumId="39">
    <w:nsid w:val="2A487CB0"/>
    <w:multiLevelType w:val="hybridMultilevel"/>
    <w:lvl w:ilvl="0">
      <w:lvlJc w:val="left"/>
      <w:lvlText w:val="%1."/>
      <w:numFmt w:val="decimal"/>
      <w:start w:val="1"/>
    </w:lvl>
    <w:lvl w:ilvl="1">
      <w:lvlJc w:val="left"/>
      <w:lvlText w:val="(%2)"/>
      <w:numFmt w:val="lowerLetter"/>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4" Type="http://schemas.openxmlformats.org/officeDocument/2006/relationships/hyperlink" Target="https://www.sec.gov/Archives/edgar/data/1711269/000119312525181883/d11930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2025-11-06T05:13:07Z</dcterms:created>
  <dcterms:modified xsi:type="dcterms:W3CDTF">2025-11-06T05:13:07Z</dcterms:modified>
</cp:coreProperties>
</file>